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02C6">
      <w:pPr>
        <w:pageBreakBefore w:val="0"/>
        <w:kinsoku/>
        <w:wordWrap/>
        <w:overflowPunct/>
        <w:topLinePunct w:val="0"/>
        <w:bidi w:val="0"/>
        <w:spacing w:line="540" w:lineRule="exact"/>
        <w:ind w:left="0" w:leftChars="0" w:right="0"/>
        <w:textAlignment w:val="auto"/>
        <w:rPr>
          <w:rFonts w:ascii="华文细黑" w:hAnsi="华文细黑" w:eastAsia="华文细黑"/>
          <w:b/>
          <w:color w:val="000000" w:themeColor="text1"/>
          <w:sz w:val="44"/>
          <w:szCs w:val="4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219075</wp:posOffset>
                </wp:positionV>
                <wp:extent cx="5676900" cy="635"/>
                <wp:effectExtent l="0" t="0" r="0" b="0"/>
                <wp:wrapNone/>
                <wp:docPr id="17" name="Line 4"/>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0.15pt;margin-top:17.25pt;height:0.05pt;width:447pt;z-index:251660288;mso-width-relative:page;mso-height-relative:page;" filled="f" stroked="t" coordsize="21600,21600" o:gfxdata="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&#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A0BNtQAAAAGAQAADwAAAAAAAAABACAAAAAiAAAA&#10;ZHJzL2Rvd25yZXYueG1sUEsBAhQAFAAAAAgAh07iQJhRY2HSAQAAsAMAAA4AAAAAAAAAAQAgAAAA&#10;IwEAAGRycy9lMm9Eb2MueG1sUEsFBgAAAAAGAAYAWQEAAGc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142875</wp:posOffset>
                </wp:positionV>
                <wp:extent cx="5715000" cy="635"/>
                <wp:effectExtent l="0" t="19050" r="0" b="37465"/>
                <wp:wrapNone/>
                <wp:docPr id="16" name="Line 3"/>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38100">
                          <a:solidFill>
                            <a:srgbClr val="000000"/>
                          </a:solidFill>
                          <a:round/>
                        </a:ln>
                        <a:effectLst/>
                      </wps:spPr>
                      <wps:bodyPr/>
                    </wps:wsp>
                  </a:graphicData>
                </a:graphic>
              </wp:anchor>
            </w:drawing>
          </mc:Choice>
          <mc:Fallback>
            <w:pict>
              <v:line id="Line 3" o:spid="_x0000_s1026" o:spt="20" style="position:absolute;left:0pt;margin-left:-3pt;margin-top:11.25pt;height:0.05pt;width:450pt;z-index:251659264;mso-width-relative:page;mso-height-relative:page;" filled="f" stroked="t" coordsize="21600,21600" o:gfxdata="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EckpNMAAAAIAQAADwAAAAAAAAABACAAAAAiAAAAZHJz&#10;L2Rvd25yZXYueG1sUEsBAhQAFAAAAAgAh07iQFzdBPHQAQAAsQMAAA4AAAAAAAAAAQAgAAAAIgEA&#10;AGRycy9lMm9Eb2MueG1sUEsFBgAAAAAGAAYAWQEAAGQFAAAAAA==&#10;">
                <v:fill on="f" focussize="0,0"/>
                <v:stroke weight="3pt" color="#000000" joinstyle="round"/>
                <v:imagedata o:title=""/>
                <o:lock v:ext="edit" aspectratio="f"/>
              </v:line>
            </w:pict>
          </mc:Fallback>
        </mc:AlternateContent>
      </w:r>
    </w:p>
    <w:p w14:paraId="7C7A08B2">
      <w:pPr>
        <w:pageBreakBefore w:val="0"/>
        <w:widowControl/>
        <w:kinsoku/>
        <w:wordWrap/>
        <w:overflowPunct/>
        <w:topLinePunct w:val="0"/>
        <w:bidi w:val="0"/>
        <w:spacing w:line="540" w:lineRule="exact"/>
        <w:ind w:left="0" w:leftChars="0" w:right="0"/>
        <w:jc w:val="center"/>
        <w:textAlignment w:val="auto"/>
        <w:rPr>
          <w:rFonts w:hint="eastAsia" w:ascii="华文细黑" w:hAnsi="华文细黑" w:eastAsia="华文细黑"/>
          <w:b/>
          <w:bCs/>
          <w:color w:val="000000" w:themeColor="text1"/>
          <w:sz w:val="36"/>
          <w:szCs w:val="36"/>
          <w:lang w:eastAsia="zh-CN"/>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四川省政府政务服务和公共资源交易服务中心</w:t>
      </w:r>
      <w:r>
        <w:rPr>
          <w:rFonts w:ascii="华文细黑" w:hAnsi="华文细黑" w:eastAsia="华文细黑"/>
          <w:b/>
          <w:bCs/>
          <w:color w:val="000000" w:themeColor="text1"/>
          <w:sz w:val="36"/>
          <w:szCs w:val="36"/>
          <w14:textFill>
            <w14:solidFill>
              <w14:schemeClr w14:val="tx1"/>
            </w14:solidFill>
          </w14:textFill>
        </w:rPr>
        <w:t xml:space="preserve">     </w:t>
      </w:r>
      <w:r>
        <w:rPr>
          <w:rFonts w:hint="eastAsia" w:ascii="华文细黑" w:hAnsi="华文细黑" w:eastAsia="华文细黑"/>
          <w:b/>
          <w:bCs/>
          <w:color w:val="000000" w:themeColor="text1"/>
          <w:sz w:val="36"/>
          <w:szCs w:val="36"/>
          <w:lang w:val="en-US" w:eastAsia="zh-CN"/>
          <w14:textFill>
            <w14:solidFill>
              <w14:schemeClr w14:val="tx1"/>
            </w14:solidFill>
          </w14:textFill>
        </w:rPr>
        <w:t>委托第三方开展优化营商环境（政务服务环境）评价项目</w:t>
      </w:r>
    </w:p>
    <w:p w14:paraId="67D7299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Cs w:val="21"/>
          <w:u w:val="single"/>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195580</wp:posOffset>
                </wp:positionV>
                <wp:extent cx="5715000" cy="7620"/>
                <wp:effectExtent l="0" t="0" r="0" b="0"/>
                <wp:wrapNone/>
                <wp:docPr id="14" name="Line 5"/>
                <wp:cNvGraphicFramePr/>
                <a:graphic xmlns:a="http://schemas.openxmlformats.org/drawingml/2006/main">
                  <a:graphicData uri="http://schemas.microsoft.com/office/word/2010/wordprocessingShape">
                    <wps:wsp>
                      <wps:cNvCnPr>
                        <a:cxnSpLocks noChangeShapeType="1"/>
                      </wps:cNvCnPr>
                      <wps:spPr bwMode="auto">
                        <a:xfrm flipV="1">
                          <a:off x="0" y="0"/>
                          <a:ext cx="5715000" cy="7620"/>
                        </a:xfrm>
                        <a:prstGeom prst="line">
                          <a:avLst/>
                        </a:prstGeom>
                        <a:noFill/>
                        <a:ln w="38100">
                          <a:solidFill>
                            <a:srgbClr val="000000"/>
                          </a:solidFill>
                          <a:round/>
                        </a:ln>
                        <a:effectLst/>
                      </wps:spPr>
                      <wps:bodyPr/>
                    </wps:wsp>
                  </a:graphicData>
                </a:graphic>
              </wp:anchor>
            </w:drawing>
          </mc:Choice>
          <mc:Fallback>
            <w:pict>
              <v:line id="Line 5" o:spid="_x0000_s1026" o:spt="20" style="position:absolute;left:0pt;flip:y;margin-left:-3pt;margin-top:15.4pt;height:0.6pt;width:450pt;z-index:251660288;mso-width-relative:page;mso-height-relative:page;" filled="f" stroked="t" coordsize="21600,21600" o:gfxdata="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2i4c9UAAAAIAQAADwAAAAAAAAABACAA&#10;AAAiAAAAZHJzL2Rvd25yZXYueG1sUEsBAhQAFAAAAAgAh07iQEQjmK/XAQAAvAMAAA4AAAAAAAAA&#10;AQAgAAAAJAEAAGRycy9lMm9Eb2MueG1sUEsFBgAAAAAGAAYAWQEAAG0FAAAAAA==&#10;">
                <v:fill on="f" focussize="0,0"/>
                <v:stroke weight="3pt" color="#000000" joinstyle="round"/>
                <v:imagedata o:title=""/>
                <o:lock v:ext="edit" aspectratio="f"/>
              </v:line>
            </w:pict>
          </mc:Fallback>
        </mc:AlternateContent>
      </w:r>
    </w:p>
    <w:p w14:paraId="683F3608">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94BD01D">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CDBED36">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比</w:t>
      </w:r>
    </w:p>
    <w:p w14:paraId="3488CABF">
      <w:pPr>
        <w:pStyle w:val="15"/>
        <w:pageBreakBefore w:val="0"/>
        <w:kinsoku/>
        <w:wordWrap/>
        <w:overflowPunct/>
        <w:topLinePunct w:val="0"/>
        <w:bidi w:val="0"/>
        <w:spacing w:line="540" w:lineRule="exact"/>
        <w:ind w:left="0" w:leftChars="0" w:right="0"/>
        <w:textAlignment w:val="auto"/>
      </w:pPr>
    </w:p>
    <w:p w14:paraId="31F7DF1D">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选</w:t>
      </w:r>
    </w:p>
    <w:p w14:paraId="6BC72771">
      <w:pPr>
        <w:pStyle w:val="15"/>
        <w:pageBreakBefore w:val="0"/>
        <w:kinsoku/>
        <w:wordWrap/>
        <w:overflowPunct/>
        <w:topLinePunct w:val="0"/>
        <w:bidi w:val="0"/>
        <w:spacing w:line="540" w:lineRule="exact"/>
        <w:ind w:left="0" w:leftChars="0" w:right="0"/>
        <w:textAlignment w:val="auto"/>
        <w:rPr>
          <w:rFonts w:hint="eastAsia"/>
          <w:lang w:eastAsia="zh-CN"/>
        </w:rPr>
      </w:pPr>
    </w:p>
    <w:p w14:paraId="1F96444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文</w:t>
      </w:r>
    </w:p>
    <w:p w14:paraId="0DA248F1">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33ECACD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件</w:t>
      </w:r>
    </w:p>
    <w:p w14:paraId="330E5DA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3C5C905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0F1A667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61713A6A">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796152E0">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1EE7820C">
      <w:pPr>
        <w:pageBreakBefore w:val="0"/>
        <w:kinsoku/>
        <w:wordWrap/>
        <w:overflowPunct/>
        <w:topLinePunct w:val="0"/>
        <w:bidi w:val="0"/>
        <w:spacing w:line="540" w:lineRule="exact"/>
        <w:ind w:left="0" w:leftChars="0" w:right="0"/>
        <w:jc w:val="center"/>
        <w:textAlignment w:val="auto"/>
        <w:rPr>
          <w:rFonts w:ascii="华文细黑" w:hAnsi="华文细黑" w:eastAsia="华文细黑"/>
          <w:b/>
          <w:bCs/>
          <w:color w:val="000000" w:themeColor="text1"/>
          <w:sz w:val="36"/>
          <w:szCs w:val="36"/>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w:t>
      </w:r>
      <w:r>
        <w:rPr>
          <w:rFonts w:hint="eastAsia" w:ascii="华文细黑" w:hAnsi="华文细黑" w:eastAsia="华文细黑"/>
          <w:b/>
          <w:bCs/>
          <w:color w:val="000000" w:themeColor="text1"/>
          <w:sz w:val="36"/>
          <w:szCs w:val="36"/>
          <w:lang w:eastAsia="zh-CN"/>
          <w14:textFill>
            <w14:solidFill>
              <w14:schemeClr w14:val="tx1"/>
            </w14:solidFill>
          </w14:textFill>
        </w:rPr>
        <w:t>政府</w:t>
      </w:r>
      <w:r>
        <w:rPr>
          <w:rFonts w:hint="eastAsia" w:ascii="华文细黑" w:hAnsi="华文细黑" w:eastAsia="华文细黑"/>
          <w:b/>
          <w:bCs/>
          <w:color w:val="000000" w:themeColor="text1"/>
          <w:sz w:val="36"/>
          <w:szCs w:val="36"/>
          <w14:textFill>
            <w14:solidFill>
              <w14:schemeClr w14:val="tx1"/>
            </w14:solidFill>
          </w14:textFill>
        </w:rPr>
        <w:t>政务服务和公共资源交易服务中心</w:t>
      </w:r>
    </w:p>
    <w:p w14:paraId="54930A8E">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14:textFill>
            <w14:solidFill>
              <w14:schemeClr w14:val="tx1"/>
            </w14:solidFill>
          </w14:textFill>
        </w:rPr>
      </w:pPr>
      <w:r>
        <w:rPr>
          <w:rFonts w:ascii="华文细黑" w:hAnsi="华文细黑" w:eastAsia="华文细黑"/>
          <w:b/>
          <w:color w:val="000000" w:themeColor="text1"/>
          <w:sz w:val="32"/>
          <w14:textFill>
            <w14:solidFill>
              <w14:schemeClr w14:val="tx1"/>
            </w14:solidFill>
          </w14:textFill>
        </w:rPr>
        <w:t>202</w:t>
      </w:r>
      <w:r>
        <w:rPr>
          <w:rFonts w:hint="eastAsia" w:ascii="华文细黑" w:hAnsi="华文细黑" w:eastAsia="华文细黑"/>
          <w:b/>
          <w:color w:val="000000" w:themeColor="text1"/>
          <w:sz w:val="32"/>
          <w:lang w:val="en-US" w:eastAsia="zh-CN"/>
          <w14:textFill>
            <w14:solidFill>
              <w14:schemeClr w14:val="tx1"/>
            </w14:solidFill>
          </w14:textFill>
        </w:rPr>
        <w:t>5</w:t>
      </w:r>
      <w:r>
        <w:rPr>
          <w:rFonts w:hint="eastAsia" w:ascii="华文细黑" w:hAnsi="华文细黑" w:eastAsia="华文细黑"/>
          <w:b/>
          <w:color w:val="000000" w:themeColor="text1"/>
          <w:sz w:val="32"/>
          <w14:textFill>
            <w14:solidFill>
              <w14:schemeClr w14:val="tx1"/>
            </w14:solidFill>
          </w14:textFill>
        </w:rPr>
        <w:t>年</w:t>
      </w:r>
      <w:r>
        <w:rPr>
          <w:rFonts w:hint="eastAsia" w:ascii="华文细黑" w:hAnsi="华文细黑" w:eastAsia="华文细黑"/>
          <w:b/>
          <w:color w:val="000000" w:themeColor="text1"/>
          <w:sz w:val="32"/>
          <w:lang w:val="en-US" w:eastAsia="zh-CN"/>
          <w14:textFill>
            <w14:solidFill>
              <w14:schemeClr w14:val="tx1"/>
            </w14:solidFill>
          </w14:textFill>
        </w:rPr>
        <w:t>11</w:t>
      </w:r>
      <w:r>
        <w:rPr>
          <w:rFonts w:hint="eastAsia" w:ascii="华文细黑" w:hAnsi="华文细黑" w:eastAsia="华文细黑"/>
          <w:b/>
          <w:color w:val="000000" w:themeColor="text1"/>
          <w:sz w:val="32"/>
          <w14:textFill>
            <w14:solidFill>
              <w14:schemeClr w14:val="tx1"/>
            </w14:solidFill>
          </w14:textFill>
        </w:rPr>
        <w:t>月</w:t>
      </w:r>
    </w:p>
    <w:p w14:paraId="5FC64C48">
      <w:pPr>
        <w:pageBreakBefore w:val="0"/>
        <w:kinsoku/>
        <w:wordWrap/>
        <w:overflowPunct/>
        <w:topLinePunct w:val="0"/>
        <w:bidi w:val="0"/>
        <w:spacing w:line="540" w:lineRule="exact"/>
        <w:ind w:left="0" w:leftChars="0" w:right="0"/>
        <w:textAlignment w:val="auto"/>
        <w:rPr>
          <w:rFonts w:ascii="华文细黑" w:hAnsi="华文细黑" w:eastAsia="华文细黑"/>
          <w:color w:val="000000" w:themeColor="text1"/>
          <w:sz w:val="32"/>
          <w14:textFill>
            <w14:solidFill>
              <w14:schemeClr w14:val="tx1"/>
            </w14:solidFill>
          </w14:textFill>
        </w:rPr>
        <w:sectPr>
          <w:footerReference r:id="rId3" w:type="default"/>
          <w:pgSz w:w="11906" w:h="16838"/>
          <w:pgMar w:top="1440" w:right="1797" w:bottom="1560" w:left="1797" w:header="851" w:footer="992" w:gutter="0"/>
          <w:pgNumType w:fmt="upperRoman"/>
          <w:cols w:space="425" w:num="1"/>
          <w:titlePg/>
          <w:docGrid w:type="linesAndChars" w:linePitch="380" w:charSpace="0"/>
        </w:sectPr>
      </w:pPr>
    </w:p>
    <w:p w14:paraId="6D55F2F3">
      <w:pPr>
        <w:pStyle w:val="4"/>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0" w:name="_Toc227057880"/>
      <w:bookmarkStart w:id="1" w:name="_Toc468808805"/>
      <w:bookmarkStart w:id="2" w:name="_Toc453691462"/>
      <w:bookmarkStart w:id="3" w:name="_Toc227057922"/>
      <w:bookmarkStart w:id="4" w:name="_Toc226969316"/>
      <w:bookmarkStart w:id="5" w:name="_Toc107822520"/>
      <w:r>
        <w:rPr>
          <w:rFonts w:hint="eastAsia" w:ascii="仿宋_GB2312" w:hAnsi="仿宋_GB2312" w:eastAsia="仿宋_GB2312" w:cs="仿宋_GB2312"/>
          <w:b/>
          <w:color w:val="000000" w:themeColor="text1"/>
          <w:sz w:val="32"/>
          <w:szCs w:val="32"/>
          <w14:textFill>
            <w14:solidFill>
              <w14:schemeClr w14:val="tx1"/>
            </w14:solidFill>
          </w14:textFill>
        </w:rPr>
        <w:t xml:space="preserve">第一章  </w:t>
      </w:r>
      <w:bookmarkEnd w:id="0"/>
      <w:bookmarkEnd w:id="1"/>
      <w:bookmarkEnd w:id="2"/>
      <w:bookmarkStart w:id="6" w:name="_Toc226969274"/>
      <w:bookmarkStart w:id="7" w:name="_Toc107822481"/>
      <w:bookmarkStart w:id="8" w:name="_Toc227057881"/>
      <w:r>
        <w:rPr>
          <w:rFonts w:hint="eastAsia" w:ascii="仿宋_GB2312" w:hAnsi="仿宋_GB2312" w:eastAsia="仿宋_GB2312" w:cs="仿宋_GB2312"/>
          <w:b/>
          <w:color w:val="000000" w:themeColor="text1"/>
          <w:sz w:val="32"/>
          <w:szCs w:val="32"/>
          <w14:textFill>
            <w14:solidFill>
              <w14:schemeClr w14:val="tx1"/>
            </w14:solidFill>
          </w14:textFill>
        </w:rPr>
        <w:t>采购邀请函</w:t>
      </w:r>
    </w:p>
    <w:bookmarkEnd w:id="6"/>
    <w:bookmarkEnd w:id="7"/>
    <w:bookmarkEnd w:id="8"/>
    <w:p w14:paraId="35A03138">
      <w:pPr>
        <w:pageBreakBefore w:val="0"/>
        <w:widowControl/>
        <w:kinsoku/>
        <w:wordWrap/>
        <w:overflowPunct/>
        <w:topLinePunct w:val="0"/>
        <w:bidi w:val="0"/>
        <w:spacing w:line="54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4DB99BE">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委托第三方开展优化营商环境（政务服务环境）评价项目</w:t>
      </w:r>
      <w:r>
        <w:rPr>
          <w:rFonts w:hint="eastAsia" w:ascii="仿宋_GB2312" w:hAnsi="仿宋_GB2312" w:eastAsia="仿宋_GB2312" w:cs="仿宋_GB2312"/>
          <w:color w:val="000000" w:themeColor="text1"/>
          <w:sz w:val="32"/>
          <w:szCs w:val="32"/>
          <w14:textFill>
            <w14:solidFill>
              <w14:schemeClr w14:val="tx1"/>
            </w14:solidFill>
          </w14:textFill>
        </w:rPr>
        <w:t>，采购单位为四川省政府政务服务和公共资源交易服务中心。本项目采购内容在规定的集中采购目录之外，且在省直部门分散采购限额标准以下，因此我中心拟用</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方式进行自行采购</w:t>
      </w:r>
      <w:r>
        <w:rPr>
          <w:rFonts w:hint="eastAsia" w:ascii="仿宋_GB2312" w:hAnsi="仿宋_GB2312" w:eastAsia="仿宋_GB2312" w:cs="仿宋_GB2312"/>
          <w:color w:val="000000" w:themeColor="text1"/>
          <w:sz w:val="30"/>
          <w:szCs w:val="30"/>
          <w14:textFill>
            <w14:solidFill>
              <w14:schemeClr w14:val="tx1"/>
            </w14:solidFill>
          </w14:textFill>
        </w:rPr>
        <w:t>。</w:t>
      </w:r>
    </w:p>
    <w:p w14:paraId="5B4A1C16">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项目概况：</w:t>
      </w:r>
    </w:p>
    <w:p w14:paraId="065805B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采购项目：四川省政府政务服务和公共资源交易服务中心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委托第三方开展优化营商环境（政务服务环境）评价</w:t>
      </w:r>
      <w:r>
        <w:rPr>
          <w:rFonts w:hint="eastAsia" w:ascii="仿宋_GB2312" w:hAnsi="仿宋_GB2312" w:eastAsia="仿宋_GB2312" w:cs="仿宋_GB2312"/>
          <w:color w:val="000000" w:themeColor="text1"/>
          <w:sz w:val="32"/>
          <w:szCs w:val="32"/>
          <w14:textFill>
            <w14:solidFill>
              <w14:schemeClr w14:val="tx1"/>
            </w14:solidFill>
          </w14:textFill>
        </w:rPr>
        <w:t>。</w:t>
      </w:r>
    </w:p>
    <w:p w14:paraId="10FBC22B">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项目资金：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预算内</w:t>
      </w:r>
      <w:r>
        <w:rPr>
          <w:rFonts w:hint="eastAsia" w:ascii="仿宋_GB2312" w:hAnsi="仿宋_GB2312" w:eastAsia="仿宋_GB2312" w:cs="仿宋_GB2312"/>
          <w:color w:val="000000" w:themeColor="text1"/>
          <w:sz w:val="32"/>
          <w:szCs w:val="32"/>
          <w14:textFill>
            <w14:solidFill>
              <w14:schemeClr w14:val="tx1"/>
            </w14:solidFill>
          </w14:textFill>
        </w:rPr>
        <w:t>资金。</w:t>
      </w:r>
    </w:p>
    <w:p w14:paraId="5092213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项目实施方式：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内部采购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6C7E736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质量效果要求：符合国家相关要求。</w:t>
      </w:r>
    </w:p>
    <w:p w14:paraId="7B2D107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采购内容：四川省政府政务服务和公共资源交易服务中心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委托第三方开展优化营商环境（政务服务环境）评价</w:t>
      </w:r>
      <w:r>
        <w:rPr>
          <w:rFonts w:hint="eastAsia" w:ascii="仿宋_GB2312" w:hAnsi="仿宋_GB2312" w:eastAsia="仿宋_GB2312" w:cs="仿宋_GB2312"/>
          <w:color w:val="000000" w:themeColor="text1"/>
          <w:sz w:val="32"/>
          <w:szCs w:val="32"/>
          <w14:textFill>
            <w14:solidFill>
              <w14:schemeClr w14:val="tx1"/>
            </w14:solidFill>
          </w14:textFill>
        </w:rPr>
        <w:t>。</w:t>
      </w:r>
    </w:p>
    <w:p w14:paraId="2E382D4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项目总预算：人民币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color w:val="000000" w:themeColor="text1"/>
          <w:sz w:val="32"/>
          <w:szCs w:val="32"/>
          <w:u w:val="singl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贰拾万</w:t>
      </w:r>
      <w:r>
        <w:rPr>
          <w:rFonts w:hint="eastAsia" w:ascii="仿宋_GB2312" w:hAnsi="仿宋_GB2312" w:eastAsia="仿宋_GB2312" w:cs="仿宋_GB2312"/>
          <w:color w:val="000000" w:themeColor="text1"/>
          <w:sz w:val="32"/>
          <w:szCs w:val="32"/>
          <w14:textFill>
            <w14:solidFill>
              <w14:schemeClr w14:val="tx1"/>
            </w14:solidFill>
          </w14:textFill>
        </w:rPr>
        <w:t>元整）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sz w:val="32"/>
          <w:szCs w:val="32"/>
          <w:lang w:val="en-US" w:eastAsia="zh-CN"/>
        </w:rPr>
        <w:t>包括第三方机构的服务费、数据采集处理、专家评审、报告撰写及成果发布等项目实施的所有费用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4F41A3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中选原则：</w:t>
      </w:r>
      <w:r>
        <w:rPr>
          <w:rFonts w:hint="eastAsia" w:ascii="仿宋_GB2312" w:hAnsi="仿宋_GB2312" w:eastAsia="仿宋_GB2312" w:cs="仿宋_GB2312"/>
          <w:b/>
          <w:color w:val="000000" w:themeColor="text1"/>
          <w:sz w:val="32"/>
          <w:szCs w:val="32"/>
          <w14:textFill>
            <w14:solidFill>
              <w14:schemeClr w14:val="tx1"/>
            </w14:solidFill>
          </w14:textFill>
        </w:rPr>
        <w:t>根据综合评分法按排名由高到低推荐第一名为中标候选人</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p>
    <w:p w14:paraId="76283B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资格审查方式及</w:t>
      </w:r>
      <w:r>
        <w:rPr>
          <w:rFonts w:hint="eastAsia" w:ascii="仿宋_GB2312" w:hAnsi="仿宋_GB2312" w:eastAsia="仿宋_GB2312" w:cs="仿宋_GB2312"/>
          <w:b/>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
          <w:color w:val="000000" w:themeColor="text1"/>
          <w:sz w:val="32"/>
          <w:szCs w:val="32"/>
          <w14:textFill>
            <w14:solidFill>
              <w14:schemeClr w14:val="tx1"/>
            </w14:solidFill>
          </w14:textFill>
        </w:rPr>
        <w:t>资格要求</w:t>
      </w:r>
    </w:p>
    <w:p w14:paraId="04BB2A1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本项目采用资格预审，采购评审小组根据采购文件的规定对供应商进行资格审查，若资格审查不合格其响应文件将被否决，采购申请人资格要求如下：</w:t>
      </w:r>
    </w:p>
    <w:p w14:paraId="7D2844A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2.1具有独立承担民事责任的能力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证明材料：提供营业执照复印件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CDF9EE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2.2具有良好的商业信誉和健全的财务会计制度。</w:t>
      </w:r>
    </w:p>
    <w:p w14:paraId="79DEE54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2.3具有履行合同所必需的设备和专业技术能力。</w:t>
      </w:r>
    </w:p>
    <w:p w14:paraId="770F59F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2.4有依法缴纳税收和社会保障资金的良好记录。</w:t>
      </w:r>
    </w:p>
    <w:p w14:paraId="22FC46E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2.5参加政府采购活动近三年内，在经营活动中没有重大违法记录。</w:t>
      </w:r>
    </w:p>
    <w:p w14:paraId="4338FFD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2.6法律、行政法规规定的其他条件。</w:t>
      </w:r>
    </w:p>
    <w:p w14:paraId="7CBB682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根据项目特殊要求设置的特定条件（不得以不合理的条件对供应商实行差别待遇或歧视待遇）：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04A6DB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报名</w:t>
      </w:r>
      <w:r>
        <w:rPr>
          <w:rFonts w:hint="eastAsia" w:ascii="仿宋_GB2312" w:hAnsi="仿宋_GB2312" w:eastAsia="仿宋_GB2312" w:cs="仿宋_GB2312"/>
          <w:b/>
          <w:color w:val="000000" w:themeColor="text1"/>
          <w:sz w:val="32"/>
          <w:szCs w:val="32"/>
          <w:lang w:eastAsia="zh-CN"/>
          <w14:textFill>
            <w14:solidFill>
              <w14:schemeClr w14:val="tx1"/>
            </w14:solidFill>
          </w14:textFill>
        </w:rPr>
        <w:t>方式</w:t>
      </w:r>
    </w:p>
    <w:p w14:paraId="72B6D0C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通过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省中心门户网站采购公告自行下载比选文件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获取文件时间为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w:t>
      </w:r>
      <w:r>
        <w:rPr>
          <w:rFonts w:hint="eastAsia" w:eastAsia="仿宋_GB2312" w:cs="Times New Roman"/>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日至</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17:00</w:t>
      </w:r>
      <w:r>
        <w:rPr>
          <w:rFonts w:hint="eastAsia" w:ascii="仿宋_GB2312" w:hAnsi="仿宋_GB2312" w:eastAsia="仿宋_GB2312" w:cs="仿宋_GB2312"/>
          <w:color w:val="000000" w:themeColor="text1"/>
          <w:kern w:val="0"/>
          <w:sz w:val="32"/>
          <w:szCs w:val="32"/>
          <w14:textFill>
            <w14:solidFill>
              <w14:schemeClr w14:val="tx1"/>
            </w14:solidFill>
          </w14:textFill>
        </w:rPr>
        <w:t>（北京时间）。</w:t>
      </w:r>
    </w:p>
    <w:p w14:paraId="63F7933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b/>
          <w:color w:val="000000" w:themeColor="text1"/>
          <w:sz w:val="32"/>
          <w:szCs w:val="32"/>
          <w14:textFill>
            <w14:solidFill>
              <w14:schemeClr w14:val="tx1"/>
            </w14:solidFill>
          </w14:textFill>
        </w:rPr>
        <w:t>的递交</w:t>
      </w:r>
    </w:p>
    <w:p w14:paraId="69825057">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文件提交的截止时间为</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（北京时间），提交地点：</w:t>
      </w:r>
      <w:r>
        <w:rPr>
          <w:rFonts w:hint="eastAsia" w:ascii="仿宋_GB2312" w:hAnsi="仿宋_GB2312" w:eastAsia="仿宋_GB2312" w:cs="仿宋_GB2312"/>
          <w:color w:val="000000" w:themeColor="text1"/>
          <w:kern w:val="0"/>
          <w:sz w:val="32"/>
          <w:szCs w:val="32"/>
          <w14:textFill>
            <w14:solidFill>
              <w14:schemeClr w14:val="tx1"/>
            </w14:solidFill>
          </w14:textFill>
        </w:rPr>
        <w:t>四川省成都市青羊区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1005</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逾期送达的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文件将被拒绝。</w:t>
      </w:r>
    </w:p>
    <w:p w14:paraId="27CCB6F3">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本次采购项目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预计</w:t>
      </w:r>
      <w:r>
        <w:rPr>
          <w:rFonts w:hint="eastAsia" w:ascii="仿宋_GB2312" w:hAnsi="仿宋_GB2312" w:eastAsia="仿宋_GB2312" w:cs="仿宋_GB2312"/>
          <w:color w:val="000000" w:themeColor="text1"/>
          <w:sz w:val="32"/>
          <w:szCs w:val="32"/>
          <w14:textFill>
            <w14:solidFill>
              <w14:schemeClr w14:val="tx1"/>
            </w14:solidFill>
          </w14:textFill>
        </w:rPr>
        <w:t>将于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日在</w:t>
      </w:r>
      <w:bookmarkStart w:id="88" w:name="_GoBack"/>
      <w:bookmarkEnd w:id="88"/>
      <w:r>
        <w:rPr>
          <w:rFonts w:hint="eastAsia" w:ascii="仿宋_GB2312" w:hAnsi="仿宋_GB2312" w:eastAsia="仿宋_GB2312" w:cs="仿宋_GB2312"/>
          <w:color w:val="000000" w:themeColor="text1"/>
          <w:sz w:val="32"/>
          <w:szCs w:val="32"/>
          <w14:textFill>
            <w14:solidFill>
              <w14:schemeClr w14:val="tx1"/>
            </w14:solidFill>
          </w14:textFill>
        </w:rPr>
        <w:t>四川省成都市</w:t>
      </w:r>
      <w:r>
        <w:rPr>
          <w:rFonts w:hint="eastAsia" w:ascii="仿宋_GB2312" w:hAnsi="仿宋_GB2312" w:eastAsia="仿宋_GB2312" w:cs="仿宋_GB2312"/>
          <w:color w:val="000000" w:themeColor="text1"/>
          <w:kern w:val="0"/>
          <w:sz w:val="32"/>
          <w:szCs w:val="32"/>
          <w14:textFill>
            <w14:solidFill>
              <w14:schemeClr w14:val="tx1"/>
            </w14:solidFill>
          </w14:textFill>
        </w:rPr>
        <w:t>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eastAsia" w:ascii="仿宋_GB2312" w:hAnsi="仿宋_GB2312" w:eastAsia="仿宋_GB2312" w:cs="仿宋_GB2312"/>
          <w:color w:val="000000" w:themeColor="text1"/>
          <w:sz w:val="32"/>
          <w:szCs w:val="32"/>
          <w14:textFill>
            <w14:solidFill>
              <w14:schemeClr w14:val="tx1"/>
            </w14:solidFill>
          </w14:textFill>
        </w:rPr>
        <w:t>进行评审。无需采购申请人的法定代表人或其委托的授权代表参加。</w:t>
      </w:r>
    </w:p>
    <w:p w14:paraId="3B9426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5、联系方式</w:t>
      </w:r>
    </w:p>
    <w:p w14:paraId="4266001E">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四川省政府政务服务和公共资源交易服务中心</w:t>
      </w:r>
    </w:p>
    <w:p w14:paraId="0AF3CD37">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郭老师             </w:t>
      </w: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86953169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bookmarkEnd w:id="3"/>
      <w:bookmarkEnd w:id="4"/>
      <w:bookmarkEnd w:id="5"/>
      <w:bookmarkStart w:id="9" w:name="_Toc468808806"/>
      <w:bookmarkStart w:id="10" w:name="_Toc226969356"/>
      <w:bookmarkStart w:id="11" w:name="_Toc227057962"/>
    </w:p>
    <w:p w14:paraId="4C387482">
      <w:pPr>
        <w:pStyle w:val="4"/>
        <w:pageBreakBefore w:val="0"/>
        <w:widowControl w:val="0"/>
        <w:numPr>
          <w:ilvl w:val="0"/>
          <w:numId w:val="14"/>
        </w:numPr>
        <w:kinsoku/>
        <w:wordWrap/>
        <w:overflowPunct/>
        <w:topLinePunct w:val="0"/>
        <w:autoSpaceDE/>
        <w:autoSpaceDN/>
        <w:bidi w:val="0"/>
        <w:adjustRightInd/>
        <w:snapToGrid/>
        <w:spacing w:before="0" w:after="0" w:line="560" w:lineRule="exact"/>
        <w:ind w:left="0" w:leftChars="0" w:right="0"/>
        <w:textAlignment w:val="auto"/>
        <w:rPr>
          <w:rFonts w:hint="eastAsia"/>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技术规范要求</w:t>
      </w:r>
      <w:bookmarkEnd w:id="9"/>
      <w:bookmarkStart w:id="12" w:name="_Toc468808807"/>
    </w:p>
    <w:p w14:paraId="713CB130">
      <w:pPr>
        <w:pStyle w:val="5"/>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p>
    <w:p w14:paraId="63E0517D">
      <w:pPr>
        <w:pStyle w:val="5"/>
        <w:keepNext/>
        <w:keepLines/>
        <w:pageBreakBefore w:val="0"/>
        <w:widowControl w:val="0"/>
        <w:kinsoku/>
        <w:wordWrap/>
        <w:overflowPunct/>
        <w:topLinePunct w:val="0"/>
        <w:autoSpaceDE/>
        <w:autoSpaceDN/>
        <w:bidi w:val="0"/>
        <w:adjustRightInd/>
        <w:snapToGrid/>
        <w:spacing w:before="0" w:after="0" w:line="560" w:lineRule="exact"/>
        <w:ind w:left="0" w:leftChars="0" w:right="0" w:firstLine="643" w:firstLineChars="200"/>
        <w:textAlignment w:val="auto"/>
        <w:outlineLvl w:val="1"/>
        <w:rPr>
          <w:rFonts w:hint="default" w:ascii="仿宋_GB2312" w:hAnsi="仿宋_GB2312" w:eastAsia="仿宋_GB2312" w:cs="仿宋_GB2312"/>
          <w:b/>
          <w:color w:val="000000" w:themeColor="text1"/>
          <w:sz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lang w:val="en-US" w:eastAsia="zh-CN"/>
          <w14:textFill>
            <w14:solidFill>
              <w14:schemeClr w14:val="tx1"/>
            </w14:solidFill>
          </w14:textFill>
        </w:rPr>
        <w:t>一、项目概述</w:t>
      </w:r>
    </w:p>
    <w:p w14:paraId="5E330589">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firstLine="640" w:firstLineChars="200"/>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落实习近平总书记关于优化营商环境的重要论述和重要指示批示精神，落实国家《优化营商环境条例》和《四川省优化营商环境条例》有关规定，按照《四川省营商环境评价管理办法》，通过第三方评价机构对全省营商环境（政务服务环境）情况进行综合评价。优化营商环境是激发市场主体活力、推动经济高质量发展的关键举措。政务服务环境作为营商环境的重要组成部分，直接关系企业群众办事体验和满意度。通过引入第三方独立评价，能够更加客观、公正地反映当前政务服务环境中存在的短板与不足，为下一步政策制定和工作改进提供科学依据。</w:t>
      </w:r>
    </w:p>
    <w:p w14:paraId="3C1B28E4">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firstLine="643" w:firstLineChars="200"/>
        <w:textAlignment w:val="auto"/>
        <w:outlineLvl w:val="2"/>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二、采购项目要求</w:t>
      </w:r>
    </w:p>
    <w:p w14:paraId="6040E51E">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ascii="Times New Roman" w:hAnsi="Times New Roman" w:eastAsia="仿宋"/>
          <w:b/>
          <w:snapToGrid w:val="0"/>
          <w:color w:val="auto"/>
          <w:kern w:val="0"/>
          <w:sz w:val="32"/>
          <w:szCs w:val="32"/>
        </w:rPr>
      </w:pPr>
      <w:r>
        <w:rPr>
          <w:rFonts w:ascii="Times New Roman" w:hAnsi="Times New Roman" w:eastAsia="仿宋"/>
          <w:b/>
          <w:snapToGrid w:val="0"/>
          <w:color w:val="auto"/>
          <w:kern w:val="0"/>
          <w:sz w:val="32"/>
          <w:szCs w:val="32"/>
        </w:rPr>
        <w:t>1.项目采购总表</w:t>
      </w:r>
    </w:p>
    <w:tbl>
      <w:tblPr>
        <w:tblStyle w:val="56"/>
        <w:tblW w:w="918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7189"/>
      </w:tblGrid>
      <w:tr w14:paraId="3856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8" w:type="dxa"/>
            <w:noWrap w:val="0"/>
            <w:vAlign w:val="center"/>
          </w:tcPr>
          <w:p w14:paraId="4EE3F0DB">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eastAsia" w:ascii="仿宋_GB2312" w:hAnsi="仿宋_GB2312" w:eastAsia="仿宋_GB2312" w:cs="仿宋_GB2312"/>
                <w:snapToGrid w:val="0"/>
                <w:color w:val="auto"/>
                <w:kern w:val="0"/>
                <w:sz w:val="24"/>
                <w:szCs w:val="24"/>
                <w:lang w:bidi="ar"/>
              </w:rPr>
              <w:t>序号</w:t>
            </w:r>
          </w:p>
        </w:tc>
        <w:tc>
          <w:tcPr>
            <w:tcW w:w="7189" w:type="dxa"/>
            <w:noWrap w:val="0"/>
            <w:vAlign w:val="center"/>
          </w:tcPr>
          <w:p w14:paraId="794F1F02">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eastAsia" w:ascii="仿宋_GB2312" w:hAnsi="仿宋_GB2312" w:eastAsia="仿宋_GB2312" w:cs="仿宋_GB2312"/>
                <w:snapToGrid w:val="0"/>
                <w:color w:val="auto"/>
                <w:kern w:val="0"/>
                <w:sz w:val="24"/>
                <w:szCs w:val="24"/>
                <w:lang w:bidi="ar"/>
              </w:rPr>
              <w:t>采购内容</w:t>
            </w:r>
          </w:p>
        </w:tc>
      </w:tr>
      <w:tr w14:paraId="120C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98" w:type="dxa"/>
            <w:noWrap w:val="0"/>
            <w:vAlign w:val="center"/>
          </w:tcPr>
          <w:p w14:paraId="528E428A">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default" w:ascii="Times New Roman" w:hAnsi="Times New Roman" w:eastAsia="仿宋_GB2312" w:cs="Times New Roman"/>
                <w:snapToGrid w:val="0"/>
                <w:color w:val="auto"/>
                <w:kern w:val="0"/>
                <w:sz w:val="24"/>
                <w:szCs w:val="24"/>
                <w:lang w:bidi="ar"/>
              </w:rPr>
              <w:t>1</w:t>
            </w:r>
          </w:p>
        </w:tc>
        <w:tc>
          <w:tcPr>
            <w:tcW w:w="7189" w:type="dxa"/>
            <w:noWrap w:val="0"/>
            <w:vAlign w:val="center"/>
          </w:tcPr>
          <w:p w14:paraId="3E31364F">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eastAsia" w:eastAsia="仿宋_GB2312" w:cs="Times New Roman"/>
                <w:bCs/>
                <w:color w:val="000000" w:themeColor="text1"/>
                <w:sz w:val="24"/>
                <w:szCs w:val="24"/>
                <w:lang w:val="en-US" w:eastAsia="zh-CN"/>
                <w14:textFill>
                  <w14:solidFill>
                    <w14:schemeClr w14:val="tx1"/>
                  </w14:solidFill>
                </w14:textFill>
              </w:rPr>
              <w:t>委托第三方开展优化营商环境（政务服务环境）评价</w:t>
            </w:r>
          </w:p>
        </w:tc>
      </w:tr>
    </w:tbl>
    <w:p w14:paraId="08453A34">
      <w:pPr>
        <w:pageBreakBefore w:val="0"/>
        <w:wordWrap/>
        <w:overflowPunct/>
        <w:topLinePunct w:val="0"/>
        <w:bidi w:val="0"/>
        <w:adjustRightInd w:val="0"/>
        <w:snapToGrid w:val="0"/>
        <w:spacing w:line="600" w:lineRule="exact"/>
        <w:ind w:firstLine="643" w:firstLineChars="200"/>
        <w:jc w:val="left"/>
        <w:rPr>
          <w:rFonts w:hint="eastAsia" w:ascii="仿宋_GB2312" w:hAnsi="仿宋_GB2312" w:eastAsia="仿宋_GB2312" w:cs="仿宋_GB2312"/>
          <w:b/>
          <w:snapToGrid w:val="0"/>
          <w:color w:val="000000"/>
          <w:kern w:val="0"/>
          <w:sz w:val="32"/>
          <w:szCs w:val="32"/>
        </w:rPr>
      </w:pPr>
      <w:r>
        <w:rPr>
          <w:rFonts w:hint="eastAsia" w:ascii="仿宋_GB2312" w:hAnsi="仿宋_GB2312" w:eastAsia="仿宋_GB2312" w:cs="仿宋_GB2312"/>
          <w:b/>
          <w:snapToGrid w:val="0"/>
          <w:color w:val="000000"/>
          <w:kern w:val="0"/>
          <w:sz w:val="32"/>
          <w:szCs w:val="32"/>
        </w:rPr>
        <w:t>2.服务要求</w:t>
      </w:r>
    </w:p>
    <w:p w14:paraId="50092C61">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通过系统评估全面掌握营商环境（政务服务环境）的实际情况，形成具有参考价值的评价报告，推动各地各部门补齐短板，持续提升政务服务水平。服务内容包含但不限于以下内容：</w:t>
      </w:r>
    </w:p>
    <w:p w14:paraId="7F2D374E">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制定四川省年度营商环境（政务服务环境）评价工作方案。结合国家、四川省最新营商环境工作目标要求，制定详细评价工作方案和评价内容，形成四川省2025年度营商环境（政务服务环境）评价工作方案。</w:t>
      </w:r>
    </w:p>
    <w:p w14:paraId="45A7E7DF">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（二）开展全省营商环境（政务服务环境）工作分析并形成评价分析报告。</w:t>
      </w:r>
    </w:p>
    <w:p w14:paraId="5A6D4C2C">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开展省级部门营商环境（政务服务环境）工作分析并形成全省对标分析报告。分析全省营商环境（政务服务环境）发展现状，总结全省各部门营商环境（政务服务环境）建设取得的成效及亮点，发现存在的主要问题，针对性提出意见建议，形成四川省部门营商环境（政务服务环境）综合分析报告。</w:t>
      </w:r>
    </w:p>
    <w:p w14:paraId="6CCC7C55">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开展21个市（州）营商环境（政务服务环境）评价工作并形成21个专题报告。通过数据调取、问卷调查、电话访谈、实地走访等多种方式，全方位评估21个市（州）营商环境（政务服务环境）各指标领域工作情况，包括成效及亮点、存在的主要问题、针对性意见建议，形成2025年四川省21个市（州）营商环境（政务服务环境）专题评价报告。</w:t>
      </w:r>
    </w:p>
    <w:p w14:paraId="239FD78E">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选取3-5个重点地区，开展重点地区营商环境（政务服务环境）评价工作并形成3-5个专题报告。通过数据调取、问卷调查、电话访谈、实地走访（选择3-5个试点地区及试点产业）等多种方式，评估试点地区及试点产业营商环境（政务服务环境）各指标领域工作情况，包括成效及亮点、存在的主要问题、针对性意见建议，形成2025年四川省重点地区营商环境（政务服务环境）专题评价报告。</w:t>
      </w:r>
    </w:p>
    <w:p w14:paraId="243C105B">
      <w:pPr>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outlineLvl w:val="1"/>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b/>
          <w:bCs/>
          <w:snapToGrid w:val="0"/>
          <w:color w:val="000000"/>
          <w:kern w:val="0"/>
          <w:sz w:val="32"/>
          <w:szCs w:val="32"/>
        </w:rPr>
        <w:t>三、商务要求</w:t>
      </w:r>
    </w:p>
    <w:p w14:paraId="2F4C3AD7">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（一）服务期限</w:t>
      </w:r>
    </w:p>
    <w:p w14:paraId="488A7E69">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自合同签订之日起至2025年12月30日。</w:t>
      </w:r>
    </w:p>
    <w:p w14:paraId="5AD30BCF">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（二）付款方式</w:t>
      </w:r>
    </w:p>
    <w:p w14:paraId="61F5B055">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签订合同后10个工作日内支付合同金额的80%，项目验收合格后支付合同尾款20%。</w:t>
      </w:r>
    </w:p>
    <w:p w14:paraId="52E4E08B">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（三）其他要求</w:t>
      </w:r>
    </w:p>
    <w:p w14:paraId="0BAE442B">
      <w:pPr>
        <w:pStyle w:val="6"/>
        <w:keepNext w:val="0"/>
        <w:keepLines w:val="0"/>
        <w:pageBreakBefore w:val="0"/>
        <w:widowControl/>
        <w:wordWrap/>
        <w:overflowPunct/>
        <w:topLinePunct w:val="0"/>
        <w:autoSpaceDE/>
        <w:autoSpaceDN/>
        <w:bidi w:val="0"/>
        <w:adjustRightInd/>
        <w:spacing w:before="0"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验收标准</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参照《财政部关于进一步加强政府采购需求和履约验收管理的指导意见》（财库〔2016〕205号）及国家和四川省相关信息化服务项目的验收标准进行验收。</w:t>
      </w:r>
    </w:p>
    <w:p w14:paraId="331F7A1F">
      <w:pPr>
        <w:pStyle w:val="4"/>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5B7E79EC">
      <w:pPr>
        <w:pStyle w:val="4"/>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第三章  评审办法</w:t>
      </w:r>
      <w:bookmarkEnd w:id="10"/>
      <w:bookmarkEnd w:id="11"/>
      <w:r>
        <w:rPr>
          <w:rFonts w:hint="eastAsia" w:ascii="仿宋_GB2312" w:hAnsi="仿宋_GB2312" w:eastAsia="仿宋_GB2312" w:cs="仿宋_GB2312"/>
          <w:b/>
          <w:color w:val="000000" w:themeColor="text1"/>
          <w:sz w:val="32"/>
          <w:szCs w:val="32"/>
          <w14:textFill>
            <w14:solidFill>
              <w14:schemeClr w14:val="tx1"/>
            </w14:solidFill>
          </w14:textFill>
        </w:rPr>
        <w:t>（综合评分法）</w:t>
      </w:r>
      <w:bookmarkEnd w:id="12"/>
    </w:p>
    <w:p w14:paraId="5ABEA1C5">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13" w:name="_Toc378497710"/>
      <w:bookmarkStart w:id="14" w:name="_Toc385507152"/>
      <w:bookmarkStart w:id="15" w:name="_Toc468808809"/>
      <w:bookmarkStart w:id="16" w:name="_Toc406413564"/>
      <w:bookmarkStart w:id="17" w:name="_Toc227057964"/>
      <w:bookmarkStart w:id="18" w:name="_Toc406313792"/>
      <w:bookmarkStart w:id="19" w:name="_Toc396318580"/>
      <w:bookmarkStart w:id="20" w:name="_Toc226969358"/>
      <w:bookmarkStart w:id="21" w:name="_Toc107822557"/>
      <w:bookmarkStart w:id="22" w:name="_Toc227057965"/>
      <w:bookmarkStart w:id="23" w:name="_Toc226969359"/>
    </w:p>
    <w:p w14:paraId="0C8F633A">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14:textFill>
            <w14:solidFill>
              <w14:schemeClr w14:val="tx1"/>
            </w14:solidFill>
          </w14:textFill>
        </w:rPr>
        <w:t>评审的量化因素及权重比值</w:t>
      </w:r>
      <w:bookmarkEnd w:id="13"/>
      <w:bookmarkEnd w:id="14"/>
      <w:bookmarkEnd w:id="15"/>
      <w:bookmarkEnd w:id="16"/>
      <w:bookmarkEnd w:id="17"/>
      <w:bookmarkEnd w:id="18"/>
      <w:bookmarkEnd w:id="19"/>
      <w:bookmarkEnd w:id="20"/>
    </w:p>
    <w:p w14:paraId="0D799F7C">
      <w:pPr>
        <w:pStyle w:val="5"/>
        <w:pageBreakBefore w:val="0"/>
        <w:kinsoku/>
        <w:wordWrap/>
        <w:overflowPunct/>
        <w:topLinePunct w:val="0"/>
        <w:bidi w:val="0"/>
        <w:spacing w:before="0" w:after="0"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详见评分标准</w:t>
      </w:r>
    </w:p>
    <w:p w14:paraId="797FB4C4">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24" w:name="_Toc468808810"/>
      <w:r>
        <w:rPr>
          <w:rFonts w:hint="eastAsia" w:ascii="仿宋_GB2312" w:hAnsi="仿宋_GB2312" w:eastAsia="仿宋_GB2312" w:cs="仿宋_GB2312"/>
          <w:b/>
          <w:bCs w:val="0"/>
          <w:color w:val="000000" w:themeColor="text1"/>
          <w:sz w:val="32"/>
          <w14:textFill>
            <w14:solidFill>
              <w14:schemeClr w14:val="tx1"/>
            </w14:solidFill>
          </w14:textFill>
        </w:rPr>
        <w:t>3.</w:t>
      </w:r>
      <w:r>
        <w:rPr>
          <w:rFonts w:hint="eastAsia" w:ascii="仿宋_GB2312" w:hAnsi="仿宋_GB2312" w:eastAsia="仿宋_GB2312" w:cs="仿宋_GB2312"/>
          <w:b/>
          <w:bCs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14:textFill>
            <w14:solidFill>
              <w14:schemeClr w14:val="tx1"/>
            </w14:solidFill>
          </w14:textFill>
        </w:rPr>
        <w:t xml:space="preserve"> </w:t>
      </w:r>
      <w:bookmarkStart w:id="25" w:name="_Toc263964481"/>
      <w:bookmarkStart w:id="26" w:name="_Toc224619345"/>
      <w:bookmarkStart w:id="27" w:name="_Toc196153992"/>
      <w:bookmarkStart w:id="28" w:name="_Toc196153694"/>
      <w:bookmarkStart w:id="29" w:name="_Toc197247444"/>
      <w:bookmarkStart w:id="30" w:name="_Toc229558393"/>
      <w:bookmarkStart w:id="31" w:name="_Toc196153893"/>
      <w:bookmarkStart w:id="32" w:name="_Toc420655597"/>
      <w:bookmarkStart w:id="33" w:name="_Toc263964579"/>
      <w:bookmarkStart w:id="34" w:name="_Toc319905129"/>
      <w:bookmarkStart w:id="35" w:name="_Toc400970099"/>
      <w:bookmarkStart w:id="36" w:name="_Toc263963173"/>
      <w:bookmarkStart w:id="37" w:name="_Toc408249246"/>
      <w:bookmarkStart w:id="38" w:name="_Toc192354826"/>
      <w:bookmarkStart w:id="39" w:name="_Toc193268467"/>
      <w:r>
        <w:rPr>
          <w:rFonts w:hint="eastAsia" w:ascii="仿宋_GB2312" w:hAnsi="仿宋_GB2312" w:eastAsia="仿宋_GB2312" w:cs="仿宋_GB2312"/>
          <w:b/>
          <w:color w:val="000000" w:themeColor="text1"/>
          <w:sz w:val="32"/>
          <w14:textFill>
            <w14:solidFill>
              <w14:schemeClr w14:val="tx1"/>
            </w14:solidFill>
          </w14:textFill>
        </w:rPr>
        <w:t>评审方法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40" w:name="_Toc196153695"/>
      <w:bookmarkStart w:id="41" w:name="_Toc196153894"/>
      <w:bookmarkStart w:id="42" w:name="_Toc196153993"/>
    </w:p>
    <w:p w14:paraId="4F5238D1">
      <w:pPr>
        <w:pStyle w:val="53"/>
        <w:pageBreakBefore w:val="0"/>
        <w:kinsoku/>
        <w:wordWrap/>
        <w:overflowPunct/>
        <w:topLinePunct w:val="0"/>
        <w:bidi w:val="0"/>
        <w:spacing w:after="0" w:line="540" w:lineRule="exact"/>
        <w:ind w:left="0" w:leftChars="0"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综合评分法</w:t>
      </w:r>
    </w:p>
    <w:p w14:paraId="4009DB7D">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3" w:name="_Toc197247445"/>
      <w:bookmarkStart w:id="44" w:name="_Toc263964482"/>
      <w:bookmarkStart w:id="45" w:name="_Toc408249247"/>
      <w:bookmarkStart w:id="46" w:name="_Toc400970100"/>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.1谈判申请文件的初步评审</w:t>
      </w:r>
      <w:bookmarkEnd w:id="38"/>
      <w:bookmarkEnd w:id="39"/>
      <w:bookmarkEnd w:id="40"/>
      <w:bookmarkEnd w:id="41"/>
      <w:bookmarkEnd w:id="42"/>
      <w:bookmarkEnd w:id="43"/>
      <w:bookmarkEnd w:id="44"/>
      <w:bookmarkEnd w:id="45"/>
      <w:bookmarkEnd w:id="46"/>
    </w:p>
    <w:p w14:paraId="09DE5816">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.1.1在初步评审中，评审小组将首先审定每份申请文件是否响应了</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的下述要求。</w:t>
      </w:r>
    </w:p>
    <w:p w14:paraId="5C46C06A">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如发现下列情况之一的，其</w:t>
      </w:r>
      <w:r>
        <w:rPr>
          <w:rFonts w:hint="eastAsia" w:ascii="仿宋_GB2312" w:hAnsi="仿宋_GB2312" w:eastAsia="仿宋_GB2312" w:cs="仿宋_GB2312"/>
          <w:color w:val="000000" w:themeColor="text1"/>
          <w:sz w:val="32"/>
          <w:szCs w:val="32"/>
          <w14:textFill>
            <w14:solidFill>
              <w14:schemeClr w14:val="tx1"/>
            </w14:solidFill>
          </w14:textFill>
        </w:rPr>
        <w:t>谈判</w:t>
      </w:r>
      <w:r>
        <w:rPr>
          <w:rFonts w:hint="eastAsia" w:ascii="仿宋_GB2312" w:hAnsi="仿宋_GB2312" w:eastAsia="仿宋_GB2312" w:cs="仿宋_GB2312"/>
          <w:bCs/>
          <w:color w:val="000000" w:themeColor="text1"/>
          <w:sz w:val="32"/>
          <w:szCs w:val="32"/>
          <w14:textFill>
            <w14:solidFill>
              <w14:schemeClr w14:val="tx1"/>
            </w14:solidFill>
          </w14:textFill>
        </w:rPr>
        <w:t>将被</w:t>
      </w:r>
      <w:r>
        <w:rPr>
          <w:rFonts w:hint="eastAsia" w:ascii="仿宋_GB2312" w:hAnsi="仿宋_GB2312" w:eastAsia="仿宋_GB2312" w:cs="仿宋_GB2312"/>
          <w:color w:val="000000" w:themeColor="text1"/>
          <w:sz w:val="32"/>
          <w:szCs w:val="32"/>
          <w14:textFill>
            <w14:solidFill>
              <w14:schemeClr w14:val="tx1"/>
            </w14:solidFill>
          </w14:textFill>
        </w:rPr>
        <w:t>评审小组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否决：</w:t>
      </w:r>
    </w:p>
    <w:p w14:paraId="477F69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文件未按</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文件要求进行签署、盖章的；</w:t>
      </w:r>
    </w:p>
    <w:p w14:paraId="51F7C5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（2）资格证明文件不全的；</w:t>
      </w:r>
    </w:p>
    <w:p w14:paraId="30825B7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（3）同一</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提交两个以上不同的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或者报价，以及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没有提交报价的；</w:t>
      </w:r>
    </w:p>
    <w:p w14:paraId="3498DA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载明的招标项目完成期限超过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规定的期限；</w:t>
      </w:r>
    </w:p>
    <w:p w14:paraId="022A1C41">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（5）经评审小组认定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的报价低于成本价形成恶性竞争的；</w:t>
      </w:r>
    </w:p>
    <w:p w14:paraId="472E4CFD">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（6）明显不符合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服务标准的要求；</w:t>
      </w:r>
    </w:p>
    <w:p w14:paraId="1B5CAC58">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附有采购人不能接受的条件；</w:t>
      </w:r>
    </w:p>
    <w:p w14:paraId="1A81BC8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（8）报价超过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规定的限价；</w:t>
      </w:r>
    </w:p>
    <w:p w14:paraId="4C287F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（9）其他不符合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实质性要求及法律、法规规定的其他情形。</w:t>
      </w:r>
    </w:p>
    <w:p w14:paraId="5666FBD2">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7" w:name="_Toc263964483"/>
      <w:bookmarkStart w:id="48" w:name="_Toc192354827"/>
      <w:bookmarkStart w:id="49" w:name="_Toc196153696"/>
      <w:bookmarkStart w:id="50" w:name="_Toc196153895"/>
      <w:bookmarkStart w:id="51" w:name="_Toc197247446"/>
      <w:bookmarkStart w:id="52" w:name="_Toc400970101"/>
      <w:bookmarkStart w:id="53" w:name="_Toc193268468"/>
      <w:bookmarkStart w:id="54" w:name="_Toc408249248"/>
      <w:bookmarkStart w:id="55" w:name="_Toc196153994"/>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.2 报价计算错误的修正原则</w:t>
      </w:r>
      <w:bookmarkEnd w:id="47"/>
      <w:bookmarkEnd w:id="48"/>
      <w:bookmarkEnd w:id="49"/>
      <w:bookmarkEnd w:id="50"/>
      <w:bookmarkEnd w:id="51"/>
      <w:bookmarkEnd w:id="52"/>
      <w:bookmarkEnd w:id="53"/>
      <w:bookmarkEnd w:id="54"/>
      <w:bookmarkEnd w:id="55"/>
    </w:p>
    <w:p w14:paraId="7F6B9DDA">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.2.1 评审小组将对确定为实质上响应</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要求的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进行校核，看其是否有计算上或汇总上的算术错误，修正错误的原则如下：</w:t>
      </w:r>
    </w:p>
    <w:p w14:paraId="45AA4930">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中的大写金额与小写金额不一致的，以大写金额为准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D8E4E8">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56" w:name="_Toc263964484"/>
      <w:bookmarkStart w:id="57" w:name="_Toc193268469"/>
      <w:bookmarkStart w:id="58" w:name="_Toc196153697"/>
      <w:bookmarkStart w:id="59" w:name="_Toc408249249"/>
      <w:bookmarkStart w:id="60" w:name="_Toc192354828"/>
      <w:bookmarkStart w:id="61" w:name="_Toc197247447"/>
      <w:bookmarkStart w:id="62" w:name="_Toc196153995"/>
      <w:bookmarkStart w:id="63" w:name="_Toc400970102"/>
      <w:bookmarkStart w:id="64" w:name="_Toc196153896"/>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.3 谈判申请文件的详细评审</w:t>
      </w:r>
      <w:bookmarkEnd w:id="56"/>
      <w:bookmarkEnd w:id="57"/>
      <w:bookmarkEnd w:id="58"/>
      <w:bookmarkEnd w:id="59"/>
      <w:bookmarkEnd w:id="60"/>
      <w:bookmarkEnd w:id="61"/>
      <w:bookmarkEnd w:id="62"/>
      <w:bookmarkEnd w:id="63"/>
      <w:bookmarkEnd w:id="64"/>
    </w:p>
    <w:p w14:paraId="44F26444">
      <w:pPr>
        <w:pStyle w:val="4"/>
        <w:keepNext w:val="0"/>
        <w:keepLines w:val="0"/>
        <w:pageBreakBefore w:val="0"/>
        <w:widowControl w:val="0"/>
        <w:numPr>
          <w:ilvl w:val="0"/>
          <w:numId w:val="0"/>
        </w:numPr>
        <w:tabs>
          <w:tab w:val="left" w:pos="425"/>
          <w:tab w:val="left" w:pos="1148"/>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65" w:name="_Toc32405690"/>
      <w:bookmarkStart w:id="66" w:name="_Toc32482816"/>
      <w:bookmarkStart w:id="67" w:name="_Toc32404463"/>
      <w:bookmarkStart w:id="68" w:name="_Toc13129"/>
      <w:bookmarkStart w:id="69" w:name="_Toc522005482"/>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（一）评选办法</w:t>
      </w:r>
      <w:bookmarkEnd w:id="65"/>
      <w:bookmarkEnd w:id="66"/>
      <w:bookmarkEnd w:id="67"/>
      <w:bookmarkEnd w:id="68"/>
      <w:bookmarkEnd w:id="69"/>
    </w:p>
    <w:p w14:paraId="09B20F33">
      <w:pPr>
        <w:pStyle w:val="27"/>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70" w:name="_Toc261857531"/>
      <w:bookmarkEnd w:id="70"/>
      <w:bookmarkStart w:id="71" w:name="_Toc261857550"/>
      <w:bookmarkEnd w:id="71"/>
      <w:bookmarkStart w:id="72" w:name="_Toc261857544"/>
      <w:bookmarkEnd w:id="72"/>
      <w:bookmarkStart w:id="73" w:name="_Toc261857556"/>
      <w:bookmarkEnd w:id="73"/>
      <w:bookmarkStart w:id="74" w:name="_Toc261857581"/>
      <w:bookmarkEnd w:id="74"/>
      <w:bookmarkStart w:id="75" w:name="_Toc261857587"/>
      <w:bookmarkEnd w:id="75"/>
      <w:bookmarkStart w:id="76" w:name="_Toc261857568"/>
      <w:bookmarkEnd w:id="7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项目采用综合评分法，是指参选文件满足比选文件全部实质性要求且按评审因素的量化指标评审得分最高的比选申请人为中标候选人的评审方法。比选文件中“★”条款为实质性要求项，比选申请人必须满足，否则为无效投标</w:t>
      </w:r>
    </w:p>
    <w:p w14:paraId="39919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评审时，委员会各成员应当独立对每个有效参选的文件进行评价、打分，然后汇总每个比选申请人每项评分因素的得分。最终得分最高者即为中标人。</w:t>
      </w:r>
    </w:p>
    <w:p w14:paraId="28534682">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评分标准</w:t>
      </w:r>
    </w:p>
    <w:bookmarkEnd w:id="21"/>
    <w:bookmarkEnd w:id="22"/>
    <w:bookmarkEnd w:id="23"/>
    <w:tbl>
      <w:tblPr>
        <w:tblStyle w:val="56"/>
        <w:tblW w:w="10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859"/>
        <w:gridCol w:w="8230"/>
      </w:tblGrid>
      <w:tr w14:paraId="6B2B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98" w:type="dxa"/>
            <w:vAlign w:val="center"/>
          </w:tcPr>
          <w:p w14:paraId="10CD1711">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center"/>
              <w:rPr>
                <w:rFonts w:hint="default" w:ascii="Times New Roman" w:hAnsi="Times New Roman" w:eastAsia="宋体" w:cs="Times New Roman"/>
                <w:b/>
                <w:bCs/>
                <w:snapToGrid w:val="0"/>
                <w:color w:val="auto"/>
                <w:kern w:val="0"/>
                <w:sz w:val="24"/>
                <w:szCs w:val="24"/>
                <w:lang w:bidi="ar"/>
              </w:rPr>
            </w:pPr>
            <w:bookmarkStart w:id="77" w:name="_Toc468808812"/>
            <w:bookmarkStart w:id="78" w:name="_Toc107822558"/>
            <w:bookmarkStart w:id="79" w:name="_Toc226969360"/>
            <w:bookmarkStart w:id="80" w:name="_Toc227057966"/>
            <w:bookmarkStart w:id="81" w:name="_Toc488655907"/>
            <w:r>
              <w:rPr>
                <w:rFonts w:hint="default" w:ascii="Times New Roman" w:hAnsi="Times New Roman" w:eastAsia="宋体" w:cs="Times New Roman"/>
                <w:b/>
                <w:bCs/>
                <w:snapToGrid w:val="0"/>
                <w:color w:val="auto"/>
                <w:kern w:val="0"/>
                <w:sz w:val="24"/>
                <w:szCs w:val="24"/>
                <w:lang w:bidi="ar"/>
              </w:rPr>
              <w:t>评分因素</w:t>
            </w:r>
          </w:p>
        </w:tc>
        <w:tc>
          <w:tcPr>
            <w:tcW w:w="859" w:type="dxa"/>
            <w:vAlign w:val="center"/>
          </w:tcPr>
          <w:p w14:paraId="1B8B8AD0">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center"/>
              <w:rPr>
                <w:rFonts w:hint="default" w:ascii="Times New Roman" w:hAnsi="Times New Roman" w:eastAsia="宋体" w:cs="Times New Roman"/>
                <w:b/>
                <w:bCs/>
                <w:snapToGrid w:val="0"/>
                <w:color w:val="auto"/>
                <w:kern w:val="0"/>
                <w:sz w:val="24"/>
                <w:szCs w:val="24"/>
                <w:lang w:bidi="ar"/>
              </w:rPr>
            </w:pPr>
            <w:r>
              <w:rPr>
                <w:rFonts w:hint="default" w:ascii="Times New Roman" w:hAnsi="Times New Roman" w:eastAsia="宋体" w:cs="Times New Roman"/>
                <w:b/>
                <w:bCs/>
                <w:snapToGrid w:val="0"/>
                <w:color w:val="auto"/>
                <w:kern w:val="0"/>
                <w:sz w:val="24"/>
                <w:szCs w:val="24"/>
                <w:lang w:bidi="ar"/>
              </w:rPr>
              <w:t>分值</w:t>
            </w:r>
          </w:p>
        </w:tc>
        <w:tc>
          <w:tcPr>
            <w:tcW w:w="8230" w:type="dxa"/>
            <w:vAlign w:val="center"/>
          </w:tcPr>
          <w:p w14:paraId="3E6CD4FD">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center"/>
              <w:rPr>
                <w:rFonts w:hint="default" w:ascii="Times New Roman" w:hAnsi="Times New Roman" w:eastAsia="宋体" w:cs="Times New Roman"/>
                <w:b/>
                <w:bCs/>
                <w:snapToGrid w:val="0"/>
                <w:color w:val="auto"/>
                <w:kern w:val="0"/>
                <w:sz w:val="24"/>
                <w:szCs w:val="24"/>
                <w:lang w:bidi="ar"/>
              </w:rPr>
            </w:pPr>
            <w:r>
              <w:rPr>
                <w:rFonts w:hint="default" w:ascii="Times New Roman" w:hAnsi="Times New Roman" w:eastAsia="宋体" w:cs="Times New Roman"/>
                <w:b/>
                <w:bCs/>
                <w:snapToGrid w:val="0"/>
                <w:color w:val="auto"/>
                <w:kern w:val="0"/>
                <w:sz w:val="24"/>
                <w:szCs w:val="24"/>
                <w:lang w:bidi="ar"/>
              </w:rPr>
              <w:t>评分标准</w:t>
            </w:r>
          </w:p>
        </w:tc>
      </w:tr>
      <w:tr w14:paraId="321D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298" w:type="dxa"/>
            <w:vAlign w:val="center"/>
          </w:tcPr>
          <w:p w14:paraId="79324801">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bCs/>
                <w:snapToGrid w:val="0"/>
                <w:color w:val="auto"/>
                <w:kern w:val="0"/>
                <w:sz w:val="24"/>
                <w:szCs w:val="24"/>
              </w:rPr>
              <w:t>报价部分</w:t>
            </w:r>
          </w:p>
        </w:tc>
        <w:tc>
          <w:tcPr>
            <w:tcW w:w="859" w:type="dxa"/>
            <w:vAlign w:val="center"/>
          </w:tcPr>
          <w:p w14:paraId="71D5FBD0">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bCs/>
                <w:snapToGrid w:val="0"/>
                <w:color w:val="auto"/>
                <w:kern w:val="0"/>
                <w:sz w:val="24"/>
                <w:szCs w:val="24"/>
                <w:lang w:val="en-US" w:eastAsia="zh-CN"/>
              </w:rPr>
              <w:t>20</w:t>
            </w:r>
            <w:r>
              <w:rPr>
                <w:rFonts w:hint="default" w:ascii="Times New Roman" w:hAnsi="Times New Roman" w:eastAsia="仿宋_GB2312" w:cs="Times New Roman"/>
                <w:bCs/>
                <w:snapToGrid w:val="0"/>
                <w:color w:val="auto"/>
                <w:kern w:val="0"/>
                <w:sz w:val="24"/>
                <w:szCs w:val="24"/>
              </w:rPr>
              <w:t>分</w:t>
            </w:r>
          </w:p>
        </w:tc>
        <w:tc>
          <w:tcPr>
            <w:tcW w:w="8230" w:type="dxa"/>
            <w:vAlign w:val="center"/>
          </w:tcPr>
          <w:p w14:paraId="3D86D601">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价格分统一采用采用【基准价法】，并以所有有效报价的算术平均值作为基准价。</w:t>
            </w:r>
          </w:p>
          <w:p w14:paraId="6B681D7A">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 xml:space="preserve">报价得分 = </w:t>
            </w:r>
            <w:r>
              <w:rPr>
                <w:rFonts w:hint="default"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1 - |投标报价 - 评标基准价| / 评标基准价</w:t>
            </w:r>
            <w:r>
              <w:rPr>
                <w:rFonts w:hint="default"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 20</w:t>
            </w:r>
          </w:p>
          <w:p w14:paraId="57B0B88C">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snapToGrid w:val="0"/>
                <w:color w:val="auto"/>
                <w:kern w:val="0"/>
                <w:sz w:val="24"/>
                <w:szCs w:val="24"/>
              </w:rPr>
            </w:pPr>
            <w:r>
              <w:rPr>
                <w:rFonts w:hint="default" w:ascii="Times New Roman" w:hAnsi="Times New Roman" w:eastAsia="方正楷体_GB2312" w:cs="Times New Roman"/>
                <w:snapToGrid w:val="0"/>
                <w:color w:val="auto"/>
                <w:kern w:val="0"/>
                <w:sz w:val="24"/>
                <w:szCs w:val="24"/>
              </w:rPr>
              <w:t>说明：报价等于基准价得20分，每偏离基准价1%，扣0.2分，扣完为止。评标基准价为所有有效投标人报价的算术平均值。得分保留小数点后两位。</w:t>
            </w:r>
          </w:p>
        </w:tc>
      </w:tr>
      <w:tr w14:paraId="2E3D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298" w:type="dxa"/>
            <w:vMerge w:val="restart"/>
            <w:vAlign w:val="center"/>
          </w:tcPr>
          <w:p w14:paraId="73557060">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highlight w:val="none"/>
              </w:rPr>
            </w:pPr>
            <w:r>
              <w:rPr>
                <w:rFonts w:hint="default" w:ascii="Times New Roman" w:hAnsi="Times New Roman" w:eastAsia="仿宋_GB2312" w:cs="Times New Roman"/>
                <w:bCs/>
                <w:snapToGrid w:val="0"/>
                <w:color w:val="auto"/>
                <w:kern w:val="0"/>
                <w:sz w:val="24"/>
                <w:szCs w:val="24"/>
                <w:highlight w:val="none"/>
              </w:rPr>
              <w:t>商务部分</w:t>
            </w:r>
          </w:p>
        </w:tc>
        <w:tc>
          <w:tcPr>
            <w:tcW w:w="859" w:type="dxa"/>
            <w:vMerge w:val="restart"/>
            <w:vAlign w:val="center"/>
          </w:tcPr>
          <w:p w14:paraId="0C825E6A">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30</w:t>
            </w:r>
            <w:r>
              <w:rPr>
                <w:rFonts w:hint="default" w:ascii="Times New Roman" w:hAnsi="Times New Roman" w:eastAsia="仿宋_GB2312" w:cs="Times New Roman"/>
                <w:bCs/>
                <w:snapToGrid w:val="0"/>
                <w:color w:val="auto"/>
                <w:kern w:val="0"/>
                <w:sz w:val="24"/>
                <w:szCs w:val="24"/>
              </w:rPr>
              <w:t>分</w:t>
            </w:r>
          </w:p>
        </w:tc>
        <w:tc>
          <w:tcPr>
            <w:tcW w:w="8230" w:type="dxa"/>
            <w:vAlign w:val="center"/>
          </w:tcPr>
          <w:p w14:paraId="6AD502BB">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bCs/>
                <w:snapToGrid w:val="0"/>
                <w:color w:val="auto"/>
                <w:kern w:val="0"/>
                <w:sz w:val="24"/>
                <w:szCs w:val="24"/>
                <w:highlight w:val="none"/>
                <w:lang w:eastAsia="zh-CN"/>
              </w:rPr>
            </w:pPr>
            <w:r>
              <w:rPr>
                <w:rFonts w:hint="default" w:ascii="Times New Roman" w:hAnsi="Times New Roman" w:eastAsia="仿宋_GB2312" w:cs="Times New Roman"/>
                <w:bCs/>
                <w:snapToGrid w:val="0"/>
                <w:color w:val="auto"/>
                <w:kern w:val="0"/>
                <w:sz w:val="24"/>
                <w:szCs w:val="24"/>
                <w:highlight w:val="none"/>
              </w:rPr>
              <w:t>1. 类似项目业绩</w:t>
            </w:r>
            <w:r>
              <w:rPr>
                <w:rFonts w:hint="default" w:ascii="Times New Roman" w:hAnsi="Times New Roman" w:eastAsia="仿宋_GB2312" w:cs="Times New Roman"/>
                <w:bCs/>
                <w:snapToGrid w:val="0"/>
                <w:color w:val="auto"/>
                <w:kern w:val="0"/>
                <w:sz w:val="24"/>
                <w:szCs w:val="24"/>
                <w:highlight w:val="none"/>
                <w:lang w:eastAsia="zh-CN"/>
              </w:rPr>
              <w:t>（</w:t>
            </w:r>
            <w:r>
              <w:rPr>
                <w:rFonts w:hint="default" w:ascii="Times New Roman" w:hAnsi="Times New Roman" w:eastAsia="仿宋_GB2312" w:cs="Times New Roman"/>
                <w:bCs/>
                <w:snapToGrid w:val="0"/>
                <w:color w:val="auto"/>
                <w:kern w:val="0"/>
                <w:sz w:val="24"/>
                <w:szCs w:val="24"/>
                <w:highlight w:val="none"/>
              </w:rPr>
              <w:t>15分</w:t>
            </w:r>
            <w:r>
              <w:rPr>
                <w:rFonts w:hint="default" w:ascii="Times New Roman" w:hAnsi="Times New Roman" w:eastAsia="仿宋_GB2312" w:cs="Times New Roman"/>
                <w:bCs/>
                <w:snapToGrid w:val="0"/>
                <w:color w:val="auto"/>
                <w:kern w:val="0"/>
                <w:sz w:val="24"/>
                <w:szCs w:val="24"/>
                <w:highlight w:val="none"/>
                <w:lang w:eastAsia="zh-CN"/>
              </w:rPr>
              <w:t>）</w:t>
            </w:r>
          </w:p>
          <w:p w14:paraId="2503661D">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bCs/>
                <w:snapToGrid w:val="0"/>
                <w:color w:val="auto"/>
                <w:kern w:val="0"/>
                <w:sz w:val="24"/>
                <w:szCs w:val="24"/>
                <w:highlight w:val="none"/>
              </w:rPr>
            </w:pPr>
            <w:r>
              <w:rPr>
                <w:rFonts w:hint="default" w:ascii="Times New Roman" w:hAnsi="Times New Roman" w:eastAsia="仿宋_GB2312" w:cs="Times New Roman"/>
                <w:bCs/>
                <w:snapToGrid w:val="0"/>
                <w:color w:val="auto"/>
                <w:kern w:val="0"/>
                <w:sz w:val="24"/>
                <w:szCs w:val="24"/>
                <w:highlight w:val="none"/>
              </w:rPr>
              <w:t>作为独立承包人，自2021年1月1日以来，承接过政府咨询类、政务服务类、社会调查与数据分析类等相关项目的，每提供一个得5分，本项最多得15分，不提供不得分。</w:t>
            </w:r>
          </w:p>
          <w:p w14:paraId="6F5B1322">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b/>
                <w:bCs/>
                <w:snapToGrid w:val="0"/>
                <w:color w:val="auto"/>
                <w:kern w:val="0"/>
                <w:sz w:val="24"/>
                <w:szCs w:val="24"/>
                <w:highlight w:val="none"/>
              </w:rPr>
            </w:pPr>
            <w:r>
              <w:rPr>
                <w:rFonts w:hint="default" w:ascii="Times New Roman" w:hAnsi="Times New Roman" w:eastAsia="方正楷体_GB2312" w:cs="Times New Roman"/>
                <w:snapToGrid w:val="0"/>
                <w:color w:val="auto"/>
                <w:kern w:val="0"/>
                <w:sz w:val="24"/>
                <w:szCs w:val="24"/>
              </w:rPr>
              <w:t>说明： 投标人应提供业绩的合同关键页等证明文件并加盖公章。</w:t>
            </w:r>
          </w:p>
        </w:tc>
      </w:tr>
      <w:tr w14:paraId="0728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98" w:type="dxa"/>
            <w:vMerge w:val="continue"/>
            <w:vAlign w:val="center"/>
          </w:tcPr>
          <w:p w14:paraId="62C3890C">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bCs/>
                <w:snapToGrid w:val="0"/>
                <w:color w:val="auto"/>
                <w:kern w:val="0"/>
                <w:sz w:val="24"/>
                <w:szCs w:val="24"/>
                <w:lang w:eastAsia="zh-CN"/>
              </w:rPr>
            </w:pPr>
          </w:p>
        </w:tc>
        <w:tc>
          <w:tcPr>
            <w:tcW w:w="859" w:type="dxa"/>
            <w:vMerge w:val="continue"/>
            <w:vAlign w:val="center"/>
          </w:tcPr>
          <w:p w14:paraId="10DC7888">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bCs/>
                <w:snapToGrid w:val="0"/>
                <w:color w:val="auto"/>
                <w:kern w:val="0"/>
                <w:sz w:val="24"/>
                <w:szCs w:val="24"/>
                <w:lang w:val="en-US" w:eastAsia="zh-CN"/>
              </w:rPr>
            </w:pPr>
          </w:p>
        </w:tc>
        <w:tc>
          <w:tcPr>
            <w:tcW w:w="8230" w:type="dxa"/>
            <w:vAlign w:val="center"/>
          </w:tcPr>
          <w:p w14:paraId="1F73B7FE">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2. 项目团队配置 （15分）</w:t>
            </w:r>
          </w:p>
          <w:p w14:paraId="0DE3FD7F">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按照项目要求提供专业的评价研究团队。</w:t>
            </w:r>
          </w:p>
          <w:p w14:paraId="6B8ED9CC">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项目负责人： 具备软考高级证书，提供相关证书得5分；不具备的不得分。</w:t>
            </w:r>
          </w:p>
          <w:p w14:paraId="370A715B">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团队成员： 除项目负责人外，还需至少配备5名项目人员，提供完整服务团队名单及服务承诺书的，得10分，团队成员每缺失1人扣2分。</w:t>
            </w:r>
          </w:p>
          <w:p w14:paraId="4B410DAB">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cs="Times New Roman"/>
                <w:lang w:val="en-US" w:eastAsia="zh-CN"/>
              </w:rPr>
            </w:pPr>
            <w:r>
              <w:rPr>
                <w:rFonts w:hint="default" w:ascii="Times New Roman" w:hAnsi="Times New Roman" w:eastAsia="方正楷体_GB2312" w:cs="Times New Roman"/>
                <w:snapToGrid w:val="0"/>
                <w:color w:val="auto"/>
                <w:kern w:val="0"/>
                <w:sz w:val="24"/>
                <w:szCs w:val="24"/>
                <w:lang w:val="en-US" w:eastAsia="zh-CN"/>
              </w:rPr>
              <w:t>说明： </w:t>
            </w:r>
            <w:r>
              <w:rPr>
                <w:rFonts w:hint="eastAsia" w:ascii="Times New Roman" w:hAnsi="Times New Roman" w:eastAsia="楷体_GB2312" w:cs="Times New Roman"/>
                <w:b w:val="0"/>
                <w:bCs/>
                <w:snapToGrid/>
                <w:color w:val="auto"/>
                <w:kern w:val="2"/>
                <w:sz w:val="24"/>
                <w:szCs w:val="24"/>
                <w:highlight w:val="none"/>
                <w:lang w:val="en-US" w:eastAsia="zh-CN"/>
              </w:rPr>
              <w:t>投标人自拟承诺书，对承诺书格式不做要求。</w:t>
            </w:r>
          </w:p>
        </w:tc>
      </w:tr>
      <w:tr w14:paraId="2603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1298" w:type="dxa"/>
            <w:vMerge w:val="restart"/>
            <w:vAlign w:val="center"/>
          </w:tcPr>
          <w:p w14:paraId="3BB22E1E">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bCs/>
                <w:snapToGrid w:val="0"/>
                <w:color w:val="auto"/>
                <w:kern w:val="0"/>
                <w:sz w:val="24"/>
                <w:szCs w:val="24"/>
              </w:rPr>
              <w:t>技术部分</w:t>
            </w:r>
          </w:p>
        </w:tc>
        <w:tc>
          <w:tcPr>
            <w:tcW w:w="859" w:type="dxa"/>
            <w:vMerge w:val="restart"/>
            <w:vAlign w:val="center"/>
          </w:tcPr>
          <w:p w14:paraId="1DA60BCB">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bCs/>
                <w:snapToGrid w:val="0"/>
                <w:color w:val="auto"/>
                <w:kern w:val="0"/>
                <w:sz w:val="24"/>
                <w:szCs w:val="24"/>
                <w:lang w:val="en-US" w:eastAsia="zh-CN"/>
              </w:rPr>
              <w:t>50</w:t>
            </w:r>
            <w:r>
              <w:rPr>
                <w:rFonts w:hint="default" w:ascii="Times New Roman" w:hAnsi="Times New Roman" w:eastAsia="仿宋_GB2312" w:cs="Times New Roman"/>
                <w:bCs/>
                <w:snapToGrid w:val="0"/>
                <w:color w:val="auto"/>
                <w:kern w:val="0"/>
                <w:sz w:val="24"/>
                <w:szCs w:val="24"/>
              </w:rPr>
              <w:t>分</w:t>
            </w:r>
          </w:p>
        </w:tc>
        <w:tc>
          <w:tcPr>
            <w:tcW w:w="8230" w:type="dxa"/>
            <w:vAlign w:val="center"/>
          </w:tcPr>
          <w:p w14:paraId="262F4661">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仿宋_GB2312" w:cs="Times New Roman"/>
                <w:snapToGrid w:val="0"/>
                <w:color w:val="auto"/>
                <w:kern w:val="0"/>
                <w:sz w:val="24"/>
                <w:szCs w:val="24"/>
              </w:rPr>
              <w:t xml:space="preserve">1. 评价工作方案 </w:t>
            </w:r>
            <w:r>
              <w:rPr>
                <w:rFonts w:hint="default"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40分</w:t>
            </w:r>
            <w:r>
              <w:rPr>
                <w:rFonts w:hint="default" w:ascii="Times New Roman" w:hAnsi="Times New Roman" w:eastAsia="仿宋_GB2312" w:cs="Times New Roman"/>
                <w:snapToGrid w:val="0"/>
                <w:color w:val="auto"/>
                <w:kern w:val="0"/>
                <w:sz w:val="24"/>
                <w:szCs w:val="24"/>
                <w:lang w:eastAsia="zh-CN"/>
              </w:rPr>
              <w:t>）</w:t>
            </w:r>
          </w:p>
          <w:p w14:paraId="3822FA7E">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需对采购人提出的服务内容、服务要求提供完整的评价工作方案，方案应主要包括 ①评价指标体系设计、②数据采集与处理方法、③数据分析模型与方法、④具体实施流程 、⑤成果产出 五大项内容。方案需科学、系统。准确响应要求的得</w:t>
            </w:r>
            <w:r>
              <w:rPr>
                <w:rFonts w:hint="default" w:ascii="Times New Roman" w:hAnsi="Times New Roman" w:eastAsia="仿宋_GB2312" w:cs="Times New Roman"/>
                <w:snapToGrid w:val="0"/>
                <w:color w:val="auto"/>
                <w:kern w:val="0"/>
                <w:sz w:val="24"/>
                <w:szCs w:val="24"/>
                <w:lang w:val="en-US" w:eastAsia="zh-CN"/>
              </w:rPr>
              <w:t>40</w:t>
            </w:r>
            <w:r>
              <w:rPr>
                <w:rFonts w:hint="default" w:ascii="Times New Roman" w:hAnsi="Times New Roman" w:eastAsia="仿宋_GB2312" w:cs="Times New Roman"/>
                <w:snapToGrid w:val="0"/>
                <w:color w:val="auto"/>
                <w:kern w:val="0"/>
                <w:sz w:val="24"/>
                <w:szCs w:val="24"/>
              </w:rPr>
              <w:t>分，每有一项缺项的扣8分，每有一处内容不完整或有缺陷或与项目不匹配的扣1分，扣完为止。</w:t>
            </w:r>
          </w:p>
          <w:p w14:paraId="490F81FD">
            <w:pPr>
              <w:pStyle w:val="2"/>
              <w:keepNext w:val="0"/>
              <w:keepLines w:val="0"/>
              <w:pageBreakBefore w:val="0"/>
              <w:widowControl w:val="0"/>
              <w:kinsoku/>
              <w:wordWrap/>
              <w:overflowPunct/>
              <w:topLinePunct w:val="0"/>
              <w:autoSpaceDE/>
              <w:autoSpaceDN/>
              <w:bidi w:val="0"/>
              <w:spacing w:after="0" w:line="340" w:lineRule="exact"/>
              <w:rPr>
                <w:rFonts w:hint="default" w:ascii="Times New Roman" w:hAnsi="Times New Roman" w:cs="Times New Roman"/>
                <w:lang w:eastAsia="zh-CN"/>
              </w:rPr>
            </w:pPr>
            <w:r>
              <w:rPr>
                <w:rFonts w:hint="default" w:ascii="Times New Roman" w:hAnsi="Times New Roman" w:eastAsia="楷体_GB2312" w:cs="Times New Roman"/>
                <w:b w:val="0"/>
                <w:bCs/>
                <w:snapToGrid/>
                <w:color w:val="auto"/>
                <w:kern w:val="2"/>
                <w:sz w:val="24"/>
                <w:szCs w:val="24"/>
              </w:rPr>
              <w:t>说明：内容不完整或有缺陷或与项目不匹配是指：非专门针对本项目或不适用项目特性的情形、内容不完整或缺少关键节点、套用其他项目方案、内容前后矛盾、不利于项目实施、不可能实现的情形等任意一种情形。</w:t>
            </w:r>
          </w:p>
        </w:tc>
      </w:tr>
      <w:tr w14:paraId="55B8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1298" w:type="dxa"/>
            <w:vMerge w:val="continue"/>
            <w:vAlign w:val="center"/>
          </w:tcPr>
          <w:p w14:paraId="1F030A93">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p>
        </w:tc>
        <w:tc>
          <w:tcPr>
            <w:tcW w:w="859" w:type="dxa"/>
            <w:vMerge w:val="continue"/>
            <w:vAlign w:val="center"/>
          </w:tcPr>
          <w:p w14:paraId="0BC4BBB1">
            <w:pPr>
              <w:keepNext w:val="0"/>
              <w:keepLines w:val="0"/>
              <w:pageBreakBefore w:val="0"/>
              <w:wordWrap/>
              <w:overflowPunct/>
              <w:topLinePunct w:val="0"/>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p>
        </w:tc>
        <w:tc>
          <w:tcPr>
            <w:tcW w:w="8230" w:type="dxa"/>
            <w:vAlign w:val="center"/>
          </w:tcPr>
          <w:p w14:paraId="35884FD2">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仿宋_GB2312" w:cs="Times New Roman"/>
                <w:snapToGrid w:val="0"/>
                <w:color w:val="auto"/>
                <w:kern w:val="0"/>
                <w:sz w:val="24"/>
                <w:szCs w:val="24"/>
              </w:rPr>
              <w:t xml:space="preserve">2. 项目质量保障与组织方案 </w:t>
            </w:r>
            <w:r>
              <w:rPr>
                <w:rFonts w:hint="default"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10分</w:t>
            </w:r>
            <w:r>
              <w:rPr>
                <w:rFonts w:hint="default" w:ascii="Times New Roman" w:hAnsi="Times New Roman" w:eastAsia="仿宋_GB2312" w:cs="Times New Roman"/>
                <w:snapToGrid w:val="0"/>
                <w:color w:val="auto"/>
                <w:kern w:val="0"/>
                <w:sz w:val="24"/>
                <w:szCs w:val="24"/>
                <w:lang w:eastAsia="zh-CN"/>
              </w:rPr>
              <w:t>）</w:t>
            </w:r>
          </w:p>
          <w:p w14:paraId="2CC2786C">
            <w:pPr>
              <w:keepNext w:val="0"/>
              <w:keepLines w:val="0"/>
              <w:pageBreakBefore w:val="0"/>
              <w:widowControl w:val="0"/>
              <w:kinsoku/>
              <w:wordWrap/>
              <w:overflowPunct/>
              <w:topLinePunct w:val="0"/>
              <w:autoSpaceDE/>
              <w:autoSpaceDN/>
              <w:bidi w:val="0"/>
              <w:adjustRightInd w:val="0"/>
              <w:snapToGrid w:val="0"/>
              <w:spacing w:line="340" w:lineRule="exact"/>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需对采购人提出的服务内容、服务要求提供项目质量保障与组织方案，方案应主要包括 ①质量保证与控制措施、②项目进度管理与风险控制二大项内容。准确响应要求的得</w:t>
            </w:r>
            <w:r>
              <w:rPr>
                <w:rFonts w:hint="default" w:ascii="Times New Roman" w:hAnsi="Times New Roman" w:eastAsia="仿宋_GB2312" w:cs="Times New Roman"/>
                <w:snapToGrid w:val="0"/>
                <w:color w:val="auto"/>
                <w:kern w:val="0"/>
                <w:sz w:val="24"/>
                <w:szCs w:val="24"/>
                <w:lang w:val="en-US" w:eastAsia="zh-CN"/>
              </w:rPr>
              <w:t>10</w:t>
            </w:r>
            <w:r>
              <w:rPr>
                <w:rFonts w:hint="default" w:ascii="Times New Roman" w:hAnsi="Times New Roman" w:eastAsia="仿宋_GB2312" w:cs="Times New Roman"/>
                <w:snapToGrid w:val="0"/>
                <w:color w:val="auto"/>
                <w:kern w:val="0"/>
                <w:sz w:val="24"/>
                <w:szCs w:val="24"/>
              </w:rPr>
              <w:t>分，每有一项缺项的扣5分，每有一处内容不完整或有缺陷或与项目不匹配的扣1分，扣完为止。</w:t>
            </w:r>
          </w:p>
          <w:p w14:paraId="1CB9BE1A">
            <w:pPr>
              <w:pStyle w:val="2"/>
              <w:keepNext w:val="0"/>
              <w:keepLines w:val="0"/>
              <w:pageBreakBefore w:val="0"/>
              <w:widowControl w:val="0"/>
              <w:kinsoku/>
              <w:wordWrap/>
              <w:overflowPunct/>
              <w:topLinePunct w:val="0"/>
              <w:autoSpaceDE/>
              <w:autoSpaceDN/>
              <w:bidi w:val="0"/>
              <w:spacing w:after="0" w:line="340" w:lineRule="exact"/>
              <w:rPr>
                <w:rFonts w:hint="default" w:ascii="Times New Roman" w:hAnsi="Times New Roman" w:cs="Times New Roman"/>
              </w:rPr>
            </w:pPr>
            <w:r>
              <w:rPr>
                <w:rFonts w:hint="default" w:ascii="Times New Roman" w:hAnsi="Times New Roman" w:eastAsia="楷体_GB2312" w:cs="Times New Roman"/>
                <w:b w:val="0"/>
                <w:bCs/>
                <w:snapToGrid/>
                <w:color w:val="auto"/>
                <w:kern w:val="2"/>
                <w:sz w:val="24"/>
                <w:szCs w:val="24"/>
              </w:rPr>
              <w:t>说明：内容不完整或有缺陷或与项目不匹配是指：非专门针对本项目或不适用项目特性的情形、内容不完整或缺少关键节点、套用其他项目方案、内容前后矛盾、不利于项目实施、不可能实现的情形等任意一种情形。</w:t>
            </w:r>
          </w:p>
        </w:tc>
      </w:tr>
    </w:tbl>
    <w:p w14:paraId="43E4E849">
      <w:pPr>
        <w:rPr>
          <w:rFonts w:hint="eastAsia" w:ascii="仿宋_GB2312" w:hAnsi="仿宋_GB2312" w:eastAsia="仿宋_GB2312" w:cs="仿宋_GB2312"/>
          <w:sz w:val="24"/>
        </w:rPr>
      </w:pPr>
      <w:r>
        <w:rPr>
          <w:rFonts w:hint="eastAsia" w:ascii="仿宋_GB2312" w:hAnsi="仿宋_GB2312" w:eastAsia="仿宋_GB2312" w:cs="仿宋_GB2312"/>
          <w:sz w:val="24"/>
        </w:rPr>
        <w:t>注： 评分的取值按四舍五入法，保留小数点后两位。</w:t>
      </w:r>
    </w:p>
    <w:p w14:paraId="4CB3FD0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r>
        <w:rPr>
          <w:rFonts w:ascii="华文细黑" w:hAnsi="华文细黑" w:eastAsia="华文细黑"/>
          <w:b/>
          <w:bCs/>
          <w:color w:val="000000" w:themeColor="text1"/>
          <w:sz w:val="24"/>
          <w14:textFill>
            <w14:solidFill>
              <w14:schemeClr w14:val="tx1"/>
            </w14:solidFill>
          </w14:textFill>
        </w:rPr>
        <w:t>3.</w:t>
      </w:r>
      <w:r>
        <w:rPr>
          <w:rFonts w:hint="eastAsia" w:ascii="华文细黑" w:hAnsi="华文细黑" w:eastAsia="华文细黑"/>
          <w:b/>
          <w:bCs/>
          <w:color w:val="000000" w:themeColor="text1"/>
          <w:sz w:val="24"/>
          <w:lang w:val="en-US" w:eastAsia="zh-CN"/>
          <w14:textFill>
            <w14:solidFill>
              <w14:schemeClr w14:val="tx1"/>
            </w14:solidFill>
          </w14:textFill>
        </w:rPr>
        <w:t>3</w:t>
      </w:r>
      <w:r>
        <w:rPr>
          <w:rFonts w:ascii="华文细黑" w:hAnsi="华文细黑" w:eastAsia="华文细黑"/>
          <w:b/>
          <w:bCs/>
          <w:color w:val="000000" w:themeColor="text1"/>
          <w:sz w:val="24"/>
          <w14:textFill>
            <w14:solidFill>
              <w14:schemeClr w14:val="tx1"/>
            </w14:solidFill>
          </w14:textFill>
        </w:rPr>
        <w:t xml:space="preserve">  </w:t>
      </w:r>
      <w:bookmarkStart w:id="82" w:name="_Toc107822560"/>
      <w:bookmarkStart w:id="83" w:name="_Toc226969362"/>
      <w:bookmarkStart w:id="84" w:name="_Toc488655909"/>
      <w:bookmarkStart w:id="85" w:name="_Toc227057968"/>
      <w:r>
        <w:rPr>
          <w:rFonts w:hint="eastAsia" w:ascii="华文细黑" w:hAnsi="华文细黑" w:eastAsia="华文细黑"/>
          <w:b/>
          <w:bCs/>
          <w:color w:val="000000" w:themeColor="text1"/>
          <w:sz w:val="24"/>
          <w14:textFill>
            <w14:solidFill>
              <w14:schemeClr w14:val="tx1"/>
            </w14:solidFill>
          </w14:textFill>
        </w:rPr>
        <w:t>报价表（格式）</w:t>
      </w:r>
      <w:bookmarkEnd w:id="77"/>
    </w:p>
    <w:bookmarkEnd w:id="78"/>
    <w:bookmarkEnd w:id="79"/>
    <w:bookmarkEnd w:id="80"/>
    <w:bookmarkEnd w:id="81"/>
    <w:bookmarkEnd w:id="82"/>
    <w:bookmarkEnd w:id="83"/>
    <w:bookmarkEnd w:id="84"/>
    <w:bookmarkEnd w:id="85"/>
    <w:p w14:paraId="267B0631">
      <w:pPr>
        <w:pageBreakBefore w:val="0"/>
        <w:kinsoku/>
        <w:wordWrap/>
        <w:overflowPunct/>
        <w:topLinePunct w:val="0"/>
        <w:bidi w:val="0"/>
        <w:spacing w:line="540" w:lineRule="exact"/>
        <w:ind w:left="0" w:leftChars="0" w:right="0"/>
        <w:jc w:val="center"/>
        <w:textAlignment w:val="auto"/>
        <w:rPr>
          <w:rFonts w:hint="eastAsia"/>
          <w:b/>
          <w:color w:val="000000" w:themeColor="text1"/>
          <w:sz w:val="32"/>
          <w:szCs w:val="32"/>
          <w:lang w:val="en-US" w:eastAsia="zh-CN"/>
          <w14:textFill>
            <w14:solidFill>
              <w14:schemeClr w14:val="tx1"/>
            </w14:solidFill>
          </w14:textFill>
        </w:rPr>
      </w:pPr>
      <w:bookmarkStart w:id="86" w:name="_Toc516487564"/>
      <w:bookmarkStart w:id="87" w:name="_Toc527444256"/>
    </w:p>
    <w:p w14:paraId="7D079991">
      <w:pPr>
        <w:pageBreakBefore w:val="0"/>
        <w:kinsoku/>
        <w:wordWrap/>
        <w:overflowPunct/>
        <w:topLinePunct w:val="0"/>
        <w:bidi w:val="0"/>
        <w:spacing w:line="540" w:lineRule="exact"/>
        <w:ind w:left="0" w:leftChars="0" w:right="0"/>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报</w:t>
      </w:r>
      <w:r>
        <w:rPr>
          <w:rFonts w:hint="eastAsia"/>
          <w:b/>
          <w:color w:val="000000" w:themeColor="text1"/>
          <w:sz w:val="32"/>
          <w:szCs w:val="32"/>
          <w14:textFill>
            <w14:solidFill>
              <w14:schemeClr w14:val="tx1"/>
            </w14:solidFill>
          </w14:textFill>
        </w:rPr>
        <w:t>价表</w:t>
      </w:r>
    </w:p>
    <w:p w14:paraId="19CE046B">
      <w:pPr>
        <w:pageBreakBefore w:val="0"/>
        <w:kinsoku/>
        <w:wordWrap/>
        <w:overflowPunct/>
        <w:topLinePunct w:val="0"/>
        <w:bidi w:val="0"/>
        <w:spacing w:line="540" w:lineRule="exact"/>
        <w:ind w:left="0" w:leftChars="0" w:right="0"/>
        <w:jc w:val="center"/>
        <w:textAlignment w:val="auto"/>
        <w:rPr>
          <w:color w:val="000000" w:themeColor="text1"/>
          <w:sz w:val="28"/>
          <w:szCs w:val="28"/>
          <w14:textFill>
            <w14:solidFill>
              <w14:schemeClr w14:val="tx1"/>
            </w14:solidFill>
          </w14:textFill>
        </w:rPr>
      </w:pPr>
    </w:p>
    <w:p w14:paraId="1F115DAB">
      <w:pPr>
        <w:pageBreakBefore w:val="0"/>
        <w:kinsoku/>
        <w:wordWrap/>
        <w:overflowPunct/>
        <w:topLinePunct w:val="0"/>
        <w:bidi w:val="0"/>
        <w:spacing w:line="540" w:lineRule="exact"/>
        <w:ind w:left="0" w:leftChars="0" w:right="0" w:firstLine="452" w:firstLineChars="150"/>
        <w:textAlignment w:val="auto"/>
        <w:rPr>
          <w:rFonts w:hint="eastAsia" w:asci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项</w:t>
      </w:r>
      <w:r>
        <w:rPr>
          <w:rFonts w:hint="eastAsia" w:ascii="宋体" w:hAnsi="宋体" w:cs="宋体"/>
          <w:b/>
          <w:color w:val="000000" w:themeColor="text1"/>
          <w:spacing w:val="-20"/>
          <w:sz w:val="30"/>
          <w:szCs w:val="30"/>
          <w14:textFill>
            <w14:solidFill>
              <w14:schemeClr w14:val="tx1"/>
            </w14:solidFill>
          </w14:textFill>
        </w:rPr>
        <w:t>目</w:t>
      </w:r>
      <w:r>
        <w:rPr>
          <w:rFonts w:hint="eastAsia" w:ascii="宋体" w:hAnsi="宋体" w:cs="宋体"/>
          <w:b/>
          <w:color w:val="000000" w:themeColor="text1"/>
          <w:spacing w:val="-20"/>
          <w:sz w:val="30"/>
          <w:szCs w:val="30"/>
          <w:lang w:val="en-US" w:eastAsia="zh-CN"/>
          <w14:textFill>
            <w14:solidFill>
              <w14:schemeClr w14:val="tx1"/>
            </w14:solidFill>
          </w14:textFill>
        </w:rPr>
        <w:t>名称</w:t>
      </w:r>
      <w:r>
        <w:rPr>
          <w:rFonts w:hint="eastAsia" w:ascii="宋体" w:hAnsi="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u w:val="single"/>
          <w:lang w:eastAsia="zh-CN"/>
          <w14:textFill>
            <w14:solidFill>
              <w14:schemeClr w14:val="tx1"/>
            </w14:solidFill>
          </w14:textFill>
        </w:rPr>
        <w:t>四川省政府政务服务和公共资源交易服务中心委托第三方开展优化营商环境（政务服务环境）评价项目</w:t>
      </w:r>
      <w:r>
        <w:rPr>
          <w:rFonts w:hint="eastAsia" w:ascii="宋体" w:hAnsi="宋体" w:cs="宋体"/>
          <w:b/>
          <w:color w:val="000000" w:themeColor="text1"/>
          <w:sz w:val="30"/>
          <w:szCs w:val="30"/>
          <w:u w:val="single"/>
          <w:lang w:val="en-US" w:eastAsia="zh-CN"/>
          <w14:textFill>
            <w14:solidFill>
              <w14:schemeClr w14:val="tx1"/>
            </w14:solidFill>
          </w14:textFill>
        </w:rPr>
        <w:t>报价表</w:t>
      </w:r>
    </w:p>
    <w:p w14:paraId="2131270B">
      <w:pPr>
        <w:pStyle w:val="35"/>
        <w:pageBreakBefore w:val="0"/>
        <w:kinsoku/>
        <w:wordWrap/>
        <w:overflowPunct/>
        <w:topLinePunct w:val="0"/>
        <w:bidi w:val="0"/>
        <w:spacing w:before="0" w:after="0"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p>
    <w:tbl>
      <w:tblPr>
        <w:tblStyle w:val="5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244"/>
        <w:gridCol w:w="3348"/>
      </w:tblGrid>
      <w:tr w14:paraId="7AD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2" w:type="dxa"/>
            <w:vAlign w:val="center"/>
          </w:tcPr>
          <w:p w14:paraId="772A4E6B">
            <w:pPr>
              <w:pageBreakBefore w:val="0"/>
              <w:kinsoku/>
              <w:wordWrap/>
              <w:overflowPunct/>
              <w:topLinePunct w:val="0"/>
              <w:bidi w:val="0"/>
              <w:spacing w:line="540" w:lineRule="exact"/>
              <w:ind w:left="0" w:leftChars="0" w:right="0"/>
              <w:jc w:val="center"/>
              <w:textAlignment w:val="auto"/>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序</w:t>
            </w:r>
            <w:r>
              <w:rPr>
                <w:rFonts w:hint="eastAsia" w:ascii="宋体" w:hAnsi="宋体" w:cs="宋体"/>
                <w:b/>
                <w:color w:val="000000" w:themeColor="text1"/>
                <w:sz w:val="30"/>
                <w:szCs w:val="30"/>
                <w:lang w:val="en-US" w:eastAsia="zh-CN"/>
                <w14:textFill>
                  <w14:solidFill>
                    <w14:schemeClr w14:val="tx1"/>
                  </w14:solidFill>
                </w14:textFill>
              </w:rPr>
              <w:t>号</w:t>
            </w:r>
          </w:p>
        </w:tc>
        <w:tc>
          <w:tcPr>
            <w:tcW w:w="5244" w:type="dxa"/>
            <w:vAlign w:val="center"/>
          </w:tcPr>
          <w:p w14:paraId="25E95F12">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服</w:t>
            </w:r>
            <w:r>
              <w:rPr>
                <w:rFonts w:hint="eastAsia" w:ascii="宋体" w:hAnsi="宋体" w:cs="宋体"/>
                <w:b/>
                <w:color w:val="000000" w:themeColor="text1"/>
                <w:sz w:val="30"/>
                <w:szCs w:val="30"/>
                <w:lang w:val="en-US" w:eastAsia="zh-CN"/>
                <w14:textFill>
                  <w14:solidFill>
                    <w14:schemeClr w14:val="tx1"/>
                  </w14:solidFill>
                </w14:textFill>
              </w:rPr>
              <w:t>务内</w:t>
            </w:r>
            <w:r>
              <w:rPr>
                <w:rFonts w:hint="eastAsia" w:ascii="宋体" w:hAnsi="宋体" w:cs="宋体"/>
                <w:b/>
                <w:color w:val="000000" w:themeColor="text1"/>
                <w:sz w:val="30"/>
                <w:szCs w:val="30"/>
                <w14:textFill>
                  <w14:solidFill>
                    <w14:schemeClr w14:val="tx1"/>
                  </w14:solidFill>
                </w14:textFill>
              </w:rPr>
              <w:t>容</w:t>
            </w:r>
          </w:p>
        </w:tc>
        <w:tc>
          <w:tcPr>
            <w:tcW w:w="3348" w:type="dxa"/>
            <w:vAlign w:val="center"/>
          </w:tcPr>
          <w:p w14:paraId="34C393F0">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报</w:t>
            </w:r>
            <w:r>
              <w:rPr>
                <w:rFonts w:hint="eastAsia" w:ascii="宋体" w:hAnsi="宋体" w:cs="宋体"/>
                <w:b/>
                <w:color w:val="000000" w:themeColor="text1"/>
                <w:sz w:val="30"/>
                <w:szCs w:val="30"/>
                <w14:textFill>
                  <w14:solidFill>
                    <w14:schemeClr w14:val="tx1"/>
                  </w14:solidFill>
                </w14:textFill>
              </w:rPr>
              <w:t>价（元）</w:t>
            </w:r>
          </w:p>
        </w:tc>
      </w:tr>
      <w:tr w14:paraId="274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00F02D0D">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1</w:t>
            </w:r>
          </w:p>
        </w:tc>
        <w:tc>
          <w:tcPr>
            <w:tcW w:w="5244" w:type="dxa"/>
            <w:vAlign w:val="center"/>
          </w:tcPr>
          <w:p w14:paraId="062CA81C">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F0B88DA">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73C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84C6F4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2</w:t>
            </w:r>
          </w:p>
        </w:tc>
        <w:tc>
          <w:tcPr>
            <w:tcW w:w="5244" w:type="dxa"/>
            <w:vAlign w:val="center"/>
          </w:tcPr>
          <w:p w14:paraId="71271FA4">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3962C07">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22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29377DFF">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3</w:t>
            </w:r>
          </w:p>
        </w:tc>
        <w:tc>
          <w:tcPr>
            <w:tcW w:w="5244" w:type="dxa"/>
            <w:vAlign w:val="center"/>
          </w:tcPr>
          <w:p w14:paraId="272D2792">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14E36172">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0EA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66707E8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w:t>
            </w:r>
          </w:p>
        </w:tc>
        <w:tc>
          <w:tcPr>
            <w:tcW w:w="5244" w:type="dxa"/>
            <w:vAlign w:val="center"/>
          </w:tcPr>
          <w:p w14:paraId="66F1354F">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74C9F8B0">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2BC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ADD6EE2">
            <w:pPr>
              <w:pageBreakBefore w:val="0"/>
              <w:kinsoku/>
              <w:wordWrap/>
              <w:overflowPunct/>
              <w:topLinePunct w:val="0"/>
              <w:bidi w:val="0"/>
              <w:spacing w:line="540" w:lineRule="exact"/>
              <w:ind w:left="0" w:leftChars="0" w:right="0"/>
              <w:jc w:val="center"/>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w:t>
            </w:r>
            <w:r>
              <w:rPr>
                <w:rFonts w:hint="eastAsia" w:ascii="宋体" w:hAnsi="宋体" w:cs="宋体"/>
                <w:color w:val="000000" w:themeColor="text1"/>
                <w:sz w:val="30"/>
                <w:szCs w:val="30"/>
                <w:lang w:eastAsia="zh-CN"/>
                <w14:textFill>
                  <w14:solidFill>
                    <w14:schemeClr w14:val="tx1"/>
                  </w14:solidFill>
                </w14:textFill>
              </w:rPr>
              <w:t>计</w:t>
            </w:r>
          </w:p>
        </w:tc>
        <w:tc>
          <w:tcPr>
            <w:tcW w:w="8592" w:type="dxa"/>
            <w:gridSpan w:val="2"/>
            <w:vAlign w:val="center"/>
          </w:tcPr>
          <w:p w14:paraId="2E527B47">
            <w:pPr>
              <w:pageBreakBefore w:val="0"/>
              <w:kinsoku/>
              <w:wordWrap/>
              <w:overflowPunct/>
              <w:topLinePunct w:val="0"/>
              <w:bidi w:val="0"/>
              <w:spacing w:line="540" w:lineRule="exact"/>
              <w:ind w:left="0" w:leftChars="0" w:right="0"/>
              <w:jc w:val="left"/>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小</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p>
        </w:tc>
      </w:tr>
    </w:tbl>
    <w:p w14:paraId="7A4415E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p>
    <w:p w14:paraId="4BF1666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报</w:t>
      </w:r>
      <w:r>
        <w:rPr>
          <w:rFonts w:hint="eastAsia" w:ascii="宋体" w:hAnsi="宋体" w:cs="宋体"/>
          <w:color w:val="000000" w:themeColor="text1"/>
          <w:sz w:val="30"/>
          <w:szCs w:val="30"/>
          <w14:textFill>
            <w14:solidFill>
              <w14:schemeClr w14:val="tx1"/>
            </w14:solidFill>
          </w14:textFill>
        </w:rPr>
        <w:t>价（大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人民</w:t>
      </w:r>
      <w:r>
        <w:rPr>
          <w:rFonts w:hint="eastAsia" w:ascii="宋体" w:hAnsi="宋体" w:cs="宋体"/>
          <w:color w:val="000000" w:themeColor="text1"/>
          <w:sz w:val="30"/>
          <w:szCs w:val="30"/>
          <w:lang w:val="en-US" w:eastAsia="zh-CN"/>
          <w14:textFill>
            <w14:solidFill>
              <w14:schemeClr w14:val="tx1"/>
            </w14:solidFill>
          </w14:textFill>
        </w:rPr>
        <w:t>币</w:t>
      </w:r>
      <w:r>
        <w:rPr>
          <w:rFonts w:hint="eastAsia" w:ascii="宋体" w:hAnsi="宋体" w:cs="宋体"/>
          <w:color w:val="000000" w:themeColor="text1"/>
          <w:sz w:val="30"/>
          <w:szCs w:val="30"/>
          <w14:textFill>
            <w14:solidFill>
              <w14:schemeClr w14:val="tx1"/>
            </w14:solidFill>
          </w14:textFill>
        </w:rPr>
        <w:t>）：</w:t>
      </w:r>
    </w:p>
    <w:p w14:paraId="67A57934">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w:t>
      </w:r>
      <w:r>
        <w:rPr>
          <w:rFonts w:hint="eastAsia" w:ascii="宋体" w:hAnsi="宋体" w:cs="宋体"/>
          <w:color w:val="000000" w:themeColor="text1"/>
          <w:sz w:val="30"/>
          <w:szCs w:val="30"/>
          <w:lang w:val="en-US" w:eastAsia="zh-CN"/>
          <w14:textFill>
            <w14:solidFill>
              <w14:schemeClr w14:val="tx1"/>
            </w14:solidFill>
          </w14:textFill>
        </w:rPr>
        <w:t>应</w:t>
      </w:r>
      <w:r>
        <w:rPr>
          <w:rFonts w:hint="eastAsia" w:ascii="宋体" w:hAnsi="宋体" w:cs="宋体"/>
          <w:color w:val="000000" w:themeColor="text1"/>
          <w:sz w:val="30"/>
          <w:szCs w:val="30"/>
          <w14:textFill>
            <w14:solidFill>
              <w14:schemeClr w14:val="tx1"/>
            </w14:solidFill>
          </w14:textFill>
        </w:rPr>
        <w:t>商名</w:t>
      </w:r>
      <w:r>
        <w:rPr>
          <w:rFonts w:hint="eastAsia" w:ascii="宋体" w:hAnsi="宋体" w:cs="宋体"/>
          <w:color w:val="000000" w:themeColor="text1"/>
          <w:sz w:val="30"/>
          <w:szCs w:val="30"/>
          <w:lang w:val="en-US" w:eastAsia="zh-CN"/>
          <w14:textFill>
            <w14:solidFill>
              <w14:schemeClr w14:val="tx1"/>
            </w14:solidFill>
          </w14:textFill>
        </w:rPr>
        <w:t>称</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pacing w:val="6"/>
          <w:sz w:val="30"/>
          <w:szCs w:val="30"/>
          <w14:textFill>
            <w14:solidFill>
              <w14:schemeClr w14:val="tx1"/>
            </w14:solidFill>
          </w14:textFill>
        </w:rPr>
        <w:t>(</w:t>
      </w:r>
      <w:r>
        <w:rPr>
          <w:rFonts w:hint="eastAsia" w:ascii="宋体" w:hAnsi="宋体" w:cs="宋体"/>
          <w:color w:val="000000" w:themeColor="text1"/>
          <w:spacing w:val="6"/>
          <w:sz w:val="30"/>
          <w:szCs w:val="30"/>
          <w14:textFill>
            <w14:solidFill>
              <w14:schemeClr w14:val="tx1"/>
            </w14:solidFill>
          </w14:textFill>
        </w:rPr>
        <w:t>加</w:t>
      </w:r>
      <w:r>
        <w:rPr>
          <w:rFonts w:hint="eastAsia" w:ascii="宋体" w:hAnsi="宋体" w:cs="宋体"/>
          <w:color w:val="000000" w:themeColor="text1"/>
          <w:spacing w:val="6"/>
          <w:sz w:val="30"/>
          <w:szCs w:val="30"/>
          <w:lang w:val="en-US" w:eastAsia="zh-CN"/>
          <w14:textFill>
            <w14:solidFill>
              <w14:schemeClr w14:val="tx1"/>
            </w14:solidFill>
          </w14:textFill>
        </w:rPr>
        <w:t>盖</w:t>
      </w:r>
      <w:r>
        <w:rPr>
          <w:rFonts w:hint="eastAsia" w:ascii="宋体" w:hAnsi="宋体" w:cs="宋体"/>
          <w:color w:val="000000" w:themeColor="text1"/>
          <w:spacing w:val="6"/>
          <w:sz w:val="30"/>
          <w:szCs w:val="30"/>
          <w14:textFill>
            <w14:solidFill>
              <w14:schemeClr w14:val="tx1"/>
            </w14:solidFill>
          </w14:textFill>
        </w:rPr>
        <w:t>公章</w:t>
      </w:r>
      <w:r>
        <w:rPr>
          <w:rFonts w:ascii="宋体" w:hAnsi="宋体" w:cs="宋体"/>
          <w:color w:val="000000" w:themeColor="text1"/>
          <w:spacing w:val="6"/>
          <w:sz w:val="30"/>
          <w:szCs w:val="30"/>
          <w14:textFill>
            <w14:solidFill>
              <w14:schemeClr w14:val="tx1"/>
            </w14:solidFill>
          </w14:textFill>
        </w:rPr>
        <w:t>)</w:t>
      </w:r>
    </w:p>
    <w:p w14:paraId="722FBEA1">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法定代表人或代理人：</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签</w:t>
      </w:r>
      <w:r>
        <w:rPr>
          <w:rFonts w:hint="eastAsia" w:ascii="宋体" w:hAnsi="宋体" w:cs="宋体"/>
          <w:color w:val="000000" w:themeColor="text1"/>
          <w:sz w:val="30"/>
          <w:szCs w:val="30"/>
          <w14:textFill>
            <w14:solidFill>
              <w14:schemeClr w14:val="tx1"/>
            </w14:solidFill>
          </w14:textFill>
        </w:rPr>
        <w:t>字）</w:t>
      </w:r>
    </w:p>
    <w:p w14:paraId="155180D5">
      <w:pPr>
        <w:pageBreakBefore w:val="0"/>
        <w:kinsoku/>
        <w:wordWrap/>
        <w:overflowPunct/>
        <w:topLinePunct w:val="0"/>
        <w:bidi w:val="0"/>
        <w:spacing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日期：</w:t>
      </w:r>
    </w:p>
    <w:p w14:paraId="0A2CAB84">
      <w:pPr>
        <w:pStyle w:val="27"/>
        <w:pageBreakBefore w:val="0"/>
        <w:kinsoku/>
        <w:wordWrap/>
        <w:overflowPunct/>
        <w:topLinePunct w:val="0"/>
        <w:bidi w:val="0"/>
        <w:adjustRightInd w:val="0"/>
        <w:snapToGrid w:val="0"/>
        <w:spacing w:line="540" w:lineRule="exact"/>
        <w:ind w:left="602" w:leftChars="0" w:right="0" w:hanging="602" w:hangingChars="20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说明：报价应是包括</w:t>
      </w:r>
      <w:r>
        <w:rPr>
          <w:rFonts w:hint="eastAsia" w:asciiTheme="minorEastAsia" w:hAnsiTheme="minorEastAsia" w:eastAsiaTheme="minorEastAsia" w:cstheme="minorEastAsia"/>
          <w:b/>
          <w:color w:val="000000" w:themeColor="text1"/>
          <w:sz w:val="30"/>
          <w:szCs w:val="30"/>
          <w:lang w:val="en-US" w:eastAsia="zh-CN"/>
          <w14:textFill>
            <w14:solidFill>
              <w14:schemeClr w14:val="tx1"/>
            </w14:solidFill>
          </w14:textFill>
        </w:rPr>
        <w:t>邀请文件中</w:t>
      </w:r>
      <w:r>
        <w:rPr>
          <w:rFonts w:hint="eastAsia" w:asciiTheme="minorEastAsia" w:hAnsiTheme="minorEastAsia" w:eastAsiaTheme="minorEastAsia" w:cstheme="minorEastAsia"/>
          <w:b/>
          <w:color w:val="000000" w:themeColor="text1"/>
          <w:sz w:val="30"/>
          <w:szCs w:val="30"/>
          <w14:textFill>
            <w14:solidFill>
              <w14:schemeClr w14:val="tx1"/>
            </w14:solidFill>
          </w14:textFill>
        </w:rPr>
        <w:t>规定的全部响应内容的报价（包含中标供应商应承担的物耗、人工、税费等）。</w:t>
      </w:r>
      <w:bookmarkEnd w:id="86"/>
      <w:bookmarkEnd w:id="87"/>
    </w:p>
    <w:p w14:paraId="57F9104A">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10A66D89">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4340FAF">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eastAsia="zh-CN"/>
          <w14:textFill>
            <w14:solidFill>
              <w14:schemeClr w14:val="tx1"/>
            </w14:solidFill>
          </w14:textFill>
        </w:rPr>
      </w:pPr>
      <w:r>
        <w:rPr>
          <w:rFonts w:hint="eastAsia" w:ascii="华文细黑" w:hAnsi="华文细黑" w:eastAsia="华文细黑"/>
          <w:b/>
          <w:bCs/>
          <w:color w:val="000000" w:themeColor="text1"/>
          <w:sz w:val="24"/>
          <w:lang w:val="en-US" w:eastAsia="zh-CN"/>
          <w14:textFill>
            <w14:solidFill>
              <w14:schemeClr w14:val="tx1"/>
            </w14:solidFill>
          </w14:textFill>
        </w:rPr>
        <w:t>3.5</w:t>
      </w:r>
      <w:r>
        <w:rPr>
          <w:rFonts w:hint="eastAsia" w:ascii="华文细黑" w:hAnsi="华文细黑" w:eastAsia="华文细黑"/>
          <w:b/>
          <w:bCs/>
          <w:color w:val="000000" w:themeColor="text1"/>
          <w:sz w:val="24"/>
          <w14:textFill>
            <w14:solidFill>
              <w14:schemeClr w14:val="tx1"/>
            </w14:solidFill>
          </w14:textFill>
        </w:rPr>
        <w:t>声明</w:t>
      </w:r>
      <w:r>
        <w:rPr>
          <w:rFonts w:hint="eastAsia" w:ascii="华文细黑" w:hAnsi="华文细黑" w:eastAsia="华文细黑"/>
          <w:b/>
          <w:bCs/>
          <w:color w:val="000000" w:themeColor="text1"/>
          <w:sz w:val="24"/>
          <w:lang w:eastAsia="zh-CN"/>
          <w14:textFill>
            <w14:solidFill>
              <w14:schemeClr w14:val="tx1"/>
            </w14:solidFill>
          </w14:textFill>
        </w:rPr>
        <w:t>（格式）</w:t>
      </w:r>
    </w:p>
    <w:p w14:paraId="04D0E023">
      <w:pPr>
        <w:pStyle w:val="2"/>
        <w:keepNext w:val="0"/>
        <w:keepLines w:val="0"/>
        <w:pageBreakBefore w:val="0"/>
        <w:widowControl w:val="0"/>
        <w:kinsoku/>
        <w:wordWrap/>
        <w:overflowPunct/>
        <w:topLinePunct w:val="0"/>
        <w:autoSpaceDE/>
        <w:autoSpaceDN/>
        <w:bidi w:val="0"/>
        <w:spacing w:line="540" w:lineRule="exact"/>
        <w:ind w:left="0" w:leftChars="0" w:right="0"/>
        <w:jc w:val="center"/>
        <w:textAlignment w:val="auto"/>
        <w:rPr>
          <w:rFonts w:hint="eastAsia" w:ascii="宋体" w:hAnsi="宋体" w:eastAsia="宋体" w:cs="Times New Roman"/>
          <w:b/>
          <w:color w:val="000000" w:themeColor="text1"/>
          <w:kern w:val="2"/>
          <w:sz w:val="28"/>
          <w:szCs w:val="28"/>
          <w:u w:val="single"/>
          <w:lang w:val="en-US" w:eastAsia="zh-CN" w:bidi="ar-SA"/>
          <w14:textFill>
            <w14:solidFill>
              <w14:schemeClr w14:val="tx1"/>
            </w14:solidFill>
          </w14:textFill>
        </w:rPr>
      </w:pPr>
      <w:r>
        <w:rPr>
          <w:rFonts w:hint="eastAsia" w:ascii="宋体" w:hAnsi="宋体" w:eastAsia="宋体" w:cs="Times New Roman"/>
          <w:b/>
          <w:color w:val="000000" w:themeColor="text1"/>
          <w:kern w:val="2"/>
          <w:sz w:val="36"/>
          <w:szCs w:val="36"/>
          <w:u w:val="none"/>
          <w:lang w:val="en-US" w:eastAsia="zh-CN" w:bidi="ar-SA"/>
          <w14:textFill>
            <w14:solidFill>
              <w14:schemeClr w14:val="tx1"/>
            </w14:solidFill>
          </w14:textFill>
        </w:rPr>
        <w:t>声  明</w:t>
      </w:r>
    </w:p>
    <w:p w14:paraId="3AD74E71">
      <w:pPr>
        <w:keepNext w:val="0"/>
        <w:keepLines w:val="0"/>
        <w:pageBreakBefore w:val="0"/>
        <w:widowControl w:val="0"/>
        <w:kinsoku/>
        <w:wordWrap/>
        <w:overflowPunct/>
        <w:topLinePunct w:val="0"/>
        <w:autoSpaceDE/>
        <w:autoSpaceDN/>
        <w:bidi w:val="0"/>
        <w:spacing w:line="540" w:lineRule="exact"/>
        <w:ind w:left="0" w:leftChars="0" w:right="0"/>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致：</w:t>
      </w:r>
      <w:r>
        <w:rPr>
          <w:rFonts w:hint="eastAsia" w:ascii="宋体" w:hAnsi="宋体"/>
          <w:b/>
          <w:color w:val="000000" w:themeColor="text1"/>
          <w:sz w:val="28"/>
          <w:szCs w:val="28"/>
          <w:u w:val="single"/>
          <w14:textFill>
            <w14:solidFill>
              <w14:schemeClr w14:val="tx1"/>
            </w14:solidFill>
          </w14:textFill>
        </w:rPr>
        <w:t>四川省政府政务服务和公共资源交易服务中心</w:t>
      </w:r>
    </w:p>
    <w:p w14:paraId="4FB528D9">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我单位作为</w:t>
      </w:r>
      <w:r>
        <w:rPr>
          <w:rFonts w:hint="eastAsia" w:ascii="宋体" w:hAnsi="宋体"/>
          <w:color w:val="000000" w:themeColor="text1"/>
          <w:sz w:val="28"/>
          <w:szCs w:val="28"/>
          <w:u w:val="single"/>
          <w:lang w:eastAsia="zh-CN"/>
          <w14:textFill>
            <w14:solidFill>
              <w14:schemeClr w14:val="tx1"/>
            </w14:solidFill>
          </w14:textFill>
        </w:rPr>
        <w:t>四川省政府政务服务和公共资源交易服务中心委托第三方开展优化营商环境（政务服务环境）评价</w:t>
      </w:r>
      <w:r>
        <w:rPr>
          <w:rFonts w:hint="eastAsia" w:ascii="宋体" w:hAnsi="宋体"/>
          <w:color w:val="000000" w:themeColor="text1"/>
          <w:sz w:val="28"/>
          <w:szCs w:val="28"/>
          <w14:textFill>
            <w14:solidFill>
              <w14:schemeClr w14:val="tx1"/>
            </w14:solidFill>
          </w14:textFill>
        </w:rPr>
        <w:t>的供应商，在此郑重声明：</w:t>
      </w:r>
    </w:p>
    <w:p w14:paraId="2EDD480E">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一、我单位参加采购活动前三年内，在经营活动中</w:t>
      </w:r>
      <w:r>
        <w:rPr>
          <w:rFonts w:hint="eastAsia" w:ascii="宋体" w:hAnsi="宋体"/>
          <w:b/>
          <w:color w:val="000000" w:themeColor="text1"/>
          <w:sz w:val="28"/>
          <w:szCs w:val="28"/>
          <w:u w:val="single"/>
          <w14:textFill>
            <w14:solidFill>
              <w14:schemeClr w14:val="tx1"/>
            </w14:solidFill>
          </w14:textFill>
        </w:rPr>
        <w:t>（说明：填写“无”或“有”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重大违法记录。</w:t>
      </w:r>
    </w:p>
    <w:p w14:paraId="2F5E414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二、我单位</w:t>
      </w:r>
      <w:r>
        <w:rPr>
          <w:rFonts w:hint="eastAsia" w:ascii="宋体" w:hAnsi="宋体"/>
          <w:b/>
          <w:color w:val="000000" w:themeColor="text1"/>
          <w:sz w:val="28"/>
          <w:szCs w:val="28"/>
          <w:u w:val="single"/>
          <w14:textFill>
            <w14:solidFill>
              <w14:schemeClr w14:val="tx1"/>
            </w14:solidFill>
          </w14:textFill>
        </w:rPr>
        <w:t>（说明：填写“具有”或“不具有”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良好的商业信誉。</w:t>
      </w:r>
    </w:p>
    <w:p w14:paraId="75E5B24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三、与我单位存在直接控股、管理关系的相关供应商：</w:t>
      </w:r>
      <w:r>
        <w:rPr>
          <w:rFonts w:hint="eastAsia" w:ascii="宋体" w:hAnsi="宋体"/>
          <w:b/>
          <w:color w:val="000000" w:themeColor="text1"/>
          <w:sz w:val="28"/>
          <w:szCs w:val="28"/>
          <w:u w:val="single"/>
          <w14:textFill>
            <w14:solidFill>
              <w14:schemeClr w14:val="tx1"/>
            </w14:solidFill>
          </w14:textFill>
        </w:rPr>
        <w:t>（说明：填写“无”或“（一）供应商名称１；（二）供应商名称２ ；（三）……”）</w:t>
      </w:r>
      <w:r>
        <w:rPr>
          <w:rFonts w:hint="eastAsia" w:ascii="宋体" w:hAnsi="宋体"/>
          <w:b/>
          <w:color w:val="000000" w:themeColor="text1"/>
          <w:sz w:val="28"/>
          <w:szCs w:val="28"/>
          <w14:textFill>
            <w14:solidFill>
              <w14:schemeClr w14:val="tx1"/>
            </w14:solidFill>
          </w14:textFill>
        </w:rPr>
        <w:t>。</w:t>
      </w:r>
    </w:p>
    <w:p w14:paraId="03C2E6E8">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四、在行贿犯罪信息查询期限内，我公司及我公司现任法定代表人、主要负责人</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14:textFill>
            <w14:solidFill>
              <w14:schemeClr w14:val="tx1"/>
            </w14:solidFill>
          </w14:textFill>
        </w:rPr>
        <w:t>行贿犯罪记录。</w:t>
      </w:r>
    </w:p>
    <w:p w14:paraId="3EC920C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失信被执行人、重大税收违法案件当事人名单。</w:t>
      </w:r>
    </w:p>
    <w:p w14:paraId="33B4E45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采购严重违法失信行为记录名单。</w:t>
      </w:r>
    </w:p>
    <w:p w14:paraId="3D282EEE">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未依法缴纳税收和社会保障资金的不良记录。</w:t>
      </w:r>
    </w:p>
    <w:p w14:paraId="147D430B">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特此声明。</w:t>
      </w:r>
    </w:p>
    <w:p w14:paraId="0FD050D9">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供应商名称：</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(加盖公章)</w:t>
      </w:r>
    </w:p>
    <w:p w14:paraId="5D29A84A">
      <w:pPr>
        <w:keepNext w:val="0"/>
        <w:keepLines w:val="0"/>
        <w:pageBreakBefore w:val="0"/>
        <w:widowControl w:val="0"/>
        <w:kinsoku/>
        <w:wordWrap/>
        <w:overflowPunct/>
        <w:topLinePunct w:val="0"/>
        <w:autoSpaceDE/>
        <w:autoSpaceDN/>
        <w:bidi w:val="0"/>
        <w:spacing w:line="540" w:lineRule="exact"/>
        <w:ind w:left="0" w:leftChars="0" w:right="0" w:firstLine="525"/>
        <w:textAlignment w:val="auto"/>
        <w:rPr>
          <w:rFonts w:asci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1" w:fontKey="{163DE1B1-DCDF-4585-8F82-913274313491}"/>
  </w:font>
  <w:font w:name="仿宋_GB2312">
    <w:panose1 w:val="02010609030101010101"/>
    <w:charset w:val="86"/>
    <w:family w:val="modern"/>
    <w:pitch w:val="default"/>
    <w:sig w:usb0="00000001" w:usb1="080E0000" w:usb2="00000000" w:usb3="00000000" w:csb0="00040000" w:csb1="00000000"/>
    <w:embedRegular r:id="rId2" w:fontKey="{DFF7124C-A139-43F5-8905-C142337E7FE6}"/>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五">
    <w:altName w:val="黑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roman"/>
    <w:pitch w:val="default"/>
    <w:sig w:usb0="E4002EFF" w:usb1="C000247B" w:usb2="00000009" w:usb3="00000000" w:csb0="200001FF" w:csb1="00000000"/>
  </w:font>
  <w:font w:name="Arial Narrow">
    <w:altName w:val="Arial"/>
    <w:panose1 w:val="00000000000000000000"/>
    <w:charset w:val="00"/>
    <w:family w:val="swiss"/>
    <w:pitch w:val="default"/>
    <w:sig w:usb0="00000000" w:usb1="00000000" w:usb2="00000000" w:usb3="00000000" w:csb0="00000001" w:csb1="00000000"/>
  </w:font>
  <w:font w:name="華康簡楷">
    <w:altName w:val="楷体_GB2312"/>
    <w:panose1 w:val="00000000000000000000"/>
    <w:charset w:val="88"/>
    <w:family w:val="script"/>
    <w:pitch w:val="default"/>
    <w:sig w:usb0="00000000" w:usb1="00000000" w:usb2="00000010" w:usb3="00000000" w:csb0="00100000" w:csb1="00000000"/>
  </w:font>
  <w:font w:name="Century Goth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embedRegular r:id="rId3" w:fontKey="{52A1DA20-4C09-4B37-8F65-C587DF167236}"/>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E45D6C3B-16A5-442F-B000-093389EC21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BA4C">
    <w:pPr>
      <w:pStyle w:val="33"/>
      <w:jc w:val="center"/>
    </w:pPr>
    <w:r>
      <w:rPr>
        <w:rStyle w:val="61"/>
        <w:rFonts w:hint="eastAsia"/>
      </w:rPr>
      <w:t>第</w:t>
    </w:r>
    <w:r>
      <w:rPr>
        <w:rStyle w:val="61"/>
      </w:rPr>
      <w:fldChar w:fldCharType="begin"/>
    </w:r>
    <w:r>
      <w:rPr>
        <w:rStyle w:val="61"/>
      </w:rPr>
      <w:instrText xml:space="preserve"> PAGE </w:instrText>
    </w:r>
    <w:r>
      <w:rPr>
        <w:rStyle w:val="61"/>
      </w:rPr>
      <w:fldChar w:fldCharType="separate"/>
    </w:r>
    <w:r>
      <w:rPr>
        <w:rStyle w:val="61"/>
      </w:rPr>
      <w:t>5</w:t>
    </w:r>
    <w:r>
      <w:rPr>
        <w:rStyle w:val="61"/>
      </w:rPr>
      <w:fldChar w:fldCharType="end"/>
    </w:r>
    <w:r>
      <w:rPr>
        <w:rStyle w:val="6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EFE0">
    <w:pPr>
      <w:pStyle w:val="33"/>
      <w:jc w:val="center"/>
    </w:pPr>
    <w:r>
      <w:fldChar w:fldCharType="begin"/>
    </w:r>
    <w:r>
      <w:instrText xml:space="preserve">PAGE   \* MERGEFORMAT</w:instrText>
    </w:r>
    <w: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4C9">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4"/>
      <w:lvlText w:val="%1."/>
      <w:lvlJc w:val="left"/>
      <w:pPr>
        <w:tabs>
          <w:tab w:val="left" w:pos="360"/>
        </w:tabs>
        <w:ind w:left="360" w:hanging="360"/>
      </w:pPr>
      <w:rPr>
        <w:rFonts w:cs="Times New Roman"/>
      </w:rPr>
    </w:lvl>
  </w:abstractNum>
  <w:abstractNum w:abstractNumId="1">
    <w:nsid w:val="04D74C1E"/>
    <w:multiLevelType w:val="singleLevel"/>
    <w:tmpl w:val="04D74C1E"/>
    <w:lvl w:ilvl="0" w:tentative="0">
      <w:start w:val="1"/>
      <w:numFmt w:val="bullet"/>
      <w:pStyle w:val="165"/>
      <w:lvlText w:val=""/>
      <w:lvlJc w:val="left"/>
      <w:pPr>
        <w:tabs>
          <w:tab w:val="left" w:pos="425"/>
        </w:tabs>
        <w:ind w:left="425" w:hanging="425"/>
      </w:pPr>
      <w:rPr>
        <w:rFonts w:hint="default" w:ascii="Wingdings" w:hAnsi="Wingdings"/>
        <w:sz w:val="16"/>
      </w:rPr>
    </w:lvl>
  </w:abstractNum>
  <w:abstractNum w:abstractNumId="2">
    <w:nsid w:val="06966B16"/>
    <w:multiLevelType w:val="multilevel"/>
    <w:tmpl w:val="06966B16"/>
    <w:lvl w:ilvl="0" w:tentative="0">
      <w:start w:val="1"/>
      <w:numFmt w:val="chineseCountingThousand"/>
      <w:pStyle w:val="178"/>
      <w:lvlText w:val="第%1章."/>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0777156F"/>
    <w:multiLevelType w:val="multilevel"/>
    <w:tmpl w:val="0777156F"/>
    <w:lvl w:ilvl="0" w:tentative="0">
      <w:start w:val="1"/>
      <w:numFmt w:val="decimal"/>
      <w:lvlText w:val="1.4.%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pStyle w:val="146"/>
      <w:lvlText w:val="%1.4.%3"/>
      <w:lvlJc w:val="left"/>
      <w:pPr>
        <w:tabs>
          <w:tab w:val="left" w:pos="2340"/>
        </w:tabs>
        <w:ind w:left="2340" w:hanging="720"/>
      </w:pPr>
      <w:rPr>
        <w:rFonts w:hint="eastAsia" w:ascii="宋体" w:hAnsi="宋体" w:eastAsia="宋体" w:cs="Times New Roman"/>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3A06F20A"/>
    <w:multiLevelType w:val="singleLevel"/>
    <w:tmpl w:val="3A06F20A"/>
    <w:lvl w:ilvl="0" w:tentative="0">
      <w:start w:val="2"/>
      <w:numFmt w:val="chineseCounting"/>
      <w:suff w:val="space"/>
      <w:lvlText w:val="第%1章"/>
      <w:lvlJc w:val="left"/>
      <w:rPr>
        <w:rFonts w:hint="eastAsia" w:cs="Times New Roman"/>
      </w:rPr>
    </w:lvl>
  </w:abstractNum>
  <w:abstractNum w:abstractNumId="5">
    <w:nsid w:val="45701CD3"/>
    <w:multiLevelType w:val="multilevel"/>
    <w:tmpl w:val="45701CD3"/>
    <w:lvl w:ilvl="0" w:tentative="0">
      <w:start w:val="1"/>
      <w:numFmt w:val="decimal"/>
      <w:pStyle w:val="253"/>
      <w:lvlText w:val="%1）"/>
      <w:lvlJc w:val="left"/>
      <w:pPr>
        <w:ind w:left="988"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105"/>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7">
    <w:nsid w:val="5A345921"/>
    <w:multiLevelType w:val="multilevel"/>
    <w:tmpl w:val="5A345921"/>
    <w:lvl w:ilvl="0" w:tentative="0">
      <w:start w:val="1"/>
      <w:numFmt w:val="decimal"/>
      <w:pStyle w:val="143"/>
      <w:lvlText w:val="%1)"/>
      <w:lvlJc w:val="left"/>
      <w:pPr>
        <w:tabs>
          <w:tab w:val="left" w:pos="960"/>
        </w:tabs>
        <w:ind w:left="960" w:hanging="420"/>
      </w:pPr>
      <w:rPr>
        <w:rFonts w:hint="eastAsia" w:cs="Times New Roman"/>
      </w:rPr>
    </w:lvl>
    <w:lvl w:ilvl="1" w:tentative="0">
      <w:start w:val="2"/>
      <w:numFmt w:val="japaneseCounting"/>
      <w:lvlText w:val="第%2章"/>
      <w:lvlJc w:val="left"/>
      <w:pPr>
        <w:tabs>
          <w:tab w:val="left" w:pos="1860"/>
        </w:tabs>
        <w:ind w:left="1860" w:hanging="144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E3030C8"/>
    <w:multiLevelType w:val="multilevel"/>
    <w:tmpl w:val="5E3030C8"/>
    <w:lvl w:ilvl="0" w:tentative="0">
      <w:start w:val="1"/>
      <w:numFmt w:val="upperLetter"/>
      <w:lvlText w:val="附 录 %1"/>
      <w:lvlJc w:val="left"/>
      <w:pPr>
        <w:tabs>
          <w:tab w:val="left" w:pos="720"/>
        </w:tabs>
        <w:ind w:left="420" w:hanging="420"/>
      </w:pPr>
      <w:rPr>
        <w:rFonts w:hint="eastAsia" w:cs="Times New Roman"/>
      </w:rPr>
    </w:lvl>
    <w:lvl w:ilvl="1" w:tentative="0">
      <w:start w:val="1"/>
      <w:numFmt w:val="decimal"/>
      <w:pStyle w:val="159"/>
      <w:suff w:val="nothing"/>
      <w:lvlText w:val="%1.%2."/>
      <w:lvlJc w:val="left"/>
      <w:pPr>
        <w:ind w:left="56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66DB19EC"/>
    <w:multiLevelType w:val="multilevel"/>
    <w:tmpl w:val="66DB19EC"/>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lvlText w:val="%1.%2.%3"/>
      <w:lvlJc w:val="left"/>
      <w:pPr>
        <w:tabs>
          <w:tab w:val="left" w:pos="2340"/>
        </w:tabs>
        <w:ind w:left="2340" w:hanging="720"/>
      </w:pPr>
      <w:rPr>
        <w:rFonts w:hint="eastAsia" w:ascii="宋体" w:hAnsi="宋体" w:eastAsia="宋体" w:cs="Times New Roman"/>
        <w:b/>
        <w:bCs w:val="0"/>
        <w:i w:val="0"/>
        <w:iCs w:val="0"/>
        <w:caps/>
        <w:smallCaps w:val="0"/>
        <w:strike w:val="0"/>
        <w:dstrike w:val="0"/>
        <w:color w:val="auto"/>
        <w:spacing w:val="0"/>
        <w:w w:val="100"/>
        <w:kern w:val="2"/>
        <w:position w:val="0"/>
        <w:sz w:val="28"/>
        <w:szCs w:val="28"/>
        <w:u w:val="none"/>
      </w:rPr>
    </w:lvl>
    <w:lvl w:ilvl="3" w:tentative="0">
      <w:start w:val="1"/>
      <w:numFmt w:val="decimal"/>
      <w:pStyle w:val="144"/>
      <w:lvlText w:val="%1.2.3.%4"/>
      <w:lvlJc w:val="left"/>
      <w:pPr>
        <w:tabs>
          <w:tab w:val="left" w:pos="1704"/>
        </w:tabs>
        <w:ind w:left="170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0">
    <w:nsid w:val="6CEA2025"/>
    <w:multiLevelType w:val="multilevel"/>
    <w:tmpl w:val="6CEA2025"/>
    <w:lvl w:ilvl="0" w:tentative="0">
      <w:start w:val="1"/>
      <w:numFmt w:val="none"/>
      <w:pStyle w:val="199"/>
      <w:suff w:val="nothing"/>
      <w:lvlText w:val="%1"/>
      <w:lvlJc w:val="left"/>
      <w:rPr>
        <w:rFonts w:hint="default" w:ascii="Times New Roman" w:hAnsi="Times New Roman" w:cs="Times New Roman"/>
        <w:b/>
        <w:i w:val="0"/>
        <w:sz w:val="21"/>
      </w:rPr>
    </w:lvl>
    <w:lvl w:ilvl="1" w:tentative="0">
      <w:start w:val="1"/>
      <w:numFmt w:val="decimal"/>
      <w:pStyle w:val="200"/>
      <w:suff w:val="nothing"/>
      <w:lvlText w:val="%1%2　"/>
      <w:lvlJc w:val="left"/>
      <w:rPr>
        <w:rFonts w:hint="eastAsia" w:ascii="黑体" w:hAnsi="Times New Roman" w:eastAsia="黑体" w:cs="Times New Roman"/>
        <w:b w:val="0"/>
        <w:i w:val="0"/>
        <w:sz w:val="21"/>
      </w:rPr>
    </w:lvl>
    <w:lvl w:ilvl="2" w:tentative="0">
      <w:start w:val="1"/>
      <w:numFmt w:val="decimal"/>
      <w:pStyle w:val="201"/>
      <w:suff w:val="nothing"/>
      <w:lvlText w:val="%1%2.%3　"/>
      <w:lvlJc w:val="left"/>
      <w:rPr>
        <w:rFonts w:hint="eastAsia" w:ascii="黑体" w:hAnsi="Times New Roman" w:eastAsia="黑体" w:cs="Times New Roman"/>
        <w:b w:val="0"/>
        <w:i w:val="0"/>
        <w:sz w:val="21"/>
      </w:rPr>
    </w:lvl>
    <w:lvl w:ilvl="3" w:tentative="0">
      <w:start w:val="1"/>
      <w:numFmt w:val="decimal"/>
      <w:pStyle w:val="202"/>
      <w:suff w:val="nothing"/>
      <w:lvlText w:val="%1%2.%3.%4　"/>
      <w:lvlJc w:val="left"/>
      <w:rPr>
        <w:rFonts w:hint="eastAsia" w:ascii="黑体" w:hAnsi="Times New Roman" w:eastAsia="黑体" w:cs="Times New Roman"/>
        <w:b w:val="0"/>
        <w:i w:val="0"/>
        <w:sz w:val="21"/>
      </w:rPr>
    </w:lvl>
    <w:lvl w:ilvl="4" w:tentative="0">
      <w:start w:val="1"/>
      <w:numFmt w:val="decimal"/>
      <w:pStyle w:val="203"/>
      <w:suff w:val="nothing"/>
      <w:lvlText w:val="%1%2.%3.%4.%5　"/>
      <w:lvlJc w:val="left"/>
      <w:rPr>
        <w:rFonts w:hint="eastAsia" w:ascii="黑体" w:hAnsi="Times New Roman" w:eastAsia="黑体" w:cs="Times New Roman"/>
        <w:b w:val="0"/>
        <w:i w:val="0"/>
        <w:sz w:val="21"/>
      </w:rPr>
    </w:lvl>
    <w:lvl w:ilvl="5" w:tentative="0">
      <w:start w:val="1"/>
      <w:numFmt w:val="decimal"/>
      <w:pStyle w:val="204"/>
      <w:suff w:val="nothing"/>
      <w:lvlText w:val="%1%2.%3.%4.%5.%6　"/>
      <w:lvlJc w:val="left"/>
      <w:rPr>
        <w:rFonts w:hint="eastAsia" w:ascii="黑体" w:hAnsi="Times New Roman" w:eastAsia="黑体" w:cs="Times New Roman"/>
        <w:b w:val="0"/>
        <w:i w:val="0"/>
        <w:sz w:val="21"/>
      </w:rPr>
    </w:lvl>
    <w:lvl w:ilvl="6" w:tentative="0">
      <w:start w:val="1"/>
      <w:numFmt w:val="decimal"/>
      <w:pStyle w:val="20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6DBF04F4"/>
    <w:multiLevelType w:val="multilevel"/>
    <w:tmpl w:val="6DBF04F4"/>
    <w:lvl w:ilvl="0" w:tentative="0">
      <w:start w:val="1"/>
      <w:numFmt w:val="none"/>
      <w:pStyle w:val="197"/>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9"/>
      <w:numFmt w:val="bullet"/>
      <w:lvlText w:val="▲"/>
      <w:lvlJc w:val="left"/>
      <w:pPr>
        <w:tabs>
          <w:tab w:val="left" w:pos="1200"/>
        </w:tabs>
        <w:ind w:left="1200" w:hanging="360"/>
      </w:pPr>
      <w:rPr>
        <w:rFonts w:hint="eastAsia" w:ascii="宋体" w:hAnsi="宋体" w:eastAsia="宋体"/>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139748A"/>
    <w:multiLevelType w:val="singleLevel"/>
    <w:tmpl w:val="7139748A"/>
    <w:lvl w:ilvl="0" w:tentative="0">
      <w:start w:val="1"/>
      <w:numFmt w:val="bullet"/>
      <w:pStyle w:val="17"/>
      <w:lvlText w:val=""/>
      <w:lvlJc w:val="left"/>
      <w:pPr>
        <w:tabs>
          <w:tab w:val="left" w:pos="785"/>
        </w:tabs>
        <w:ind w:firstLine="425"/>
      </w:pPr>
      <w:rPr>
        <w:rFonts w:hint="default" w:ascii="Wingdings" w:hAnsi="Wingdings"/>
      </w:rPr>
    </w:lvl>
  </w:abstractNum>
  <w:abstractNum w:abstractNumId="13">
    <w:nsid w:val="738038D2"/>
    <w:multiLevelType w:val="singleLevel"/>
    <w:tmpl w:val="738038D2"/>
    <w:lvl w:ilvl="0" w:tentative="0">
      <w:start w:val="2"/>
      <w:numFmt w:val="chineseCounting"/>
      <w:suff w:val="nothing"/>
      <w:lvlText w:val="（%1）"/>
      <w:lvlJc w:val="left"/>
      <w:rPr>
        <w:rFonts w:hint="eastAsia"/>
      </w:rPr>
    </w:lvl>
  </w:abstractNum>
  <w:abstractNum w:abstractNumId="14">
    <w:nsid w:val="7F680217"/>
    <w:multiLevelType w:val="multilevel"/>
    <w:tmpl w:val="7F680217"/>
    <w:lvl w:ilvl="0" w:tentative="0">
      <w:start w:val="1"/>
      <w:numFmt w:val="bullet"/>
      <w:pStyle w:val="13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 w:numId="2">
    <w:abstractNumId w:val="12"/>
  </w:num>
  <w:num w:numId="3">
    <w:abstractNumId w:val="6"/>
  </w:num>
  <w:num w:numId="4">
    <w:abstractNumId w:val="14"/>
  </w:num>
  <w:num w:numId="5">
    <w:abstractNumId w:val="7"/>
  </w:num>
  <w:num w:numId="6">
    <w:abstractNumId w:val="9"/>
  </w:num>
  <w:num w:numId="7">
    <w:abstractNumId w:val="3"/>
  </w:num>
  <w:num w:numId="8">
    <w:abstractNumId w:val="8"/>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WM1ZjRlZmY3NmQ0YjJlYWI4ZGI0NmRkM2JiYjIifQ=="/>
  </w:docVars>
  <w:rsids>
    <w:rsidRoot w:val="00C31D55"/>
    <w:rsid w:val="000015B9"/>
    <w:rsid w:val="00003049"/>
    <w:rsid w:val="00003182"/>
    <w:rsid w:val="00004083"/>
    <w:rsid w:val="000056C9"/>
    <w:rsid w:val="00006976"/>
    <w:rsid w:val="00006C1F"/>
    <w:rsid w:val="00007C9F"/>
    <w:rsid w:val="00014457"/>
    <w:rsid w:val="00014506"/>
    <w:rsid w:val="00014C02"/>
    <w:rsid w:val="000156CA"/>
    <w:rsid w:val="00017F9A"/>
    <w:rsid w:val="00021BE7"/>
    <w:rsid w:val="0002465D"/>
    <w:rsid w:val="00026A50"/>
    <w:rsid w:val="00030796"/>
    <w:rsid w:val="00032BA4"/>
    <w:rsid w:val="000333D1"/>
    <w:rsid w:val="00034759"/>
    <w:rsid w:val="00035D60"/>
    <w:rsid w:val="000369CA"/>
    <w:rsid w:val="00040078"/>
    <w:rsid w:val="000418E5"/>
    <w:rsid w:val="00044047"/>
    <w:rsid w:val="000448D8"/>
    <w:rsid w:val="00045D8C"/>
    <w:rsid w:val="000476AA"/>
    <w:rsid w:val="00052660"/>
    <w:rsid w:val="00053593"/>
    <w:rsid w:val="00053FDB"/>
    <w:rsid w:val="000619F6"/>
    <w:rsid w:val="00064B5A"/>
    <w:rsid w:val="00065FF8"/>
    <w:rsid w:val="0006662C"/>
    <w:rsid w:val="00071337"/>
    <w:rsid w:val="0007328B"/>
    <w:rsid w:val="00074EF0"/>
    <w:rsid w:val="000761CD"/>
    <w:rsid w:val="000772DF"/>
    <w:rsid w:val="0007750C"/>
    <w:rsid w:val="000812F1"/>
    <w:rsid w:val="00081795"/>
    <w:rsid w:val="00082782"/>
    <w:rsid w:val="0008505F"/>
    <w:rsid w:val="000878FA"/>
    <w:rsid w:val="000906EC"/>
    <w:rsid w:val="0009082E"/>
    <w:rsid w:val="0009487D"/>
    <w:rsid w:val="00097E66"/>
    <w:rsid w:val="000A3E59"/>
    <w:rsid w:val="000A44DE"/>
    <w:rsid w:val="000B1636"/>
    <w:rsid w:val="000B1C5D"/>
    <w:rsid w:val="000B2BE4"/>
    <w:rsid w:val="000B2C64"/>
    <w:rsid w:val="000B5057"/>
    <w:rsid w:val="000B753B"/>
    <w:rsid w:val="000C0CEF"/>
    <w:rsid w:val="000C10B0"/>
    <w:rsid w:val="000C1625"/>
    <w:rsid w:val="000C3E06"/>
    <w:rsid w:val="000C47F5"/>
    <w:rsid w:val="000D4017"/>
    <w:rsid w:val="000D4FE2"/>
    <w:rsid w:val="000D5806"/>
    <w:rsid w:val="000D7879"/>
    <w:rsid w:val="000D7C9A"/>
    <w:rsid w:val="000E15E5"/>
    <w:rsid w:val="000E1D09"/>
    <w:rsid w:val="000E2EB0"/>
    <w:rsid w:val="000E684E"/>
    <w:rsid w:val="000E75C6"/>
    <w:rsid w:val="000F04CF"/>
    <w:rsid w:val="000F48EB"/>
    <w:rsid w:val="000F4BAE"/>
    <w:rsid w:val="000F5F13"/>
    <w:rsid w:val="000F60F8"/>
    <w:rsid w:val="00100D0B"/>
    <w:rsid w:val="00100F65"/>
    <w:rsid w:val="00102B65"/>
    <w:rsid w:val="00103128"/>
    <w:rsid w:val="00103497"/>
    <w:rsid w:val="00103B73"/>
    <w:rsid w:val="00104346"/>
    <w:rsid w:val="001052AE"/>
    <w:rsid w:val="001076B7"/>
    <w:rsid w:val="00107C70"/>
    <w:rsid w:val="001128CF"/>
    <w:rsid w:val="00114963"/>
    <w:rsid w:val="00117CA9"/>
    <w:rsid w:val="00121159"/>
    <w:rsid w:val="00122012"/>
    <w:rsid w:val="0012357C"/>
    <w:rsid w:val="001240D8"/>
    <w:rsid w:val="00124AD0"/>
    <w:rsid w:val="001253C4"/>
    <w:rsid w:val="00125D6A"/>
    <w:rsid w:val="001302CF"/>
    <w:rsid w:val="00132758"/>
    <w:rsid w:val="00134B8D"/>
    <w:rsid w:val="001447C1"/>
    <w:rsid w:val="00146CCB"/>
    <w:rsid w:val="0015231C"/>
    <w:rsid w:val="0015281C"/>
    <w:rsid w:val="00153716"/>
    <w:rsid w:val="00153AD2"/>
    <w:rsid w:val="00153BDF"/>
    <w:rsid w:val="00154598"/>
    <w:rsid w:val="0015604F"/>
    <w:rsid w:val="00160649"/>
    <w:rsid w:val="00161FA1"/>
    <w:rsid w:val="00162465"/>
    <w:rsid w:val="001629DF"/>
    <w:rsid w:val="00164DB2"/>
    <w:rsid w:val="0016527B"/>
    <w:rsid w:val="00170C28"/>
    <w:rsid w:val="001733E0"/>
    <w:rsid w:val="0017374C"/>
    <w:rsid w:val="00174805"/>
    <w:rsid w:val="00175554"/>
    <w:rsid w:val="00180177"/>
    <w:rsid w:val="001822B7"/>
    <w:rsid w:val="00182723"/>
    <w:rsid w:val="001835E3"/>
    <w:rsid w:val="001842EF"/>
    <w:rsid w:val="00187157"/>
    <w:rsid w:val="001902FF"/>
    <w:rsid w:val="00190BB7"/>
    <w:rsid w:val="0019110C"/>
    <w:rsid w:val="00191531"/>
    <w:rsid w:val="00191A2B"/>
    <w:rsid w:val="00192484"/>
    <w:rsid w:val="00192B76"/>
    <w:rsid w:val="001969F1"/>
    <w:rsid w:val="001979E2"/>
    <w:rsid w:val="001A1262"/>
    <w:rsid w:val="001A348F"/>
    <w:rsid w:val="001A41D8"/>
    <w:rsid w:val="001A6784"/>
    <w:rsid w:val="001B0E13"/>
    <w:rsid w:val="001B142B"/>
    <w:rsid w:val="001B1999"/>
    <w:rsid w:val="001B2271"/>
    <w:rsid w:val="001B4875"/>
    <w:rsid w:val="001B4C1C"/>
    <w:rsid w:val="001B4CE8"/>
    <w:rsid w:val="001B69A9"/>
    <w:rsid w:val="001B6B76"/>
    <w:rsid w:val="001B6C60"/>
    <w:rsid w:val="001C411B"/>
    <w:rsid w:val="001C4B5E"/>
    <w:rsid w:val="001C58A2"/>
    <w:rsid w:val="001C5F45"/>
    <w:rsid w:val="001C66E4"/>
    <w:rsid w:val="001D057F"/>
    <w:rsid w:val="001D2228"/>
    <w:rsid w:val="001D3B87"/>
    <w:rsid w:val="001D43F5"/>
    <w:rsid w:val="001D738A"/>
    <w:rsid w:val="001D7ED1"/>
    <w:rsid w:val="001E0C0B"/>
    <w:rsid w:val="001E14D2"/>
    <w:rsid w:val="001E3084"/>
    <w:rsid w:val="001E48E1"/>
    <w:rsid w:val="001E5CBD"/>
    <w:rsid w:val="001E75D3"/>
    <w:rsid w:val="001E7C77"/>
    <w:rsid w:val="001F1C6C"/>
    <w:rsid w:val="001F1ED6"/>
    <w:rsid w:val="001F35A8"/>
    <w:rsid w:val="001F39C1"/>
    <w:rsid w:val="001F3CB7"/>
    <w:rsid w:val="002001B1"/>
    <w:rsid w:val="00200AD4"/>
    <w:rsid w:val="002010DB"/>
    <w:rsid w:val="002017EA"/>
    <w:rsid w:val="002019D2"/>
    <w:rsid w:val="00203369"/>
    <w:rsid w:val="00206BA0"/>
    <w:rsid w:val="0020702C"/>
    <w:rsid w:val="00207669"/>
    <w:rsid w:val="002079F6"/>
    <w:rsid w:val="00207A15"/>
    <w:rsid w:val="002101E3"/>
    <w:rsid w:val="00210201"/>
    <w:rsid w:val="00214651"/>
    <w:rsid w:val="002153D1"/>
    <w:rsid w:val="00215CDB"/>
    <w:rsid w:val="00216338"/>
    <w:rsid w:val="00216EBE"/>
    <w:rsid w:val="002170FA"/>
    <w:rsid w:val="0021791E"/>
    <w:rsid w:val="002208F8"/>
    <w:rsid w:val="00221043"/>
    <w:rsid w:val="00222075"/>
    <w:rsid w:val="00223801"/>
    <w:rsid w:val="00227711"/>
    <w:rsid w:val="00233256"/>
    <w:rsid w:val="00241E15"/>
    <w:rsid w:val="002422C7"/>
    <w:rsid w:val="00242520"/>
    <w:rsid w:val="002427BE"/>
    <w:rsid w:val="00243283"/>
    <w:rsid w:val="0024582E"/>
    <w:rsid w:val="00246C0D"/>
    <w:rsid w:val="00250A54"/>
    <w:rsid w:val="00251993"/>
    <w:rsid w:val="002531B0"/>
    <w:rsid w:val="0025491F"/>
    <w:rsid w:val="002551CA"/>
    <w:rsid w:val="002556C1"/>
    <w:rsid w:val="002557D9"/>
    <w:rsid w:val="00257238"/>
    <w:rsid w:val="002572E8"/>
    <w:rsid w:val="002627F7"/>
    <w:rsid w:val="0026596D"/>
    <w:rsid w:val="00266D88"/>
    <w:rsid w:val="002675E1"/>
    <w:rsid w:val="002715C8"/>
    <w:rsid w:val="002717C0"/>
    <w:rsid w:val="00271AFC"/>
    <w:rsid w:val="00272838"/>
    <w:rsid w:val="002744AA"/>
    <w:rsid w:val="00274A06"/>
    <w:rsid w:val="00280BEE"/>
    <w:rsid w:val="00281488"/>
    <w:rsid w:val="00281589"/>
    <w:rsid w:val="002821DE"/>
    <w:rsid w:val="0028324C"/>
    <w:rsid w:val="00283DC7"/>
    <w:rsid w:val="00284DDB"/>
    <w:rsid w:val="00284FE9"/>
    <w:rsid w:val="0028643D"/>
    <w:rsid w:val="00290022"/>
    <w:rsid w:val="00291A9A"/>
    <w:rsid w:val="00296239"/>
    <w:rsid w:val="002A235A"/>
    <w:rsid w:val="002A2786"/>
    <w:rsid w:val="002A3541"/>
    <w:rsid w:val="002A37AC"/>
    <w:rsid w:val="002A432F"/>
    <w:rsid w:val="002A5477"/>
    <w:rsid w:val="002B1322"/>
    <w:rsid w:val="002B1938"/>
    <w:rsid w:val="002B4805"/>
    <w:rsid w:val="002B5042"/>
    <w:rsid w:val="002B5BE7"/>
    <w:rsid w:val="002B6173"/>
    <w:rsid w:val="002C0E86"/>
    <w:rsid w:val="002C16FA"/>
    <w:rsid w:val="002C1950"/>
    <w:rsid w:val="002C5D40"/>
    <w:rsid w:val="002D08F5"/>
    <w:rsid w:val="002D2223"/>
    <w:rsid w:val="002D4689"/>
    <w:rsid w:val="002D4911"/>
    <w:rsid w:val="002D5479"/>
    <w:rsid w:val="002D73E7"/>
    <w:rsid w:val="002E2C5C"/>
    <w:rsid w:val="002E3E84"/>
    <w:rsid w:val="002E42BE"/>
    <w:rsid w:val="002E5967"/>
    <w:rsid w:val="002E5F5E"/>
    <w:rsid w:val="002E788E"/>
    <w:rsid w:val="002F08FE"/>
    <w:rsid w:val="002F1C31"/>
    <w:rsid w:val="002F45AC"/>
    <w:rsid w:val="002F766B"/>
    <w:rsid w:val="00300F7F"/>
    <w:rsid w:val="00301647"/>
    <w:rsid w:val="00302066"/>
    <w:rsid w:val="00304943"/>
    <w:rsid w:val="00305482"/>
    <w:rsid w:val="00305F9A"/>
    <w:rsid w:val="00307B22"/>
    <w:rsid w:val="00307E22"/>
    <w:rsid w:val="00310A1D"/>
    <w:rsid w:val="00311664"/>
    <w:rsid w:val="00314E08"/>
    <w:rsid w:val="00315D55"/>
    <w:rsid w:val="00315D96"/>
    <w:rsid w:val="00317214"/>
    <w:rsid w:val="0032025F"/>
    <w:rsid w:val="00320612"/>
    <w:rsid w:val="00320FA9"/>
    <w:rsid w:val="0032256C"/>
    <w:rsid w:val="003229DD"/>
    <w:rsid w:val="00322F97"/>
    <w:rsid w:val="00323166"/>
    <w:rsid w:val="0032540A"/>
    <w:rsid w:val="00325971"/>
    <w:rsid w:val="003266A4"/>
    <w:rsid w:val="00326C62"/>
    <w:rsid w:val="003277D3"/>
    <w:rsid w:val="003307E5"/>
    <w:rsid w:val="00331272"/>
    <w:rsid w:val="00335E76"/>
    <w:rsid w:val="00337D66"/>
    <w:rsid w:val="00341948"/>
    <w:rsid w:val="00343B10"/>
    <w:rsid w:val="003443AE"/>
    <w:rsid w:val="00344E9E"/>
    <w:rsid w:val="0034598B"/>
    <w:rsid w:val="00345AAB"/>
    <w:rsid w:val="00345D0A"/>
    <w:rsid w:val="00346661"/>
    <w:rsid w:val="00347E78"/>
    <w:rsid w:val="00350641"/>
    <w:rsid w:val="003518C0"/>
    <w:rsid w:val="0035268A"/>
    <w:rsid w:val="003532B9"/>
    <w:rsid w:val="00354696"/>
    <w:rsid w:val="00354E28"/>
    <w:rsid w:val="00356A54"/>
    <w:rsid w:val="00357202"/>
    <w:rsid w:val="00362913"/>
    <w:rsid w:val="00363561"/>
    <w:rsid w:val="00363DBD"/>
    <w:rsid w:val="003708E6"/>
    <w:rsid w:val="003761FD"/>
    <w:rsid w:val="003806D5"/>
    <w:rsid w:val="00381597"/>
    <w:rsid w:val="003840D8"/>
    <w:rsid w:val="003845C4"/>
    <w:rsid w:val="0038654D"/>
    <w:rsid w:val="00393607"/>
    <w:rsid w:val="0039433D"/>
    <w:rsid w:val="0039797E"/>
    <w:rsid w:val="003A1AB9"/>
    <w:rsid w:val="003A3343"/>
    <w:rsid w:val="003A5490"/>
    <w:rsid w:val="003B18FA"/>
    <w:rsid w:val="003B2927"/>
    <w:rsid w:val="003B3352"/>
    <w:rsid w:val="003B4ED2"/>
    <w:rsid w:val="003B59F6"/>
    <w:rsid w:val="003B5DDA"/>
    <w:rsid w:val="003B6893"/>
    <w:rsid w:val="003C0FFF"/>
    <w:rsid w:val="003C16B7"/>
    <w:rsid w:val="003C2DDA"/>
    <w:rsid w:val="003C36B6"/>
    <w:rsid w:val="003C45FC"/>
    <w:rsid w:val="003C4C87"/>
    <w:rsid w:val="003C5604"/>
    <w:rsid w:val="003D0275"/>
    <w:rsid w:val="003D25DD"/>
    <w:rsid w:val="003D421D"/>
    <w:rsid w:val="003D4EE9"/>
    <w:rsid w:val="003D5A7D"/>
    <w:rsid w:val="003D6CD0"/>
    <w:rsid w:val="003D7D66"/>
    <w:rsid w:val="003E200D"/>
    <w:rsid w:val="003E2DE4"/>
    <w:rsid w:val="003E5FFC"/>
    <w:rsid w:val="003E6C4B"/>
    <w:rsid w:val="003E7FBE"/>
    <w:rsid w:val="003F0589"/>
    <w:rsid w:val="003F684C"/>
    <w:rsid w:val="003F7F9F"/>
    <w:rsid w:val="0040002B"/>
    <w:rsid w:val="004008D9"/>
    <w:rsid w:val="00405A4E"/>
    <w:rsid w:val="00405E32"/>
    <w:rsid w:val="00406276"/>
    <w:rsid w:val="00407C62"/>
    <w:rsid w:val="00407FAA"/>
    <w:rsid w:val="00412B4C"/>
    <w:rsid w:val="00412EAF"/>
    <w:rsid w:val="00414053"/>
    <w:rsid w:val="0041498B"/>
    <w:rsid w:val="0041716E"/>
    <w:rsid w:val="00420835"/>
    <w:rsid w:val="00420DB2"/>
    <w:rsid w:val="00422549"/>
    <w:rsid w:val="004245EF"/>
    <w:rsid w:val="0042538C"/>
    <w:rsid w:val="004259D7"/>
    <w:rsid w:val="004274EC"/>
    <w:rsid w:val="00427562"/>
    <w:rsid w:val="00430126"/>
    <w:rsid w:val="0043147F"/>
    <w:rsid w:val="00431725"/>
    <w:rsid w:val="0043286B"/>
    <w:rsid w:val="00433BA4"/>
    <w:rsid w:val="00434580"/>
    <w:rsid w:val="00434AAD"/>
    <w:rsid w:val="00436DA8"/>
    <w:rsid w:val="00437187"/>
    <w:rsid w:val="00437321"/>
    <w:rsid w:val="00440751"/>
    <w:rsid w:val="00442219"/>
    <w:rsid w:val="00442E69"/>
    <w:rsid w:val="004457C4"/>
    <w:rsid w:val="00450CFD"/>
    <w:rsid w:val="00453D00"/>
    <w:rsid w:val="00455A84"/>
    <w:rsid w:val="00456684"/>
    <w:rsid w:val="00457544"/>
    <w:rsid w:val="00461A6F"/>
    <w:rsid w:val="00464B81"/>
    <w:rsid w:val="00465CBD"/>
    <w:rsid w:val="0046653A"/>
    <w:rsid w:val="00471382"/>
    <w:rsid w:val="0047574D"/>
    <w:rsid w:val="00475B88"/>
    <w:rsid w:val="00476904"/>
    <w:rsid w:val="00481EE6"/>
    <w:rsid w:val="00486A1C"/>
    <w:rsid w:val="00487F8A"/>
    <w:rsid w:val="00491DA6"/>
    <w:rsid w:val="00492129"/>
    <w:rsid w:val="004922CE"/>
    <w:rsid w:val="00492544"/>
    <w:rsid w:val="00493FAB"/>
    <w:rsid w:val="004969CA"/>
    <w:rsid w:val="00497303"/>
    <w:rsid w:val="004A098E"/>
    <w:rsid w:val="004A1460"/>
    <w:rsid w:val="004A14DD"/>
    <w:rsid w:val="004A23CB"/>
    <w:rsid w:val="004A2E17"/>
    <w:rsid w:val="004A3CE7"/>
    <w:rsid w:val="004A5D59"/>
    <w:rsid w:val="004A5DDC"/>
    <w:rsid w:val="004A7E66"/>
    <w:rsid w:val="004B00EF"/>
    <w:rsid w:val="004B09B8"/>
    <w:rsid w:val="004B128F"/>
    <w:rsid w:val="004B5565"/>
    <w:rsid w:val="004C14D9"/>
    <w:rsid w:val="004C1C05"/>
    <w:rsid w:val="004C1E28"/>
    <w:rsid w:val="004C4837"/>
    <w:rsid w:val="004C4EAA"/>
    <w:rsid w:val="004C5C32"/>
    <w:rsid w:val="004D1AA5"/>
    <w:rsid w:val="004D4401"/>
    <w:rsid w:val="004D5CFE"/>
    <w:rsid w:val="004D7B30"/>
    <w:rsid w:val="004E28E6"/>
    <w:rsid w:val="004E387D"/>
    <w:rsid w:val="004E38FE"/>
    <w:rsid w:val="004E4706"/>
    <w:rsid w:val="004E4880"/>
    <w:rsid w:val="004E6107"/>
    <w:rsid w:val="004E7A4B"/>
    <w:rsid w:val="004F050C"/>
    <w:rsid w:val="004F0C16"/>
    <w:rsid w:val="004F1C74"/>
    <w:rsid w:val="004F3A90"/>
    <w:rsid w:val="004F3F17"/>
    <w:rsid w:val="004F6942"/>
    <w:rsid w:val="0050039C"/>
    <w:rsid w:val="0050057E"/>
    <w:rsid w:val="0050279C"/>
    <w:rsid w:val="005029C2"/>
    <w:rsid w:val="00502F16"/>
    <w:rsid w:val="00505A6C"/>
    <w:rsid w:val="00507874"/>
    <w:rsid w:val="00510A25"/>
    <w:rsid w:val="00512332"/>
    <w:rsid w:val="00512978"/>
    <w:rsid w:val="0051381F"/>
    <w:rsid w:val="00513AD6"/>
    <w:rsid w:val="005157CC"/>
    <w:rsid w:val="005159B8"/>
    <w:rsid w:val="00516BEB"/>
    <w:rsid w:val="005179FF"/>
    <w:rsid w:val="00517BD3"/>
    <w:rsid w:val="005201AB"/>
    <w:rsid w:val="00520644"/>
    <w:rsid w:val="00520E3C"/>
    <w:rsid w:val="0052125A"/>
    <w:rsid w:val="00521CDD"/>
    <w:rsid w:val="00522012"/>
    <w:rsid w:val="00523C97"/>
    <w:rsid w:val="0052511D"/>
    <w:rsid w:val="005262AE"/>
    <w:rsid w:val="005267CB"/>
    <w:rsid w:val="00527BC0"/>
    <w:rsid w:val="005307C5"/>
    <w:rsid w:val="00532F65"/>
    <w:rsid w:val="00534DF8"/>
    <w:rsid w:val="0053541D"/>
    <w:rsid w:val="005421E2"/>
    <w:rsid w:val="00542BAA"/>
    <w:rsid w:val="0055041A"/>
    <w:rsid w:val="00552F62"/>
    <w:rsid w:val="00553E0F"/>
    <w:rsid w:val="00554517"/>
    <w:rsid w:val="00554A45"/>
    <w:rsid w:val="005551BF"/>
    <w:rsid w:val="00556315"/>
    <w:rsid w:val="00557138"/>
    <w:rsid w:val="00561FE4"/>
    <w:rsid w:val="0056305C"/>
    <w:rsid w:val="0056440A"/>
    <w:rsid w:val="00564F81"/>
    <w:rsid w:val="005658D6"/>
    <w:rsid w:val="00566F93"/>
    <w:rsid w:val="0056750C"/>
    <w:rsid w:val="005702FD"/>
    <w:rsid w:val="00570E56"/>
    <w:rsid w:val="00571499"/>
    <w:rsid w:val="00572A3B"/>
    <w:rsid w:val="00572C6D"/>
    <w:rsid w:val="00575A0B"/>
    <w:rsid w:val="00576DBF"/>
    <w:rsid w:val="00577581"/>
    <w:rsid w:val="00577D05"/>
    <w:rsid w:val="00581E71"/>
    <w:rsid w:val="00582F73"/>
    <w:rsid w:val="00597696"/>
    <w:rsid w:val="005A5612"/>
    <w:rsid w:val="005A6477"/>
    <w:rsid w:val="005B0569"/>
    <w:rsid w:val="005B08C4"/>
    <w:rsid w:val="005B44D9"/>
    <w:rsid w:val="005B4DB0"/>
    <w:rsid w:val="005C124D"/>
    <w:rsid w:val="005C1753"/>
    <w:rsid w:val="005C1F54"/>
    <w:rsid w:val="005C31BB"/>
    <w:rsid w:val="005C35B4"/>
    <w:rsid w:val="005C4A28"/>
    <w:rsid w:val="005C4ABE"/>
    <w:rsid w:val="005C4AD5"/>
    <w:rsid w:val="005C4FC5"/>
    <w:rsid w:val="005C53F1"/>
    <w:rsid w:val="005C57A2"/>
    <w:rsid w:val="005C6A64"/>
    <w:rsid w:val="005C7C00"/>
    <w:rsid w:val="005D24BD"/>
    <w:rsid w:val="005D426D"/>
    <w:rsid w:val="005D76FB"/>
    <w:rsid w:val="005D7A69"/>
    <w:rsid w:val="005E5149"/>
    <w:rsid w:val="005E6A44"/>
    <w:rsid w:val="005F12A4"/>
    <w:rsid w:val="005F25FA"/>
    <w:rsid w:val="005F5A3E"/>
    <w:rsid w:val="005F5EB1"/>
    <w:rsid w:val="005F61C5"/>
    <w:rsid w:val="005F6ABC"/>
    <w:rsid w:val="005F7318"/>
    <w:rsid w:val="00600035"/>
    <w:rsid w:val="00601BC9"/>
    <w:rsid w:val="00602FC4"/>
    <w:rsid w:val="00603BCB"/>
    <w:rsid w:val="006046D8"/>
    <w:rsid w:val="00605479"/>
    <w:rsid w:val="00607238"/>
    <w:rsid w:val="00607FDC"/>
    <w:rsid w:val="00610DDA"/>
    <w:rsid w:val="0061121A"/>
    <w:rsid w:val="0061262E"/>
    <w:rsid w:val="00612740"/>
    <w:rsid w:val="00612F81"/>
    <w:rsid w:val="0061653B"/>
    <w:rsid w:val="00616C3A"/>
    <w:rsid w:val="00617E1F"/>
    <w:rsid w:val="006220F6"/>
    <w:rsid w:val="006234DE"/>
    <w:rsid w:val="00623CCF"/>
    <w:rsid w:val="00624A4A"/>
    <w:rsid w:val="006251D2"/>
    <w:rsid w:val="00625343"/>
    <w:rsid w:val="00626B61"/>
    <w:rsid w:val="00626EA6"/>
    <w:rsid w:val="00630E78"/>
    <w:rsid w:val="00632B09"/>
    <w:rsid w:val="00633231"/>
    <w:rsid w:val="00635500"/>
    <w:rsid w:val="00635840"/>
    <w:rsid w:val="006360A0"/>
    <w:rsid w:val="00636E4B"/>
    <w:rsid w:val="00637D7E"/>
    <w:rsid w:val="006410EA"/>
    <w:rsid w:val="006418D3"/>
    <w:rsid w:val="00641C2C"/>
    <w:rsid w:val="00646B4C"/>
    <w:rsid w:val="00646CFE"/>
    <w:rsid w:val="00650164"/>
    <w:rsid w:val="006507FF"/>
    <w:rsid w:val="00653A8B"/>
    <w:rsid w:val="00654614"/>
    <w:rsid w:val="00656B05"/>
    <w:rsid w:val="0065740A"/>
    <w:rsid w:val="00660715"/>
    <w:rsid w:val="0066279B"/>
    <w:rsid w:val="0066280D"/>
    <w:rsid w:val="00662CBB"/>
    <w:rsid w:val="006630C0"/>
    <w:rsid w:val="00664496"/>
    <w:rsid w:val="006678DD"/>
    <w:rsid w:val="006726AB"/>
    <w:rsid w:val="00675DD7"/>
    <w:rsid w:val="00675E81"/>
    <w:rsid w:val="0068517A"/>
    <w:rsid w:val="006853BF"/>
    <w:rsid w:val="006871B1"/>
    <w:rsid w:val="00691277"/>
    <w:rsid w:val="006927B0"/>
    <w:rsid w:val="00692B75"/>
    <w:rsid w:val="00693083"/>
    <w:rsid w:val="00695662"/>
    <w:rsid w:val="00695FCC"/>
    <w:rsid w:val="0069695B"/>
    <w:rsid w:val="006A1EB1"/>
    <w:rsid w:val="006A2521"/>
    <w:rsid w:val="006A2F7F"/>
    <w:rsid w:val="006A6C7C"/>
    <w:rsid w:val="006B1463"/>
    <w:rsid w:val="006B39A9"/>
    <w:rsid w:val="006B4D21"/>
    <w:rsid w:val="006B7BB9"/>
    <w:rsid w:val="006B7F1E"/>
    <w:rsid w:val="006C038C"/>
    <w:rsid w:val="006C3B1E"/>
    <w:rsid w:val="006C4200"/>
    <w:rsid w:val="006C4C10"/>
    <w:rsid w:val="006C5BD5"/>
    <w:rsid w:val="006C73F6"/>
    <w:rsid w:val="006D1F13"/>
    <w:rsid w:val="006D2AE2"/>
    <w:rsid w:val="006D3F23"/>
    <w:rsid w:val="006D40B2"/>
    <w:rsid w:val="006D4B53"/>
    <w:rsid w:val="006D4E9D"/>
    <w:rsid w:val="006D56DF"/>
    <w:rsid w:val="006D632D"/>
    <w:rsid w:val="006D733F"/>
    <w:rsid w:val="006E0609"/>
    <w:rsid w:val="006E0AA7"/>
    <w:rsid w:val="006E222A"/>
    <w:rsid w:val="006E52A0"/>
    <w:rsid w:val="006E5E45"/>
    <w:rsid w:val="006E79F4"/>
    <w:rsid w:val="006F025C"/>
    <w:rsid w:val="006F06E6"/>
    <w:rsid w:val="006F722C"/>
    <w:rsid w:val="006F7CF0"/>
    <w:rsid w:val="006F7DFA"/>
    <w:rsid w:val="0070033D"/>
    <w:rsid w:val="00701F94"/>
    <w:rsid w:val="00703949"/>
    <w:rsid w:val="007048D1"/>
    <w:rsid w:val="00707E17"/>
    <w:rsid w:val="00710062"/>
    <w:rsid w:val="00713F66"/>
    <w:rsid w:val="00715B8F"/>
    <w:rsid w:val="00717CC1"/>
    <w:rsid w:val="00720B1B"/>
    <w:rsid w:val="00720D54"/>
    <w:rsid w:val="00722A31"/>
    <w:rsid w:val="00726DDA"/>
    <w:rsid w:val="00726DED"/>
    <w:rsid w:val="00726ED2"/>
    <w:rsid w:val="00734900"/>
    <w:rsid w:val="00734E85"/>
    <w:rsid w:val="00740113"/>
    <w:rsid w:val="00741553"/>
    <w:rsid w:val="007457A6"/>
    <w:rsid w:val="0074609E"/>
    <w:rsid w:val="0074764C"/>
    <w:rsid w:val="007477B3"/>
    <w:rsid w:val="00747C80"/>
    <w:rsid w:val="00747D62"/>
    <w:rsid w:val="00750571"/>
    <w:rsid w:val="00751674"/>
    <w:rsid w:val="00753190"/>
    <w:rsid w:val="00755959"/>
    <w:rsid w:val="00756888"/>
    <w:rsid w:val="00757353"/>
    <w:rsid w:val="007577E8"/>
    <w:rsid w:val="00757C9C"/>
    <w:rsid w:val="00760F80"/>
    <w:rsid w:val="007636EC"/>
    <w:rsid w:val="00764153"/>
    <w:rsid w:val="007709B6"/>
    <w:rsid w:val="0077169F"/>
    <w:rsid w:val="00771D0D"/>
    <w:rsid w:val="00771F4E"/>
    <w:rsid w:val="00774386"/>
    <w:rsid w:val="007743D2"/>
    <w:rsid w:val="0077589A"/>
    <w:rsid w:val="00776935"/>
    <w:rsid w:val="00781D53"/>
    <w:rsid w:val="00790974"/>
    <w:rsid w:val="00791312"/>
    <w:rsid w:val="007927DF"/>
    <w:rsid w:val="007934D7"/>
    <w:rsid w:val="00793BAC"/>
    <w:rsid w:val="00795288"/>
    <w:rsid w:val="00795535"/>
    <w:rsid w:val="00795F43"/>
    <w:rsid w:val="00796239"/>
    <w:rsid w:val="00796829"/>
    <w:rsid w:val="007A0149"/>
    <w:rsid w:val="007A03F6"/>
    <w:rsid w:val="007A0DA8"/>
    <w:rsid w:val="007A4102"/>
    <w:rsid w:val="007A524C"/>
    <w:rsid w:val="007B556A"/>
    <w:rsid w:val="007B646C"/>
    <w:rsid w:val="007B6F2F"/>
    <w:rsid w:val="007C1512"/>
    <w:rsid w:val="007C1880"/>
    <w:rsid w:val="007C42FD"/>
    <w:rsid w:val="007C4A4D"/>
    <w:rsid w:val="007C5750"/>
    <w:rsid w:val="007C5DEC"/>
    <w:rsid w:val="007C6F01"/>
    <w:rsid w:val="007C77D4"/>
    <w:rsid w:val="007C7A68"/>
    <w:rsid w:val="007D0193"/>
    <w:rsid w:val="007D13D6"/>
    <w:rsid w:val="007D173F"/>
    <w:rsid w:val="007D3808"/>
    <w:rsid w:val="007D3B77"/>
    <w:rsid w:val="007D693A"/>
    <w:rsid w:val="007D6D88"/>
    <w:rsid w:val="007E0800"/>
    <w:rsid w:val="007E1137"/>
    <w:rsid w:val="007E19FC"/>
    <w:rsid w:val="007E1EC8"/>
    <w:rsid w:val="007E414C"/>
    <w:rsid w:val="007E44C8"/>
    <w:rsid w:val="007E6FA8"/>
    <w:rsid w:val="007F3315"/>
    <w:rsid w:val="007F375F"/>
    <w:rsid w:val="007F542B"/>
    <w:rsid w:val="007F568F"/>
    <w:rsid w:val="007F5C5C"/>
    <w:rsid w:val="007F7230"/>
    <w:rsid w:val="007F738B"/>
    <w:rsid w:val="008030A9"/>
    <w:rsid w:val="0080373F"/>
    <w:rsid w:val="00803B94"/>
    <w:rsid w:val="00804489"/>
    <w:rsid w:val="0080534C"/>
    <w:rsid w:val="008105E0"/>
    <w:rsid w:val="0081173A"/>
    <w:rsid w:val="00811B3E"/>
    <w:rsid w:val="008131AF"/>
    <w:rsid w:val="008137FA"/>
    <w:rsid w:val="00813C46"/>
    <w:rsid w:val="00814BDD"/>
    <w:rsid w:val="0081681A"/>
    <w:rsid w:val="008203D5"/>
    <w:rsid w:val="00821610"/>
    <w:rsid w:val="00821B2E"/>
    <w:rsid w:val="00824DCC"/>
    <w:rsid w:val="008268B7"/>
    <w:rsid w:val="00832F5A"/>
    <w:rsid w:val="008345ED"/>
    <w:rsid w:val="0083786D"/>
    <w:rsid w:val="008444CD"/>
    <w:rsid w:val="00844DDB"/>
    <w:rsid w:val="008460F7"/>
    <w:rsid w:val="008474E8"/>
    <w:rsid w:val="0085004D"/>
    <w:rsid w:val="00850526"/>
    <w:rsid w:val="0085331D"/>
    <w:rsid w:val="008556E7"/>
    <w:rsid w:val="0085611D"/>
    <w:rsid w:val="00856195"/>
    <w:rsid w:val="00856329"/>
    <w:rsid w:val="00857A6C"/>
    <w:rsid w:val="00860087"/>
    <w:rsid w:val="008601E4"/>
    <w:rsid w:val="00860769"/>
    <w:rsid w:val="0086118D"/>
    <w:rsid w:val="008628D0"/>
    <w:rsid w:val="00862F8A"/>
    <w:rsid w:val="00864BE8"/>
    <w:rsid w:val="00865134"/>
    <w:rsid w:val="0086704F"/>
    <w:rsid w:val="00871909"/>
    <w:rsid w:val="00872752"/>
    <w:rsid w:val="00872976"/>
    <w:rsid w:val="00872C09"/>
    <w:rsid w:val="00872C18"/>
    <w:rsid w:val="00873D93"/>
    <w:rsid w:val="008743E9"/>
    <w:rsid w:val="008872AD"/>
    <w:rsid w:val="0089083F"/>
    <w:rsid w:val="00891986"/>
    <w:rsid w:val="00895996"/>
    <w:rsid w:val="0089602C"/>
    <w:rsid w:val="00897E7C"/>
    <w:rsid w:val="008A1CC2"/>
    <w:rsid w:val="008A35BD"/>
    <w:rsid w:val="008A4C06"/>
    <w:rsid w:val="008A4C66"/>
    <w:rsid w:val="008A5592"/>
    <w:rsid w:val="008A5F14"/>
    <w:rsid w:val="008A6720"/>
    <w:rsid w:val="008B298B"/>
    <w:rsid w:val="008B46C3"/>
    <w:rsid w:val="008B4986"/>
    <w:rsid w:val="008B505A"/>
    <w:rsid w:val="008C24D5"/>
    <w:rsid w:val="008C30B7"/>
    <w:rsid w:val="008C4FDA"/>
    <w:rsid w:val="008C55EF"/>
    <w:rsid w:val="008D0133"/>
    <w:rsid w:val="008D0166"/>
    <w:rsid w:val="008D07C2"/>
    <w:rsid w:val="008D1E41"/>
    <w:rsid w:val="008D45E9"/>
    <w:rsid w:val="008D5406"/>
    <w:rsid w:val="008D7862"/>
    <w:rsid w:val="008E29A5"/>
    <w:rsid w:val="008E3123"/>
    <w:rsid w:val="008E4F7A"/>
    <w:rsid w:val="008E56C3"/>
    <w:rsid w:val="008E6B37"/>
    <w:rsid w:val="008E7EA3"/>
    <w:rsid w:val="008F4578"/>
    <w:rsid w:val="008F612B"/>
    <w:rsid w:val="008F6233"/>
    <w:rsid w:val="008F6F58"/>
    <w:rsid w:val="008F72B7"/>
    <w:rsid w:val="009007F0"/>
    <w:rsid w:val="009025FA"/>
    <w:rsid w:val="00905424"/>
    <w:rsid w:val="009076DF"/>
    <w:rsid w:val="009127C2"/>
    <w:rsid w:val="00912EA9"/>
    <w:rsid w:val="009134C0"/>
    <w:rsid w:val="00914050"/>
    <w:rsid w:val="0091509B"/>
    <w:rsid w:val="00916365"/>
    <w:rsid w:val="00916E78"/>
    <w:rsid w:val="00917F09"/>
    <w:rsid w:val="009200C1"/>
    <w:rsid w:val="00921D8F"/>
    <w:rsid w:val="009250F6"/>
    <w:rsid w:val="009308DC"/>
    <w:rsid w:val="009311FE"/>
    <w:rsid w:val="00936D3F"/>
    <w:rsid w:val="00937D0A"/>
    <w:rsid w:val="009404AB"/>
    <w:rsid w:val="00941D1F"/>
    <w:rsid w:val="009433FA"/>
    <w:rsid w:val="00950086"/>
    <w:rsid w:val="00951185"/>
    <w:rsid w:val="00952B84"/>
    <w:rsid w:val="009531CC"/>
    <w:rsid w:val="0095415B"/>
    <w:rsid w:val="00956E65"/>
    <w:rsid w:val="00957003"/>
    <w:rsid w:val="009607A5"/>
    <w:rsid w:val="00960D1D"/>
    <w:rsid w:val="00961701"/>
    <w:rsid w:val="009624E4"/>
    <w:rsid w:val="00963CAD"/>
    <w:rsid w:val="0096611A"/>
    <w:rsid w:val="00971621"/>
    <w:rsid w:val="00972D42"/>
    <w:rsid w:val="0097480B"/>
    <w:rsid w:val="00974DC8"/>
    <w:rsid w:val="00975B27"/>
    <w:rsid w:val="00976BD0"/>
    <w:rsid w:val="00977110"/>
    <w:rsid w:val="00977645"/>
    <w:rsid w:val="00977C69"/>
    <w:rsid w:val="00980BDA"/>
    <w:rsid w:val="00981216"/>
    <w:rsid w:val="00986AE5"/>
    <w:rsid w:val="009925EF"/>
    <w:rsid w:val="0099266E"/>
    <w:rsid w:val="009930ED"/>
    <w:rsid w:val="009933BC"/>
    <w:rsid w:val="00993AEF"/>
    <w:rsid w:val="00993CCC"/>
    <w:rsid w:val="0099683B"/>
    <w:rsid w:val="00997B47"/>
    <w:rsid w:val="009A20D1"/>
    <w:rsid w:val="009A235C"/>
    <w:rsid w:val="009A5C42"/>
    <w:rsid w:val="009A7F3C"/>
    <w:rsid w:val="009B1F13"/>
    <w:rsid w:val="009B41F5"/>
    <w:rsid w:val="009B4CF6"/>
    <w:rsid w:val="009B574B"/>
    <w:rsid w:val="009B5DB3"/>
    <w:rsid w:val="009B659B"/>
    <w:rsid w:val="009C19A0"/>
    <w:rsid w:val="009C1D05"/>
    <w:rsid w:val="009C23BA"/>
    <w:rsid w:val="009C5973"/>
    <w:rsid w:val="009C5C41"/>
    <w:rsid w:val="009C60E3"/>
    <w:rsid w:val="009D469D"/>
    <w:rsid w:val="009E1519"/>
    <w:rsid w:val="009E2DD0"/>
    <w:rsid w:val="009E2E13"/>
    <w:rsid w:val="009E3D89"/>
    <w:rsid w:val="009E45DE"/>
    <w:rsid w:val="009E4EAB"/>
    <w:rsid w:val="009F05CF"/>
    <w:rsid w:val="009F0740"/>
    <w:rsid w:val="009F0AB8"/>
    <w:rsid w:val="009F1C69"/>
    <w:rsid w:val="009F3E72"/>
    <w:rsid w:val="009F4BF9"/>
    <w:rsid w:val="009F67DC"/>
    <w:rsid w:val="009F77A7"/>
    <w:rsid w:val="009F7C62"/>
    <w:rsid w:val="00A00D7A"/>
    <w:rsid w:val="00A0327F"/>
    <w:rsid w:val="00A06DC4"/>
    <w:rsid w:val="00A072CE"/>
    <w:rsid w:val="00A10820"/>
    <w:rsid w:val="00A11CCF"/>
    <w:rsid w:val="00A13063"/>
    <w:rsid w:val="00A13F31"/>
    <w:rsid w:val="00A1664E"/>
    <w:rsid w:val="00A16C3E"/>
    <w:rsid w:val="00A24DAA"/>
    <w:rsid w:val="00A30DB9"/>
    <w:rsid w:val="00A332CF"/>
    <w:rsid w:val="00A3429E"/>
    <w:rsid w:val="00A354E4"/>
    <w:rsid w:val="00A3704C"/>
    <w:rsid w:val="00A37798"/>
    <w:rsid w:val="00A409CB"/>
    <w:rsid w:val="00A40A06"/>
    <w:rsid w:val="00A40E25"/>
    <w:rsid w:val="00A420D3"/>
    <w:rsid w:val="00A43FCD"/>
    <w:rsid w:val="00A47A04"/>
    <w:rsid w:val="00A50A29"/>
    <w:rsid w:val="00A52F0B"/>
    <w:rsid w:val="00A5428C"/>
    <w:rsid w:val="00A5538B"/>
    <w:rsid w:val="00A56069"/>
    <w:rsid w:val="00A57D6D"/>
    <w:rsid w:val="00A66457"/>
    <w:rsid w:val="00A66B8E"/>
    <w:rsid w:val="00A749D6"/>
    <w:rsid w:val="00A77C2A"/>
    <w:rsid w:val="00A81CA2"/>
    <w:rsid w:val="00A820F5"/>
    <w:rsid w:val="00A836F7"/>
    <w:rsid w:val="00A917C1"/>
    <w:rsid w:val="00A9187F"/>
    <w:rsid w:val="00A938F6"/>
    <w:rsid w:val="00A94884"/>
    <w:rsid w:val="00A958D5"/>
    <w:rsid w:val="00A97543"/>
    <w:rsid w:val="00AA21EF"/>
    <w:rsid w:val="00AA2850"/>
    <w:rsid w:val="00AA38E9"/>
    <w:rsid w:val="00AA45A2"/>
    <w:rsid w:val="00AA531C"/>
    <w:rsid w:val="00AA6405"/>
    <w:rsid w:val="00AA6EF2"/>
    <w:rsid w:val="00AB1E8E"/>
    <w:rsid w:val="00AB3BB4"/>
    <w:rsid w:val="00AB4126"/>
    <w:rsid w:val="00AB432F"/>
    <w:rsid w:val="00AB4942"/>
    <w:rsid w:val="00AB5D25"/>
    <w:rsid w:val="00AB6BE8"/>
    <w:rsid w:val="00AC1CAC"/>
    <w:rsid w:val="00AC2B8F"/>
    <w:rsid w:val="00AC3F88"/>
    <w:rsid w:val="00AC44EA"/>
    <w:rsid w:val="00AC4871"/>
    <w:rsid w:val="00AC50CF"/>
    <w:rsid w:val="00AD14CB"/>
    <w:rsid w:val="00AD243C"/>
    <w:rsid w:val="00AD2DA3"/>
    <w:rsid w:val="00AD41D8"/>
    <w:rsid w:val="00AD5325"/>
    <w:rsid w:val="00AD5815"/>
    <w:rsid w:val="00AD7529"/>
    <w:rsid w:val="00AD77CE"/>
    <w:rsid w:val="00AE29C7"/>
    <w:rsid w:val="00AE3C42"/>
    <w:rsid w:val="00AE3EE8"/>
    <w:rsid w:val="00AE42A3"/>
    <w:rsid w:val="00AE6AF9"/>
    <w:rsid w:val="00AE79B8"/>
    <w:rsid w:val="00AF05AF"/>
    <w:rsid w:val="00AF13AF"/>
    <w:rsid w:val="00AF144E"/>
    <w:rsid w:val="00AF2BEF"/>
    <w:rsid w:val="00AF5593"/>
    <w:rsid w:val="00B030CD"/>
    <w:rsid w:val="00B03133"/>
    <w:rsid w:val="00B05384"/>
    <w:rsid w:val="00B05D35"/>
    <w:rsid w:val="00B066B2"/>
    <w:rsid w:val="00B12730"/>
    <w:rsid w:val="00B140B6"/>
    <w:rsid w:val="00B14E90"/>
    <w:rsid w:val="00B154E9"/>
    <w:rsid w:val="00B160B4"/>
    <w:rsid w:val="00B17434"/>
    <w:rsid w:val="00B17594"/>
    <w:rsid w:val="00B21C8A"/>
    <w:rsid w:val="00B22661"/>
    <w:rsid w:val="00B24AFD"/>
    <w:rsid w:val="00B314A3"/>
    <w:rsid w:val="00B32008"/>
    <w:rsid w:val="00B3370C"/>
    <w:rsid w:val="00B3794F"/>
    <w:rsid w:val="00B4450B"/>
    <w:rsid w:val="00B45B60"/>
    <w:rsid w:val="00B50281"/>
    <w:rsid w:val="00B51027"/>
    <w:rsid w:val="00B53049"/>
    <w:rsid w:val="00B55528"/>
    <w:rsid w:val="00B5576B"/>
    <w:rsid w:val="00B5689E"/>
    <w:rsid w:val="00B62422"/>
    <w:rsid w:val="00B6421A"/>
    <w:rsid w:val="00B64BB0"/>
    <w:rsid w:val="00B65B36"/>
    <w:rsid w:val="00B65F9A"/>
    <w:rsid w:val="00B712F9"/>
    <w:rsid w:val="00B7146C"/>
    <w:rsid w:val="00B727BF"/>
    <w:rsid w:val="00B768A0"/>
    <w:rsid w:val="00B77ED4"/>
    <w:rsid w:val="00B81DD9"/>
    <w:rsid w:val="00B8216B"/>
    <w:rsid w:val="00B82B56"/>
    <w:rsid w:val="00B83E95"/>
    <w:rsid w:val="00B918A2"/>
    <w:rsid w:val="00B91D82"/>
    <w:rsid w:val="00B97045"/>
    <w:rsid w:val="00B971BA"/>
    <w:rsid w:val="00B978FF"/>
    <w:rsid w:val="00BA16A1"/>
    <w:rsid w:val="00BA2795"/>
    <w:rsid w:val="00BA292A"/>
    <w:rsid w:val="00BA367D"/>
    <w:rsid w:val="00BA37E7"/>
    <w:rsid w:val="00BA6510"/>
    <w:rsid w:val="00BB343D"/>
    <w:rsid w:val="00BB4877"/>
    <w:rsid w:val="00BB61E8"/>
    <w:rsid w:val="00BB68A5"/>
    <w:rsid w:val="00BC1068"/>
    <w:rsid w:val="00BC1083"/>
    <w:rsid w:val="00BC3495"/>
    <w:rsid w:val="00BC6A30"/>
    <w:rsid w:val="00BC70AF"/>
    <w:rsid w:val="00BC7A44"/>
    <w:rsid w:val="00BD1B21"/>
    <w:rsid w:val="00BD2245"/>
    <w:rsid w:val="00BD3D12"/>
    <w:rsid w:val="00BD470E"/>
    <w:rsid w:val="00BD5DD0"/>
    <w:rsid w:val="00BD6FA9"/>
    <w:rsid w:val="00BE0892"/>
    <w:rsid w:val="00BE0EBB"/>
    <w:rsid w:val="00BE1232"/>
    <w:rsid w:val="00BE2930"/>
    <w:rsid w:val="00BE43C6"/>
    <w:rsid w:val="00BE5C7D"/>
    <w:rsid w:val="00BE7212"/>
    <w:rsid w:val="00BF02FA"/>
    <w:rsid w:val="00BF0ABF"/>
    <w:rsid w:val="00BF4430"/>
    <w:rsid w:val="00BF5828"/>
    <w:rsid w:val="00C0044A"/>
    <w:rsid w:val="00C105C6"/>
    <w:rsid w:val="00C14F32"/>
    <w:rsid w:val="00C152EB"/>
    <w:rsid w:val="00C15B73"/>
    <w:rsid w:val="00C169FC"/>
    <w:rsid w:val="00C1732B"/>
    <w:rsid w:val="00C219B8"/>
    <w:rsid w:val="00C22071"/>
    <w:rsid w:val="00C22A38"/>
    <w:rsid w:val="00C22DA5"/>
    <w:rsid w:val="00C248D5"/>
    <w:rsid w:val="00C25D05"/>
    <w:rsid w:val="00C2657E"/>
    <w:rsid w:val="00C26A04"/>
    <w:rsid w:val="00C31D55"/>
    <w:rsid w:val="00C32097"/>
    <w:rsid w:val="00C320CD"/>
    <w:rsid w:val="00C3273F"/>
    <w:rsid w:val="00C32F8D"/>
    <w:rsid w:val="00C33C3F"/>
    <w:rsid w:val="00C36192"/>
    <w:rsid w:val="00C40367"/>
    <w:rsid w:val="00C40B7A"/>
    <w:rsid w:val="00C41C45"/>
    <w:rsid w:val="00C420A1"/>
    <w:rsid w:val="00C429FE"/>
    <w:rsid w:val="00C42D66"/>
    <w:rsid w:val="00C438F0"/>
    <w:rsid w:val="00C43A26"/>
    <w:rsid w:val="00C44455"/>
    <w:rsid w:val="00C45E65"/>
    <w:rsid w:val="00C469A9"/>
    <w:rsid w:val="00C4786A"/>
    <w:rsid w:val="00C5294D"/>
    <w:rsid w:val="00C532D8"/>
    <w:rsid w:val="00C534AF"/>
    <w:rsid w:val="00C53599"/>
    <w:rsid w:val="00C53B3A"/>
    <w:rsid w:val="00C54C8A"/>
    <w:rsid w:val="00C5587B"/>
    <w:rsid w:val="00C61270"/>
    <w:rsid w:val="00C617C4"/>
    <w:rsid w:val="00C621E1"/>
    <w:rsid w:val="00C62A5C"/>
    <w:rsid w:val="00C63978"/>
    <w:rsid w:val="00C63A03"/>
    <w:rsid w:val="00C64302"/>
    <w:rsid w:val="00C6547A"/>
    <w:rsid w:val="00C663E2"/>
    <w:rsid w:val="00C66413"/>
    <w:rsid w:val="00C667AE"/>
    <w:rsid w:val="00C70CD7"/>
    <w:rsid w:val="00C70D0E"/>
    <w:rsid w:val="00C70D91"/>
    <w:rsid w:val="00C71D3F"/>
    <w:rsid w:val="00C72159"/>
    <w:rsid w:val="00C7255C"/>
    <w:rsid w:val="00C739C2"/>
    <w:rsid w:val="00C74F05"/>
    <w:rsid w:val="00C76E3C"/>
    <w:rsid w:val="00C76F80"/>
    <w:rsid w:val="00C80E51"/>
    <w:rsid w:val="00C814A3"/>
    <w:rsid w:val="00C81C8C"/>
    <w:rsid w:val="00C83AAF"/>
    <w:rsid w:val="00C86F44"/>
    <w:rsid w:val="00C95032"/>
    <w:rsid w:val="00C95EAE"/>
    <w:rsid w:val="00C977B0"/>
    <w:rsid w:val="00CA4E20"/>
    <w:rsid w:val="00CB1DD0"/>
    <w:rsid w:val="00CB2FEF"/>
    <w:rsid w:val="00CB3809"/>
    <w:rsid w:val="00CB3C21"/>
    <w:rsid w:val="00CC2597"/>
    <w:rsid w:val="00CC26C1"/>
    <w:rsid w:val="00CC3954"/>
    <w:rsid w:val="00CC48BF"/>
    <w:rsid w:val="00CC6B4F"/>
    <w:rsid w:val="00CC7927"/>
    <w:rsid w:val="00CD18A8"/>
    <w:rsid w:val="00CD358A"/>
    <w:rsid w:val="00CD35BA"/>
    <w:rsid w:val="00CD42A4"/>
    <w:rsid w:val="00CD71AD"/>
    <w:rsid w:val="00CE3580"/>
    <w:rsid w:val="00CE3DAA"/>
    <w:rsid w:val="00CE4042"/>
    <w:rsid w:val="00CE40AC"/>
    <w:rsid w:val="00CE4E85"/>
    <w:rsid w:val="00CE6170"/>
    <w:rsid w:val="00CF123B"/>
    <w:rsid w:val="00CF326E"/>
    <w:rsid w:val="00CF4C61"/>
    <w:rsid w:val="00CF709A"/>
    <w:rsid w:val="00CF7355"/>
    <w:rsid w:val="00CF7359"/>
    <w:rsid w:val="00D01843"/>
    <w:rsid w:val="00D01B81"/>
    <w:rsid w:val="00D05D7F"/>
    <w:rsid w:val="00D06CE9"/>
    <w:rsid w:val="00D07C72"/>
    <w:rsid w:val="00D10770"/>
    <w:rsid w:val="00D15393"/>
    <w:rsid w:val="00D159C2"/>
    <w:rsid w:val="00D15CE1"/>
    <w:rsid w:val="00D17A5E"/>
    <w:rsid w:val="00D214FB"/>
    <w:rsid w:val="00D24380"/>
    <w:rsid w:val="00D24802"/>
    <w:rsid w:val="00D24DA1"/>
    <w:rsid w:val="00D253C6"/>
    <w:rsid w:val="00D26AA7"/>
    <w:rsid w:val="00D279C3"/>
    <w:rsid w:val="00D3092C"/>
    <w:rsid w:val="00D30D22"/>
    <w:rsid w:val="00D349DC"/>
    <w:rsid w:val="00D35986"/>
    <w:rsid w:val="00D368CF"/>
    <w:rsid w:val="00D36BD3"/>
    <w:rsid w:val="00D37C24"/>
    <w:rsid w:val="00D40894"/>
    <w:rsid w:val="00D41D78"/>
    <w:rsid w:val="00D44A64"/>
    <w:rsid w:val="00D456CB"/>
    <w:rsid w:val="00D45F74"/>
    <w:rsid w:val="00D4752E"/>
    <w:rsid w:val="00D5041D"/>
    <w:rsid w:val="00D5087C"/>
    <w:rsid w:val="00D509E0"/>
    <w:rsid w:val="00D520FF"/>
    <w:rsid w:val="00D55118"/>
    <w:rsid w:val="00D56843"/>
    <w:rsid w:val="00D601CB"/>
    <w:rsid w:val="00D6157D"/>
    <w:rsid w:val="00D62A41"/>
    <w:rsid w:val="00D671F9"/>
    <w:rsid w:val="00D70E7B"/>
    <w:rsid w:val="00D71C5C"/>
    <w:rsid w:val="00D71D0F"/>
    <w:rsid w:val="00D7341C"/>
    <w:rsid w:val="00D77806"/>
    <w:rsid w:val="00D77AA1"/>
    <w:rsid w:val="00D80B9B"/>
    <w:rsid w:val="00D80FAF"/>
    <w:rsid w:val="00D81D8A"/>
    <w:rsid w:val="00D844A7"/>
    <w:rsid w:val="00D86508"/>
    <w:rsid w:val="00D8667C"/>
    <w:rsid w:val="00D86922"/>
    <w:rsid w:val="00D87167"/>
    <w:rsid w:val="00D879D3"/>
    <w:rsid w:val="00D87F5F"/>
    <w:rsid w:val="00D90157"/>
    <w:rsid w:val="00D90A7B"/>
    <w:rsid w:val="00D90D41"/>
    <w:rsid w:val="00D91C18"/>
    <w:rsid w:val="00D93292"/>
    <w:rsid w:val="00D94C34"/>
    <w:rsid w:val="00D959B4"/>
    <w:rsid w:val="00DA0951"/>
    <w:rsid w:val="00DA41D8"/>
    <w:rsid w:val="00DA5447"/>
    <w:rsid w:val="00DA6F7A"/>
    <w:rsid w:val="00DB05AB"/>
    <w:rsid w:val="00DB25D0"/>
    <w:rsid w:val="00DB4032"/>
    <w:rsid w:val="00DB41A0"/>
    <w:rsid w:val="00DB4D42"/>
    <w:rsid w:val="00DB4DDD"/>
    <w:rsid w:val="00DB675A"/>
    <w:rsid w:val="00DB6F3F"/>
    <w:rsid w:val="00DB77BA"/>
    <w:rsid w:val="00DC1A52"/>
    <w:rsid w:val="00DC2E47"/>
    <w:rsid w:val="00DC53A2"/>
    <w:rsid w:val="00DC63B8"/>
    <w:rsid w:val="00DC7779"/>
    <w:rsid w:val="00DD0313"/>
    <w:rsid w:val="00DD2B79"/>
    <w:rsid w:val="00DD340E"/>
    <w:rsid w:val="00DE46BB"/>
    <w:rsid w:val="00DE611B"/>
    <w:rsid w:val="00DE66B1"/>
    <w:rsid w:val="00DE6F8E"/>
    <w:rsid w:val="00DF0995"/>
    <w:rsid w:val="00DF20B1"/>
    <w:rsid w:val="00DF23F5"/>
    <w:rsid w:val="00DF2635"/>
    <w:rsid w:val="00DF3518"/>
    <w:rsid w:val="00DF4C43"/>
    <w:rsid w:val="00DF5C05"/>
    <w:rsid w:val="00DF6787"/>
    <w:rsid w:val="00DF7073"/>
    <w:rsid w:val="00DF7C32"/>
    <w:rsid w:val="00E00B89"/>
    <w:rsid w:val="00E00C3C"/>
    <w:rsid w:val="00E0273F"/>
    <w:rsid w:val="00E03365"/>
    <w:rsid w:val="00E03F6F"/>
    <w:rsid w:val="00E054B3"/>
    <w:rsid w:val="00E067D1"/>
    <w:rsid w:val="00E12C9A"/>
    <w:rsid w:val="00E171FF"/>
    <w:rsid w:val="00E177F9"/>
    <w:rsid w:val="00E20235"/>
    <w:rsid w:val="00E22292"/>
    <w:rsid w:val="00E227B2"/>
    <w:rsid w:val="00E25689"/>
    <w:rsid w:val="00E2660F"/>
    <w:rsid w:val="00E303C8"/>
    <w:rsid w:val="00E306E8"/>
    <w:rsid w:val="00E32EBC"/>
    <w:rsid w:val="00E37199"/>
    <w:rsid w:val="00E40B85"/>
    <w:rsid w:val="00E40B87"/>
    <w:rsid w:val="00E4291E"/>
    <w:rsid w:val="00E43E3A"/>
    <w:rsid w:val="00E507C6"/>
    <w:rsid w:val="00E5090C"/>
    <w:rsid w:val="00E50D96"/>
    <w:rsid w:val="00E50F03"/>
    <w:rsid w:val="00E5153B"/>
    <w:rsid w:val="00E52BD4"/>
    <w:rsid w:val="00E56F70"/>
    <w:rsid w:val="00E579ED"/>
    <w:rsid w:val="00E57C30"/>
    <w:rsid w:val="00E60B70"/>
    <w:rsid w:val="00E61C7B"/>
    <w:rsid w:val="00E63B91"/>
    <w:rsid w:val="00E63EBB"/>
    <w:rsid w:val="00E669B7"/>
    <w:rsid w:val="00E66C85"/>
    <w:rsid w:val="00E67C95"/>
    <w:rsid w:val="00E70BDD"/>
    <w:rsid w:val="00E71710"/>
    <w:rsid w:val="00E727F3"/>
    <w:rsid w:val="00E73629"/>
    <w:rsid w:val="00E743A6"/>
    <w:rsid w:val="00E75A41"/>
    <w:rsid w:val="00E76A08"/>
    <w:rsid w:val="00E81196"/>
    <w:rsid w:val="00E81BFF"/>
    <w:rsid w:val="00E82678"/>
    <w:rsid w:val="00E82A2D"/>
    <w:rsid w:val="00E83D6F"/>
    <w:rsid w:val="00E8533A"/>
    <w:rsid w:val="00E93306"/>
    <w:rsid w:val="00E94586"/>
    <w:rsid w:val="00E9521C"/>
    <w:rsid w:val="00E9591B"/>
    <w:rsid w:val="00E96E7B"/>
    <w:rsid w:val="00E97D41"/>
    <w:rsid w:val="00EA1484"/>
    <w:rsid w:val="00EA4C82"/>
    <w:rsid w:val="00EA674D"/>
    <w:rsid w:val="00EB02FC"/>
    <w:rsid w:val="00EB0F27"/>
    <w:rsid w:val="00EB1335"/>
    <w:rsid w:val="00EB247C"/>
    <w:rsid w:val="00EB3EA2"/>
    <w:rsid w:val="00EB3FBB"/>
    <w:rsid w:val="00EB3FFA"/>
    <w:rsid w:val="00EB47C4"/>
    <w:rsid w:val="00EB4840"/>
    <w:rsid w:val="00EB5CC7"/>
    <w:rsid w:val="00EB60BD"/>
    <w:rsid w:val="00EB6158"/>
    <w:rsid w:val="00EC2A50"/>
    <w:rsid w:val="00EC3665"/>
    <w:rsid w:val="00EC38A7"/>
    <w:rsid w:val="00EC55F4"/>
    <w:rsid w:val="00EC59B6"/>
    <w:rsid w:val="00EC70EA"/>
    <w:rsid w:val="00EC7C0D"/>
    <w:rsid w:val="00ED20F5"/>
    <w:rsid w:val="00ED4121"/>
    <w:rsid w:val="00ED4AAC"/>
    <w:rsid w:val="00ED4B61"/>
    <w:rsid w:val="00ED4F9C"/>
    <w:rsid w:val="00ED63C6"/>
    <w:rsid w:val="00ED70E7"/>
    <w:rsid w:val="00ED724F"/>
    <w:rsid w:val="00EE1F1C"/>
    <w:rsid w:val="00EE2A23"/>
    <w:rsid w:val="00EE2A6D"/>
    <w:rsid w:val="00EE4287"/>
    <w:rsid w:val="00EE4C87"/>
    <w:rsid w:val="00EE4DBA"/>
    <w:rsid w:val="00EE5CE3"/>
    <w:rsid w:val="00EE6DEC"/>
    <w:rsid w:val="00EF691A"/>
    <w:rsid w:val="00EF6D8D"/>
    <w:rsid w:val="00F011CE"/>
    <w:rsid w:val="00F01494"/>
    <w:rsid w:val="00F01CD0"/>
    <w:rsid w:val="00F02C59"/>
    <w:rsid w:val="00F0785F"/>
    <w:rsid w:val="00F10A9A"/>
    <w:rsid w:val="00F10EEB"/>
    <w:rsid w:val="00F112AB"/>
    <w:rsid w:val="00F113C5"/>
    <w:rsid w:val="00F140F4"/>
    <w:rsid w:val="00F14380"/>
    <w:rsid w:val="00F14EDC"/>
    <w:rsid w:val="00F17468"/>
    <w:rsid w:val="00F221D8"/>
    <w:rsid w:val="00F22312"/>
    <w:rsid w:val="00F22773"/>
    <w:rsid w:val="00F2331C"/>
    <w:rsid w:val="00F24149"/>
    <w:rsid w:val="00F24AF1"/>
    <w:rsid w:val="00F24B77"/>
    <w:rsid w:val="00F31957"/>
    <w:rsid w:val="00F32793"/>
    <w:rsid w:val="00F328B3"/>
    <w:rsid w:val="00F35B7D"/>
    <w:rsid w:val="00F3600A"/>
    <w:rsid w:val="00F404C6"/>
    <w:rsid w:val="00F42B10"/>
    <w:rsid w:val="00F44520"/>
    <w:rsid w:val="00F4650E"/>
    <w:rsid w:val="00F505F9"/>
    <w:rsid w:val="00F51A2B"/>
    <w:rsid w:val="00F52AB5"/>
    <w:rsid w:val="00F53033"/>
    <w:rsid w:val="00F535EE"/>
    <w:rsid w:val="00F53AF9"/>
    <w:rsid w:val="00F53B9E"/>
    <w:rsid w:val="00F54047"/>
    <w:rsid w:val="00F576B1"/>
    <w:rsid w:val="00F6015C"/>
    <w:rsid w:val="00F60864"/>
    <w:rsid w:val="00F6162B"/>
    <w:rsid w:val="00F622FC"/>
    <w:rsid w:val="00F63088"/>
    <w:rsid w:val="00F654CA"/>
    <w:rsid w:val="00F66AA4"/>
    <w:rsid w:val="00F74DB3"/>
    <w:rsid w:val="00F7558A"/>
    <w:rsid w:val="00F759DD"/>
    <w:rsid w:val="00F80D3E"/>
    <w:rsid w:val="00F81981"/>
    <w:rsid w:val="00F94347"/>
    <w:rsid w:val="00F97311"/>
    <w:rsid w:val="00FA2102"/>
    <w:rsid w:val="00FA3094"/>
    <w:rsid w:val="00FA5D1F"/>
    <w:rsid w:val="00FB12F6"/>
    <w:rsid w:val="00FB2AD1"/>
    <w:rsid w:val="00FB3340"/>
    <w:rsid w:val="00FB35E4"/>
    <w:rsid w:val="00FB781E"/>
    <w:rsid w:val="00FC0AE3"/>
    <w:rsid w:val="00FC0FEE"/>
    <w:rsid w:val="00FC10B5"/>
    <w:rsid w:val="00FD2421"/>
    <w:rsid w:val="00FD24A7"/>
    <w:rsid w:val="00FD602A"/>
    <w:rsid w:val="00FD6B84"/>
    <w:rsid w:val="00FE2AF3"/>
    <w:rsid w:val="00FE2FED"/>
    <w:rsid w:val="00FE3A8C"/>
    <w:rsid w:val="00FE4D14"/>
    <w:rsid w:val="00FE78F5"/>
    <w:rsid w:val="00FF21E2"/>
    <w:rsid w:val="00FF3A83"/>
    <w:rsid w:val="00FF4AC1"/>
    <w:rsid w:val="012E6F69"/>
    <w:rsid w:val="01B67ED6"/>
    <w:rsid w:val="021049CF"/>
    <w:rsid w:val="02784803"/>
    <w:rsid w:val="04283649"/>
    <w:rsid w:val="045F4F0A"/>
    <w:rsid w:val="04E95901"/>
    <w:rsid w:val="05C0366A"/>
    <w:rsid w:val="08A05605"/>
    <w:rsid w:val="08BF02C3"/>
    <w:rsid w:val="0A8D6C31"/>
    <w:rsid w:val="0AB63E4B"/>
    <w:rsid w:val="0B0D34A9"/>
    <w:rsid w:val="0B900AF3"/>
    <w:rsid w:val="0C9C06AB"/>
    <w:rsid w:val="0DC52948"/>
    <w:rsid w:val="0EA75D08"/>
    <w:rsid w:val="0F800E2D"/>
    <w:rsid w:val="0FE90B71"/>
    <w:rsid w:val="11CF41D4"/>
    <w:rsid w:val="12A272E2"/>
    <w:rsid w:val="133C2385"/>
    <w:rsid w:val="13873574"/>
    <w:rsid w:val="152C29AE"/>
    <w:rsid w:val="16A317BF"/>
    <w:rsid w:val="16C91448"/>
    <w:rsid w:val="18260D81"/>
    <w:rsid w:val="1A415B5C"/>
    <w:rsid w:val="1C5F6BF0"/>
    <w:rsid w:val="1C7C5F9A"/>
    <w:rsid w:val="1CF90854"/>
    <w:rsid w:val="1D0A7906"/>
    <w:rsid w:val="1D4D78CA"/>
    <w:rsid w:val="1DA95020"/>
    <w:rsid w:val="1E347AE2"/>
    <w:rsid w:val="1E3B177F"/>
    <w:rsid w:val="1F512885"/>
    <w:rsid w:val="200B1116"/>
    <w:rsid w:val="2093255B"/>
    <w:rsid w:val="22772824"/>
    <w:rsid w:val="243F2CF9"/>
    <w:rsid w:val="24AA0277"/>
    <w:rsid w:val="25A3468F"/>
    <w:rsid w:val="27F878C3"/>
    <w:rsid w:val="28FC707E"/>
    <w:rsid w:val="2BEB4E2D"/>
    <w:rsid w:val="2BED280E"/>
    <w:rsid w:val="2F1553AA"/>
    <w:rsid w:val="2F7774D9"/>
    <w:rsid w:val="30A64F78"/>
    <w:rsid w:val="35E5474C"/>
    <w:rsid w:val="372F3BCB"/>
    <w:rsid w:val="376A5A8A"/>
    <w:rsid w:val="38266265"/>
    <w:rsid w:val="38B41FE8"/>
    <w:rsid w:val="38BC1628"/>
    <w:rsid w:val="397322C1"/>
    <w:rsid w:val="3BC47B4D"/>
    <w:rsid w:val="3CD87AC7"/>
    <w:rsid w:val="3E801FE3"/>
    <w:rsid w:val="3EA843EA"/>
    <w:rsid w:val="3EB169D5"/>
    <w:rsid w:val="40116410"/>
    <w:rsid w:val="40891116"/>
    <w:rsid w:val="40E32649"/>
    <w:rsid w:val="421564CB"/>
    <w:rsid w:val="421C6C36"/>
    <w:rsid w:val="42247626"/>
    <w:rsid w:val="45135DAF"/>
    <w:rsid w:val="485B60D5"/>
    <w:rsid w:val="4A80432C"/>
    <w:rsid w:val="4BB548C0"/>
    <w:rsid w:val="4C4A055B"/>
    <w:rsid w:val="4CB17CEF"/>
    <w:rsid w:val="4DED0F2F"/>
    <w:rsid w:val="50A9305D"/>
    <w:rsid w:val="50CC6F61"/>
    <w:rsid w:val="538C0638"/>
    <w:rsid w:val="53F17237"/>
    <w:rsid w:val="54672F20"/>
    <w:rsid w:val="550E4668"/>
    <w:rsid w:val="55255EE7"/>
    <w:rsid w:val="55771238"/>
    <w:rsid w:val="578A4076"/>
    <w:rsid w:val="58384844"/>
    <w:rsid w:val="58984118"/>
    <w:rsid w:val="5A3C527B"/>
    <w:rsid w:val="5C822AA8"/>
    <w:rsid w:val="5DF0426A"/>
    <w:rsid w:val="5FD76F7D"/>
    <w:rsid w:val="60255E9C"/>
    <w:rsid w:val="604A08CD"/>
    <w:rsid w:val="60A5053A"/>
    <w:rsid w:val="60DB5FA6"/>
    <w:rsid w:val="61241E74"/>
    <w:rsid w:val="61585386"/>
    <w:rsid w:val="61907F8F"/>
    <w:rsid w:val="61A06F26"/>
    <w:rsid w:val="63E4197E"/>
    <w:rsid w:val="63F649C9"/>
    <w:rsid w:val="642F60C2"/>
    <w:rsid w:val="666A569F"/>
    <w:rsid w:val="67717E0E"/>
    <w:rsid w:val="68A96E42"/>
    <w:rsid w:val="6996622D"/>
    <w:rsid w:val="6B6A6978"/>
    <w:rsid w:val="6B6C6A03"/>
    <w:rsid w:val="6C1958E2"/>
    <w:rsid w:val="6CB84F1C"/>
    <w:rsid w:val="6D713B9A"/>
    <w:rsid w:val="704824EC"/>
    <w:rsid w:val="704C02B4"/>
    <w:rsid w:val="70D85181"/>
    <w:rsid w:val="720024FB"/>
    <w:rsid w:val="727F6749"/>
    <w:rsid w:val="75B10AE0"/>
    <w:rsid w:val="7AC76807"/>
    <w:rsid w:val="7D18116C"/>
    <w:rsid w:val="7E643CAC"/>
    <w:rsid w:val="7E771D44"/>
    <w:rsid w:val="7F705E80"/>
    <w:rsid w:val="7FEA67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qFormat="1" w:unhideWhenUsed="0" w:uiPriority="99" w:semiHidden="0" w:name="List 4"/>
    <w:lsdException w:qFormat="1" w:unhideWhenUsed="0" w:uiPriority="99" w:semiHidden="0" w:name="List 5"/>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qFormat="1" w:unhideWhenUsed="0" w:uiPriority="99" w:semiHidden="0" w:name="List Continue 5"/>
    <w:lsdException w:uiPriority="99" w:name="Message Header" w:locked="1"/>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9"/>
    <w:qFormat/>
    <w:uiPriority w:val="99"/>
    <w:pPr>
      <w:keepNext/>
      <w:keepLines/>
      <w:spacing w:before="340" w:after="330" w:line="578" w:lineRule="auto"/>
      <w:jc w:val="center"/>
      <w:outlineLvl w:val="0"/>
    </w:pPr>
    <w:rPr>
      <w:rFonts w:eastAsia="黑体"/>
      <w:bCs/>
      <w:kern w:val="44"/>
      <w:sz w:val="30"/>
      <w:szCs w:val="44"/>
    </w:rPr>
  </w:style>
  <w:style w:type="paragraph" w:styleId="5">
    <w:name w:val="heading 2"/>
    <w:basedOn w:val="1"/>
    <w:next w:val="1"/>
    <w:link w:val="70"/>
    <w:qFormat/>
    <w:uiPriority w:val="99"/>
    <w:pPr>
      <w:keepNext/>
      <w:keepLines/>
      <w:spacing w:before="260" w:after="260" w:line="416" w:lineRule="auto"/>
      <w:outlineLvl w:val="1"/>
    </w:pPr>
    <w:rPr>
      <w:rFonts w:ascii="Arial" w:hAnsi="Arial" w:eastAsia="黑体"/>
      <w:bCs/>
      <w:sz w:val="28"/>
      <w:szCs w:val="32"/>
    </w:rPr>
  </w:style>
  <w:style w:type="paragraph" w:styleId="6">
    <w:name w:val="heading 3"/>
    <w:basedOn w:val="1"/>
    <w:next w:val="1"/>
    <w:link w:val="71"/>
    <w:qFormat/>
    <w:uiPriority w:val="99"/>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7">
    <w:name w:val="heading 4"/>
    <w:basedOn w:val="1"/>
    <w:next w:val="1"/>
    <w:link w:val="72"/>
    <w:qFormat/>
    <w:uiPriority w:val="99"/>
    <w:pPr>
      <w:keepNext/>
      <w:outlineLvl w:val="3"/>
    </w:pPr>
    <w:rPr>
      <w:sz w:val="28"/>
      <w:szCs w:val="20"/>
    </w:rPr>
  </w:style>
  <w:style w:type="paragraph" w:styleId="8">
    <w:name w:val="heading 5"/>
    <w:basedOn w:val="1"/>
    <w:next w:val="1"/>
    <w:link w:val="73"/>
    <w:qFormat/>
    <w:uiPriority w:val="99"/>
    <w:pPr>
      <w:keepNext/>
      <w:keepLines/>
      <w:spacing w:before="280" w:after="290" w:line="376" w:lineRule="auto"/>
      <w:outlineLvl w:val="4"/>
    </w:pPr>
    <w:rPr>
      <w:b/>
      <w:bCs/>
      <w:sz w:val="28"/>
      <w:szCs w:val="28"/>
    </w:rPr>
  </w:style>
  <w:style w:type="paragraph" w:styleId="9">
    <w:name w:val="heading 6"/>
    <w:basedOn w:val="1"/>
    <w:next w:val="1"/>
    <w:link w:val="74"/>
    <w:qFormat/>
    <w:uiPriority w:val="99"/>
    <w:pPr>
      <w:keepNext/>
      <w:keepLines/>
      <w:spacing w:before="240" w:after="64" w:line="320" w:lineRule="auto"/>
      <w:outlineLvl w:val="5"/>
    </w:pPr>
    <w:rPr>
      <w:rFonts w:ascii="Arial" w:hAnsi="Arial" w:eastAsia="黑体"/>
      <w:b/>
      <w:bCs/>
      <w:sz w:val="24"/>
    </w:rPr>
  </w:style>
  <w:style w:type="paragraph" w:styleId="10">
    <w:name w:val="heading 7"/>
    <w:basedOn w:val="1"/>
    <w:next w:val="1"/>
    <w:link w:val="75"/>
    <w:qFormat/>
    <w:uiPriority w:val="99"/>
    <w:pPr>
      <w:keepNext/>
      <w:keepLines/>
      <w:spacing w:before="240" w:after="64" w:line="320" w:lineRule="auto"/>
      <w:outlineLvl w:val="6"/>
    </w:pPr>
    <w:rPr>
      <w:b/>
      <w:bCs/>
      <w:sz w:val="24"/>
    </w:rPr>
  </w:style>
  <w:style w:type="paragraph" w:styleId="11">
    <w:name w:val="heading 8"/>
    <w:basedOn w:val="1"/>
    <w:next w:val="1"/>
    <w:link w:val="76"/>
    <w:qFormat/>
    <w:uiPriority w:val="99"/>
    <w:pPr>
      <w:keepNext/>
      <w:keepLines/>
      <w:spacing w:before="240" w:after="64" w:line="320" w:lineRule="auto"/>
      <w:outlineLvl w:val="7"/>
    </w:pPr>
    <w:rPr>
      <w:rFonts w:ascii="Arial" w:hAnsi="Arial" w:eastAsia="黑体"/>
      <w:sz w:val="24"/>
    </w:rPr>
  </w:style>
  <w:style w:type="paragraph" w:styleId="12">
    <w:name w:val="heading 9"/>
    <w:basedOn w:val="1"/>
    <w:next w:val="1"/>
    <w:link w:val="77"/>
    <w:qFormat/>
    <w:uiPriority w:val="99"/>
    <w:pPr>
      <w:keepNext/>
      <w:keepLines/>
      <w:spacing w:before="240" w:after="64" w:line="320" w:lineRule="auto"/>
      <w:outlineLvl w:val="8"/>
    </w:pPr>
    <w:rPr>
      <w:rFonts w:ascii="Arial" w:hAnsi="Arial" w:eastAsia="黑体"/>
      <w:szCs w:val="21"/>
    </w:rPr>
  </w:style>
  <w:style w:type="character" w:default="1" w:styleId="59">
    <w:name w:val="Default Paragraph Font"/>
    <w:semiHidden/>
    <w:qFormat/>
    <w:uiPriority w:val="99"/>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qFormat/>
    <w:uiPriority w:val="99"/>
    <w:rPr>
      <w:sz w:val="28"/>
      <w:szCs w:val="20"/>
    </w:rPr>
  </w:style>
  <w:style w:type="paragraph" w:styleId="3">
    <w:name w:val="index 8"/>
    <w:basedOn w:val="1"/>
    <w:next w:val="1"/>
    <w:qFormat/>
    <w:locked/>
    <w:uiPriority w:val="0"/>
    <w:pPr>
      <w:ind w:left="2940"/>
    </w:pPr>
  </w:style>
  <w:style w:type="paragraph" w:styleId="13">
    <w:name w:val="toc 7"/>
    <w:basedOn w:val="1"/>
    <w:next w:val="1"/>
    <w:qFormat/>
    <w:uiPriority w:val="99"/>
    <w:pPr>
      <w:ind w:left="2520" w:leftChars="1200"/>
    </w:pPr>
    <w:rPr>
      <w:rFonts w:ascii="Calibri" w:hAnsi="Calibri"/>
      <w:szCs w:val="22"/>
    </w:rPr>
  </w:style>
  <w:style w:type="paragraph" w:styleId="14">
    <w:name w:val="List Number"/>
    <w:basedOn w:val="1"/>
    <w:qFormat/>
    <w:uiPriority w:val="99"/>
    <w:pPr>
      <w:numPr>
        <w:ilvl w:val="0"/>
        <w:numId w:val="1"/>
      </w:numPr>
      <w:spacing w:line="360" w:lineRule="auto"/>
      <w:ind w:hangingChars="200"/>
    </w:pPr>
    <w:rPr>
      <w:sz w:val="24"/>
    </w:rPr>
  </w:style>
  <w:style w:type="paragraph" w:styleId="15">
    <w:name w:val="Normal Indent"/>
    <w:basedOn w:val="1"/>
    <w:link w:val="124"/>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caption"/>
    <w:basedOn w:val="1"/>
    <w:next w:val="1"/>
    <w:qFormat/>
    <w:uiPriority w:val="99"/>
    <w:pPr>
      <w:widowControl/>
      <w:spacing w:before="120" w:after="120"/>
      <w:jc w:val="center"/>
    </w:pPr>
    <w:rPr>
      <w:rFonts w:ascii="Calibri" w:hAnsi="Calibri"/>
      <w:b/>
      <w:kern w:val="0"/>
      <w:sz w:val="24"/>
      <w:lang w:eastAsia="en-US"/>
    </w:rPr>
  </w:style>
  <w:style w:type="paragraph" w:styleId="17">
    <w:name w:val="List Bullet"/>
    <w:basedOn w:val="1"/>
    <w:qFormat/>
    <w:uiPriority w:val="99"/>
    <w:pPr>
      <w:widowControl/>
      <w:numPr>
        <w:ilvl w:val="0"/>
        <w:numId w:val="2"/>
      </w:numPr>
      <w:spacing w:before="40" w:after="40" w:line="360" w:lineRule="auto"/>
      <w:ind w:firstLine="200" w:firstLineChars="200"/>
      <w:jc w:val="left"/>
    </w:pPr>
    <w:rPr>
      <w:rFonts w:ascii="Calibri" w:hAnsi="Calibri"/>
      <w:kern w:val="0"/>
      <w:sz w:val="24"/>
      <w:szCs w:val="20"/>
      <w:lang w:eastAsia="en-US"/>
    </w:rPr>
  </w:style>
  <w:style w:type="paragraph" w:styleId="18">
    <w:name w:val="Document Map"/>
    <w:basedOn w:val="1"/>
    <w:link w:val="80"/>
    <w:qFormat/>
    <w:uiPriority w:val="99"/>
    <w:rPr>
      <w:rFonts w:ascii="宋体"/>
      <w:sz w:val="18"/>
      <w:szCs w:val="18"/>
    </w:rPr>
  </w:style>
  <w:style w:type="paragraph" w:styleId="19">
    <w:name w:val="annotation text"/>
    <w:basedOn w:val="1"/>
    <w:link w:val="81"/>
    <w:qFormat/>
    <w:uiPriority w:val="99"/>
    <w:pPr>
      <w:jc w:val="left"/>
    </w:pPr>
    <w:rPr>
      <w:szCs w:val="20"/>
    </w:rPr>
  </w:style>
  <w:style w:type="paragraph" w:styleId="20">
    <w:name w:val="Salutation"/>
    <w:basedOn w:val="1"/>
    <w:next w:val="1"/>
    <w:qFormat/>
    <w:uiPriority w:val="0"/>
    <w:rPr>
      <w:rFonts w:ascii="Times New Roman" w:hAnsi="Times New Roman"/>
    </w:rPr>
  </w:style>
  <w:style w:type="paragraph" w:styleId="21">
    <w:name w:val="Body Text 3"/>
    <w:basedOn w:val="1"/>
    <w:link w:val="82"/>
    <w:qFormat/>
    <w:uiPriority w:val="99"/>
    <w:pPr>
      <w:widowControl/>
      <w:autoSpaceDE w:val="0"/>
      <w:autoSpaceDN w:val="0"/>
      <w:adjustRightInd w:val="0"/>
      <w:spacing w:line="360" w:lineRule="auto"/>
      <w:jc w:val="center"/>
    </w:pPr>
    <w:rPr>
      <w:b/>
      <w:bCs/>
      <w:kern w:val="0"/>
      <w:sz w:val="36"/>
      <w:szCs w:val="20"/>
    </w:rPr>
  </w:style>
  <w:style w:type="paragraph" w:styleId="22">
    <w:name w:val="Body Text Indent"/>
    <w:basedOn w:val="1"/>
    <w:link w:val="83"/>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3">
    <w:name w:val="List 2"/>
    <w:basedOn w:val="1"/>
    <w:qFormat/>
    <w:uiPriority w:val="99"/>
    <w:pPr>
      <w:ind w:left="100" w:leftChars="200" w:hanging="200" w:hangingChars="200"/>
    </w:pPr>
  </w:style>
  <w:style w:type="paragraph" w:styleId="24">
    <w:name w:val="List Bullet 2"/>
    <w:basedOn w:val="1"/>
    <w:qFormat/>
    <w:uiPriority w:val="99"/>
    <w:pPr>
      <w:spacing w:line="324" w:lineRule="auto"/>
      <w:ind w:left="840" w:hanging="420"/>
    </w:pPr>
  </w:style>
  <w:style w:type="paragraph" w:styleId="25">
    <w:name w:val="toc 5"/>
    <w:basedOn w:val="1"/>
    <w:next w:val="1"/>
    <w:qFormat/>
    <w:uiPriority w:val="99"/>
    <w:pPr>
      <w:ind w:left="1680" w:leftChars="800"/>
    </w:pPr>
    <w:rPr>
      <w:rFonts w:ascii="Calibri" w:hAnsi="Calibri"/>
      <w:szCs w:val="22"/>
    </w:rPr>
  </w:style>
  <w:style w:type="paragraph" w:styleId="26">
    <w:name w:val="toc 3"/>
    <w:basedOn w:val="1"/>
    <w:next w:val="1"/>
    <w:qFormat/>
    <w:uiPriority w:val="9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27">
    <w:name w:val="Plain Text"/>
    <w:basedOn w:val="1"/>
    <w:link w:val="84"/>
    <w:qFormat/>
    <w:uiPriority w:val="99"/>
    <w:rPr>
      <w:rFonts w:ascii="宋体" w:hAnsi="Courier New"/>
      <w:szCs w:val="20"/>
    </w:rPr>
  </w:style>
  <w:style w:type="paragraph" w:styleId="28">
    <w:name w:val="toc 8"/>
    <w:basedOn w:val="1"/>
    <w:next w:val="1"/>
    <w:qFormat/>
    <w:uiPriority w:val="99"/>
    <w:pPr>
      <w:ind w:left="2940" w:leftChars="1400"/>
    </w:pPr>
    <w:rPr>
      <w:rFonts w:ascii="Calibri" w:hAnsi="Calibri"/>
      <w:szCs w:val="22"/>
    </w:rPr>
  </w:style>
  <w:style w:type="paragraph" w:styleId="29">
    <w:name w:val="Date"/>
    <w:basedOn w:val="1"/>
    <w:next w:val="1"/>
    <w:link w:val="85"/>
    <w:qFormat/>
    <w:uiPriority w:val="99"/>
    <w:pPr>
      <w:ind w:left="100" w:leftChars="2500"/>
    </w:pPr>
    <w:rPr>
      <w:szCs w:val="20"/>
    </w:rPr>
  </w:style>
  <w:style w:type="paragraph" w:styleId="30">
    <w:name w:val="Body Text Indent 2"/>
    <w:basedOn w:val="1"/>
    <w:link w:val="86"/>
    <w:qFormat/>
    <w:uiPriority w:val="99"/>
    <w:pPr>
      <w:spacing w:line="480" w:lineRule="auto"/>
      <w:ind w:firstLine="480" w:firstLineChars="200"/>
    </w:pPr>
    <w:rPr>
      <w:rFonts w:ascii="仿宋_GB2312" w:hAnsi="宋体" w:eastAsia="仿宋_GB2312"/>
      <w:sz w:val="24"/>
    </w:rPr>
  </w:style>
  <w:style w:type="paragraph" w:styleId="31">
    <w:name w:val="List Continue 5"/>
    <w:basedOn w:val="1"/>
    <w:qFormat/>
    <w:uiPriority w:val="99"/>
    <w:pPr>
      <w:adjustRightInd w:val="0"/>
      <w:spacing w:after="120" w:line="312" w:lineRule="atLeast"/>
      <w:ind w:left="2100"/>
      <w:textAlignment w:val="baseline"/>
    </w:pPr>
    <w:rPr>
      <w:kern w:val="0"/>
      <w:szCs w:val="20"/>
    </w:rPr>
  </w:style>
  <w:style w:type="paragraph" w:styleId="32">
    <w:name w:val="Balloon Text"/>
    <w:basedOn w:val="1"/>
    <w:link w:val="87"/>
    <w:qFormat/>
    <w:uiPriority w:val="99"/>
    <w:rPr>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9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36">
    <w:name w:val="toc 4"/>
    <w:basedOn w:val="1"/>
    <w:next w:val="1"/>
    <w:qFormat/>
    <w:uiPriority w:val="99"/>
    <w:pPr>
      <w:ind w:left="1260" w:leftChars="600"/>
    </w:pPr>
    <w:rPr>
      <w:rFonts w:ascii="Calibri" w:hAnsi="Calibri"/>
      <w:szCs w:val="22"/>
    </w:rPr>
  </w:style>
  <w:style w:type="paragraph" w:styleId="37">
    <w:name w:val="Subtitle"/>
    <w:basedOn w:val="1"/>
    <w:next w:val="1"/>
    <w:link w:val="90"/>
    <w:qFormat/>
    <w:uiPriority w:val="99"/>
    <w:pPr>
      <w:widowControl/>
      <w:spacing w:after="60"/>
      <w:jc w:val="center"/>
      <w:outlineLvl w:val="1"/>
    </w:pPr>
    <w:rPr>
      <w:rFonts w:ascii="楷体_GB2312" w:eastAsia="楷体_GB2312"/>
      <w:kern w:val="0"/>
      <w:sz w:val="28"/>
      <w:szCs w:val="20"/>
    </w:rPr>
  </w:style>
  <w:style w:type="paragraph" w:styleId="38">
    <w:name w:val="List"/>
    <w:basedOn w:val="1"/>
    <w:qFormat/>
    <w:uiPriority w:val="99"/>
    <w:pPr>
      <w:ind w:left="200" w:hanging="200" w:hangingChars="200"/>
    </w:pPr>
  </w:style>
  <w:style w:type="paragraph" w:styleId="39">
    <w:name w:val="footnote text"/>
    <w:basedOn w:val="1"/>
    <w:link w:val="91"/>
    <w:qFormat/>
    <w:uiPriority w:val="99"/>
    <w:pPr>
      <w:snapToGrid w:val="0"/>
      <w:jc w:val="left"/>
    </w:pPr>
    <w:rPr>
      <w:sz w:val="18"/>
      <w:szCs w:val="18"/>
    </w:rPr>
  </w:style>
  <w:style w:type="paragraph" w:styleId="40">
    <w:name w:val="toc 6"/>
    <w:basedOn w:val="1"/>
    <w:next w:val="1"/>
    <w:qFormat/>
    <w:uiPriority w:val="99"/>
    <w:pPr>
      <w:ind w:left="2100" w:leftChars="1000"/>
    </w:pPr>
    <w:rPr>
      <w:rFonts w:ascii="Calibri" w:hAnsi="Calibri"/>
      <w:szCs w:val="22"/>
    </w:rPr>
  </w:style>
  <w:style w:type="paragraph" w:styleId="41">
    <w:name w:val="List 5"/>
    <w:basedOn w:val="1"/>
    <w:qFormat/>
    <w:uiPriority w:val="99"/>
    <w:pPr>
      <w:ind w:left="100" w:leftChars="800" w:hanging="200" w:hangingChars="200"/>
      <w:contextualSpacing/>
    </w:pPr>
  </w:style>
  <w:style w:type="paragraph" w:styleId="42">
    <w:name w:val="Body Text Indent 3"/>
    <w:basedOn w:val="1"/>
    <w:link w:val="92"/>
    <w:qFormat/>
    <w:uiPriority w:val="99"/>
    <w:pPr>
      <w:spacing w:after="120" w:line="360" w:lineRule="atLeast"/>
      <w:ind w:firstLine="720" w:firstLineChars="300"/>
    </w:pPr>
    <w:rPr>
      <w:sz w:val="24"/>
      <w:szCs w:val="20"/>
    </w:rPr>
  </w:style>
  <w:style w:type="paragraph" w:styleId="43">
    <w:name w:val="table of figures"/>
    <w:basedOn w:val="1"/>
    <w:next w:val="1"/>
    <w:qFormat/>
    <w:uiPriority w:val="99"/>
    <w:pPr>
      <w:ind w:left="200" w:leftChars="200" w:hanging="200" w:hangingChars="200"/>
    </w:pPr>
  </w:style>
  <w:style w:type="paragraph" w:styleId="44">
    <w:name w:val="toc 2"/>
    <w:basedOn w:val="1"/>
    <w:next w:val="1"/>
    <w:qFormat/>
    <w:uiPriority w:val="99"/>
    <w:pPr>
      <w:tabs>
        <w:tab w:val="right" w:leader="dot" w:pos="9072"/>
      </w:tabs>
      <w:autoSpaceDE w:val="0"/>
      <w:autoSpaceDN w:val="0"/>
      <w:adjustRightInd w:val="0"/>
      <w:spacing w:line="315" w:lineRule="atLeast"/>
      <w:ind w:left="709" w:firstLine="190" w:firstLineChars="95"/>
      <w:jc w:val="left"/>
    </w:pPr>
    <w:rPr>
      <w:rFonts w:ascii="宋体" w:hAnsi="宋体"/>
      <w:smallCaps/>
      <w:color w:val="000000"/>
      <w:kern w:val="0"/>
      <w:sz w:val="20"/>
      <w:szCs w:val="20"/>
    </w:rPr>
  </w:style>
  <w:style w:type="paragraph" w:styleId="45">
    <w:name w:val="toc 9"/>
    <w:basedOn w:val="1"/>
    <w:next w:val="1"/>
    <w:qFormat/>
    <w:uiPriority w:val="99"/>
    <w:pPr>
      <w:ind w:left="3360" w:leftChars="1600"/>
    </w:pPr>
    <w:rPr>
      <w:rFonts w:ascii="Calibri" w:hAnsi="Calibri"/>
      <w:szCs w:val="22"/>
    </w:rPr>
  </w:style>
  <w:style w:type="paragraph" w:styleId="46">
    <w:name w:val="Body Text 2"/>
    <w:basedOn w:val="1"/>
    <w:link w:val="93"/>
    <w:qFormat/>
    <w:uiPriority w:val="99"/>
    <w:pPr>
      <w:spacing w:after="120" w:line="480" w:lineRule="auto"/>
    </w:pPr>
  </w:style>
  <w:style w:type="paragraph" w:styleId="47">
    <w:name w:val="List 4"/>
    <w:basedOn w:val="1"/>
    <w:qFormat/>
    <w:uiPriority w:val="99"/>
    <w:pPr>
      <w:adjustRightInd w:val="0"/>
      <w:spacing w:line="312" w:lineRule="atLeast"/>
      <w:ind w:left="1680" w:hanging="420"/>
      <w:textAlignment w:val="baseline"/>
    </w:pPr>
    <w:rPr>
      <w:kern w:val="0"/>
      <w:szCs w:val="20"/>
    </w:rPr>
  </w:style>
  <w:style w:type="paragraph" w:styleId="48">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9">
    <w:name w:val="Normal (Web)"/>
    <w:basedOn w:val="1"/>
    <w:link w:val="250"/>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99"/>
    <w:pPr>
      <w:widowControl/>
      <w:jc w:val="left"/>
    </w:pPr>
    <w:rPr>
      <w:rFonts w:ascii="Calibri" w:hAnsi="Calibri"/>
      <w:kern w:val="0"/>
      <w:sz w:val="24"/>
      <w:szCs w:val="20"/>
      <w:lang w:eastAsia="en-US"/>
    </w:rPr>
  </w:style>
  <w:style w:type="paragraph" w:styleId="51">
    <w:name w:val="Title"/>
    <w:basedOn w:val="1"/>
    <w:next w:val="1"/>
    <w:link w:val="95"/>
    <w:qFormat/>
    <w:uiPriority w:val="99"/>
    <w:pPr>
      <w:spacing w:before="240" w:after="60"/>
      <w:jc w:val="center"/>
      <w:outlineLvl w:val="0"/>
    </w:pPr>
    <w:rPr>
      <w:rFonts w:ascii="Cambria" w:hAnsi="Cambria"/>
      <w:b/>
      <w:bCs/>
      <w:sz w:val="32"/>
      <w:szCs w:val="32"/>
    </w:rPr>
  </w:style>
  <w:style w:type="paragraph" w:styleId="52">
    <w:name w:val="annotation subject"/>
    <w:basedOn w:val="19"/>
    <w:next w:val="19"/>
    <w:link w:val="96"/>
    <w:qFormat/>
    <w:uiPriority w:val="99"/>
    <w:rPr>
      <w:b/>
      <w:bCs/>
    </w:rPr>
  </w:style>
  <w:style w:type="paragraph" w:styleId="53">
    <w:name w:val="Body Text First Indent"/>
    <w:basedOn w:val="2"/>
    <w:next w:val="54"/>
    <w:link w:val="79"/>
    <w:qFormat/>
    <w:uiPriority w:val="99"/>
    <w:pPr>
      <w:spacing w:after="120"/>
      <w:ind w:firstLine="420" w:firstLineChars="100"/>
    </w:pPr>
    <w:rPr>
      <w:sz w:val="21"/>
      <w:szCs w:val="24"/>
    </w:rPr>
  </w:style>
  <w:style w:type="paragraph" w:customStyle="1" w:styleId="5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55">
    <w:name w:val="Body Text First Indent 2"/>
    <w:basedOn w:val="22"/>
    <w:link w:val="97"/>
    <w:qFormat/>
    <w:uiPriority w:val="99"/>
    <w:pPr>
      <w:autoSpaceDE/>
      <w:autoSpaceDN/>
      <w:spacing w:line="312" w:lineRule="atLeast"/>
      <w:ind w:left="0" w:firstLine="210"/>
      <w:textAlignment w:val="baseline"/>
    </w:pPr>
    <w:rPr>
      <w:kern w:val="2"/>
      <w:sz w:val="21"/>
      <w:szCs w:val="24"/>
    </w:rPr>
  </w:style>
  <w:style w:type="table" w:styleId="57">
    <w:name w:val="Table Grid"/>
    <w:basedOn w:val="5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Theme"/>
    <w:basedOn w:val="5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99"/>
    <w:rPr>
      <w:rFonts w:cs="Times New Roman"/>
      <w:b/>
    </w:rPr>
  </w:style>
  <w:style w:type="character" w:styleId="61">
    <w:name w:val="page number"/>
    <w:basedOn w:val="59"/>
    <w:qFormat/>
    <w:uiPriority w:val="99"/>
    <w:rPr>
      <w:rFonts w:cs="Times New Roman"/>
    </w:rPr>
  </w:style>
  <w:style w:type="character" w:styleId="62">
    <w:name w:val="FollowedHyperlink"/>
    <w:basedOn w:val="59"/>
    <w:qFormat/>
    <w:uiPriority w:val="99"/>
    <w:rPr>
      <w:rFonts w:cs="Times New Roman"/>
      <w:color w:val="800080"/>
      <w:u w:val="single"/>
    </w:rPr>
  </w:style>
  <w:style w:type="character" w:styleId="63">
    <w:name w:val="Emphasis"/>
    <w:basedOn w:val="59"/>
    <w:qFormat/>
    <w:uiPriority w:val="99"/>
    <w:rPr>
      <w:rFonts w:ascii="Calibri" w:hAnsi="Calibri" w:eastAsia="宋体" w:cs="Times New Roman"/>
      <w:b/>
      <w:i/>
      <w:kern w:val="2"/>
      <w:sz w:val="24"/>
      <w:lang w:val="en-US" w:eastAsia="zh-CN"/>
    </w:rPr>
  </w:style>
  <w:style w:type="character" w:styleId="64">
    <w:name w:val="HTML Typewriter"/>
    <w:basedOn w:val="59"/>
    <w:qFormat/>
    <w:uiPriority w:val="99"/>
    <w:rPr>
      <w:rFonts w:ascii="宋体" w:hAnsi="宋体" w:eastAsia="宋体" w:cs="Times New Roman"/>
      <w:sz w:val="24"/>
    </w:rPr>
  </w:style>
  <w:style w:type="character" w:styleId="65">
    <w:name w:val="Hyperlink"/>
    <w:basedOn w:val="59"/>
    <w:qFormat/>
    <w:uiPriority w:val="99"/>
    <w:rPr>
      <w:rFonts w:cs="Times New Roman"/>
      <w:color w:val="0000FF"/>
      <w:u w:val="single"/>
    </w:rPr>
  </w:style>
  <w:style w:type="character" w:styleId="66">
    <w:name w:val="annotation reference"/>
    <w:basedOn w:val="59"/>
    <w:qFormat/>
    <w:uiPriority w:val="99"/>
    <w:rPr>
      <w:rFonts w:cs="Times New Roman"/>
      <w:sz w:val="21"/>
    </w:rPr>
  </w:style>
  <w:style w:type="character" w:styleId="67">
    <w:name w:val="footnote reference"/>
    <w:basedOn w:val="59"/>
    <w:qFormat/>
    <w:uiPriority w:val="99"/>
    <w:rPr>
      <w:rFonts w:cs="Times New Roman"/>
      <w:vertAlign w:val="superscript"/>
    </w:rPr>
  </w:style>
  <w:style w:type="paragraph" w:customStyle="1" w:styleId="68">
    <w:name w:val="正文-标"/>
    <w:basedOn w:val="1"/>
    <w:qFormat/>
    <w:uiPriority w:val="0"/>
    <w:pPr>
      <w:spacing w:line="360" w:lineRule="auto"/>
      <w:ind w:firstLine="200" w:firstLineChars="200"/>
    </w:pPr>
  </w:style>
  <w:style w:type="character" w:customStyle="1" w:styleId="69">
    <w:name w:val="Heading 1 Char"/>
    <w:basedOn w:val="59"/>
    <w:link w:val="4"/>
    <w:qFormat/>
    <w:uiPriority w:val="9"/>
    <w:rPr>
      <w:b/>
      <w:bCs/>
      <w:kern w:val="44"/>
      <w:sz w:val="44"/>
      <w:szCs w:val="44"/>
    </w:rPr>
  </w:style>
  <w:style w:type="character" w:customStyle="1" w:styleId="70">
    <w:name w:val="Heading 2 Char"/>
    <w:basedOn w:val="59"/>
    <w:link w:val="5"/>
    <w:qFormat/>
    <w:locked/>
    <w:uiPriority w:val="99"/>
    <w:rPr>
      <w:rFonts w:ascii="Arial" w:hAnsi="Arial" w:eastAsia="黑体"/>
      <w:kern w:val="2"/>
      <w:sz w:val="32"/>
    </w:rPr>
  </w:style>
  <w:style w:type="character" w:customStyle="1" w:styleId="71">
    <w:name w:val="Heading 3 Char"/>
    <w:basedOn w:val="59"/>
    <w:link w:val="6"/>
    <w:qFormat/>
    <w:locked/>
    <w:uiPriority w:val="99"/>
    <w:rPr>
      <w:rFonts w:ascii="黑体" w:eastAsia="黑体"/>
      <w:sz w:val="28"/>
    </w:rPr>
  </w:style>
  <w:style w:type="character" w:customStyle="1" w:styleId="72">
    <w:name w:val="Heading 4 Char"/>
    <w:basedOn w:val="59"/>
    <w:link w:val="7"/>
    <w:qFormat/>
    <w:locked/>
    <w:uiPriority w:val="99"/>
    <w:rPr>
      <w:kern w:val="2"/>
      <w:sz w:val="28"/>
    </w:rPr>
  </w:style>
  <w:style w:type="character" w:customStyle="1" w:styleId="73">
    <w:name w:val="Heading 5 Char"/>
    <w:basedOn w:val="59"/>
    <w:link w:val="8"/>
    <w:qFormat/>
    <w:locked/>
    <w:uiPriority w:val="99"/>
    <w:rPr>
      <w:b/>
      <w:kern w:val="2"/>
      <w:sz w:val="28"/>
    </w:rPr>
  </w:style>
  <w:style w:type="character" w:customStyle="1" w:styleId="74">
    <w:name w:val="Heading 6 Char"/>
    <w:basedOn w:val="59"/>
    <w:link w:val="9"/>
    <w:qFormat/>
    <w:locked/>
    <w:uiPriority w:val="99"/>
    <w:rPr>
      <w:rFonts w:ascii="Arial" w:hAnsi="Arial" w:eastAsia="黑体"/>
      <w:b/>
      <w:kern w:val="2"/>
      <w:sz w:val="24"/>
    </w:rPr>
  </w:style>
  <w:style w:type="character" w:customStyle="1" w:styleId="75">
    <w:name w:val="Heading 7 Char"/>
    <w:basedOn w:val="59"/>
    <w:link w:val="10"/>
    <w:qFormat/>
    <w:locked/>
    <w:uiPriority w:val="99"/>
    <w:rPr>
      <w:b/>
      <w:kern w:val="2"/>
      <w:sz w:val="24"/>
    </w:rPr>
  </w:style>
  <w:style w:type="character" w:customStyle="1" w:styleId="76">
    <w:name w:val="Heading 8 Char"/>
    <w:basedOn w:val="59"/>
    <w:link w:val="11"/>
    <w:qFormat/>
    <w:locked/>
    <w:uiPriority w:val="99"/>
    <w:rPr>
      <w:rFonts w:ascii="Arial" w:hAnsi="Arial" w:eastAsia="黑体"/>
      <w:kern w:val="2"/>
      <w:sz w:val="24"/>
    </w:rPr>
  </w:style>
  <w:style w:type="character" w:customStyle="1" w:styleId="77">
    <w:name w:val="Heading 9 Char"/>
    <w:basedOn w:val="59"/>
    <w:link w:val="12"/>
    <w:qFormat/>
    <w:locked/>
    <w:uiPriority w:val="99"/>
    <w:rPr>
      <w:rFonts w:ascii="Arial" w:hAnsi="Arial" w:eastAsia="黑体"/>
      <w:kern w:val="2"/>
      <w:sz w:val="21"/>
    </w:rPr>
  </w:style>
  <w:style w:type="character" w:customStyle="1" w:styleId="78">
    <w:name w:val="Body Text Char"/>
    <w:basedOn w:val="59"/>
    <w:link w:val="2"/>
    <w:qFormat/>
    <w:locked/>
    <w:uiPriority w:val="99"/>
    <w:rPr>
      <w:rFonts w:cs="Times New Roman"/>
      <w:kern w:val="2"/>
      <w:sz w:val="28"/>
    </w:rPr>
  </w:style>
  <w:style w:type="character" w:customStyle="1" w:styleId="79">
    <w:name w:val="Body Text First Indent Char"/>
    <w:basedOn w:val="78"/>
    <w:link w:val="53"/>
    <w:qFormat/>
    <w:locked/>
    <w:uiPriority w:val="99"/>
    <w:rPr>
      <w:sz w:val="24"/>
      <w:szCs w:val="24"/>
    </w:rPr>
  </w:style>
  <w:style w:type="character" w:customStyle="1" w:styleId="80">
    <w:name w:val="Document Map Char"/>
    <w:basedOn w:val="59"/>
    <w:link w:val="18"/>
    <w:qFormat/>
    <w:locked/>
    <w:uiPriority w:val="99"/>
    <w:rPr>
      <w:rFonts w:ascii="宋体"/>
      <w:kern w:val="2"/>
      <w:sz w:val="18"/>
    </w:rPr>
  </w:style>
  <w:style w:type="character" w:customStyle="1" w:styleId="81">
    <w:name w:val="Comment Text Char"/>
    <w:basedOn w:val="59"/>
    <w:link w:val="19"/>
    <w:qFormat/>
    <w:locked/>
    <w:uiPriority w:val="99"/>
    <w:rPr>
      <w:rFonts w:eastAsia="宋体"/>
      <w:kern w:val="2"/>
      <w:sz w:val="21"/>
      <w:lang w:val="en-US" w:eastAsia="zh-CN"/>
    </w:rPr>
  </w:style>
  <w:style w:type="character" w:customStyle="1" w:styleId="82">
    <w:name w:val="Body Text 3 Char"/>
    <w:basedOn w:val="59"/>
    <w:link w:val="21"/>
    <w:qFormat/>
    <w:locked/>
    <w:uiPriority w:val="99"/>
    <w:rPr>
      <w:rFonts w:cs="Times New Roman"/>
      <w:b/>
      <w:bCs/>
      <w:sz w:val="36"/>
    </w:rPr>
  </w:style>
  <w:style w:type="character" w:customStyle="1" w:styleId="83">
    <w:name w:val="Body Text Indent Char"/>
    <w:basedOn w:val="59"/>
    <w:link w:val="22"/>
    <w:qFormat/>
    <w:locked/>
    <w:uiPriority w:val="99"/>
    <w:rPr>
      <w:rFonts w:ascii="楷体_GB2312" w:eastAsia="楷体_GB2312" w:cs="Times New Roman"/>
      <w:sz w:val="28"/>
    </w:rPr>
  </w:style>
  <w:style w:type="character" w:customStyle="1" w:styleId="84">
    <w:name w:val="Plain Text Char"/>
    <w:basedOn w:val="59"/>
    <w:link w:val="27"/>
    <w:qFormat/>
    <w:locked/>
    <w:uiPriority w:val="99"/>
    <w:rPr>
      <w:rFonts w:ascii="宋体" w:hAnsi="Courier New"/>
      <w:kern w:val="2"/>
      <w:sz w:val="21"/>
    </w:rPr>
  </w:style>
  <w:style w:type="character" w:customStyle="1" w:styleId="85">
    <w:name w:val="Date Char"/>
    <w:basedOn w:val="59"/>
    <w:link w:val="29"/>
    <w:qFormat/>
    <w:locked/>
    <w:uiPriority w:val="99"/>
    <w:rPr>
      <w:kern w:val="2"/>
      <w:sz w:val="21"/>
    </w:rPr>
  </w:style>
  <w:style w:type="character" w:customStyle="1" w:styleId="86">
    <w:name w:val="Body Text Indent 2 Char"/>
    <w:basedOn w:val="59"/>
    <w:link w:val="30"/>
    <w:qFormat/>
    <w:locked/>
    <w:uiPriority w:val="99"/>
    <w:rPr>
      <w:rFonts w:ascii="仿宋_GB2312" w:hAnsi="宋体" w:eastAsia="仿宋_GB2312"/>
      <w:kern w:val="2"/>
      <w:sz w:val="24"/>
    </w:rPr>
  </w:style>
  <w:style w:type="character" w:customStyle="1" w:styleId="87">
    <w:name w:val="Balloon Text Char"/>
    <w:basedOn w:val="59"/>
    <w:link w:val="32"/>
    <w:qFormat/>
    <w:locked/>
    <w:uiPriority w:val="99"/>
    <w:rPr>
      <w:kern w:val="2"/>
      <w:sz w:val="18"/>
    </w:rPr>
  </w:style>
  <w:style w:type="character" w:customStyle="1" w:styleId="88">
    <w:name w:val="Footer Char"/>
    <w:basedOn w:val="59"/>
    <w:link w:val="33"/>
    <w:qFormat/>
    <w:locked/>
    <w:uiPriority w:val="99"/>
    <w:rPr>
      <w:kern w:val="2"/>
      <w:sz w:val="18"/>
    </w:rPr>
  </w:style>
  <w:style w:type="character" w:customStyle="1" w:styleId="89">
    <w:name w:val="Header Char"/>
    <w:basedOn w:val="59"/>
    <w:link w:val="34"/>
    <w:qFormat/>
    <w:locked/>
    <w:uiPriority w:val="99"/>
    <w:rPr>
      <w:kern w:val="2"/>
      <w:sz w:val="18"/>
    </w:rPr>
  </w:style>
  <w:style w:type="character" w:customStyle="1" w:styleId="90">
    <w:name w:val="Subtitle Char"/>
    <w:basedOn w:val="59"/>
    <w:link w:val="37"/>
    <w:qFormat/>
    <w:locked/>
    <w:uiPriority w:val="99"/>
    <w:rPr>
      <w:rFonts w:ascii="楷体_GB2312" w:eastAsia="楷体_GB2312"/>
      <w:sz w:val="28"/>
    </w:rPr>
  </w:style>
  <w:style w:type="character" w:customStyle="1" w:styleId="91">
    <w:name w:val="Footnote Text Char"/>
    <w:basedOn w:val="59"/>
    <w:link w:val="39"/>
    <w:qFormat/>
    <w:locked/>
    <w:uiPriority w:val="99"/>
    <w:rPr>
      <w:kern w:val="2"/>
      <w:sz w:val="18"/>
    </w:rPr>
  </w:style>
  <w:style w:type="character" w:customStyle="1" w:styleId="92">
    <w:name w:val="Body Text Indent 3 Char"/>
    <w:basedOn w:val="59"/>
    <w:link w:val="42"/>
    <w:qFormat/>
    <w:locked/>
    <w:uiPriority w:val="99"/>
    <w:rPr>
      <w:kern w:val="2"/>
      <w:sz w:val="24"/>
    </w:rPr>
  </w:style>
  <w:style w:type="character" w:customStyle="1" w:styleId="93">
    <w:name w:val="Body Text 2 Char"/>
    <w:basedOn w:val="59"/>
    <w:link w:val="46"/>
    <w:qFormat/>
    <w:locked/>
    <w:uiPriority w:val="99"/>
    <w:rPr>
      <w:kern w:val="2"/>
      <w:sz w:val="24"/>
    </w:rPr>
  </w:style>
  <w:style w:type="character" w:customStyle="1" w:styleId="94">
    <w:name w:val="HTML Preformatted Char"/>
    <w:basedOn w:val="59"/>
    <w:link w:val="48"/>
    <w:qFormat/>
    <w:locked/>
    <w:uiPriority w:val="99"/>
    <w:rPr>
      <w:rFonts w:ascii="宋体" w:eastAsia="宋体" w:cs="Times New Roman"/>
      <w:sz w:val="24"/>
      <w:szCs w:val="24"/>
    </w:rPr>
  </w:style>
  <w:style w:type="character" w:customStyle="1" w:styleId="95">
    <w:name w:val="Title Char"/>
    <w:basedOn w:val="59"/>
    <w:link w:val="51"/>
    <w:qFormat/>
    <w:locked/>
    <w:uiPriority w:val="99"/>
    <w:rPr>
      <w:rFonts w:ascii="Cambria" w:hAnsi="Cambria"/>
      <w:b/>
      <w:kern w:val="2"/>
      <w:sz w:val="32"/>
    </w:rPr>
  </w:style>
  <w:style w:type="character" w:customStyle="1" w:styleId="96">
    <w:name w:val="Comment Subject Char"/>
    <w:basedOn w:val="81"/>
    <w:link w:val="52"/>
    <w:qFormat/>
    <w:locked/>
    <w:uiPriority w:val="99"/>
    <w:rPr>
      <w:b/>
    </w:rPr>
  </w:style>
  <w:style w:type="character" w:customStyle="1" w:styleId="97">
    <w:name w:val="Body Text First Indent 2 Char"/>
    <w:basedOn w:val="83"/>
    <w:link w:val="55"/>
    <w:qFormat/>
    <w:locked/>
    <w:uiPriority w:val="99"/>
    <w:rPr>
      <w:kern w:val="2"/>
      <w:sz w:val="24"/>
      <w:szCs w:val="24"/>
    </w:rPr>
  </w:style>
  <w:style w:type="paragraph" w:customStyle="1" w:styleId="98">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9">
    <w:name w:val="列出段落1"/>
    <w:basedOn w:val="1"/>
    <w:link w:val="117"/>
    <w:qFormat/>
    <w:uiPriority w:val="99"/>
    <w:pPr>
      <w:ind w:firstLine="420" w:firstLineChars="200"/>
    </w:pPr>
    <w:rPr>
      <w:szCs w:val="20"/>
    </w:rPr>
  </w:style>
  <w:style w:type="paragraph" w:customStyle="1" w:styleId="100">
    <w:name w:val="Char Char Char Char Char Char Char Char Char Char Char Char Char"/>
    <w:basedOn w:val="18"/>
    <w:qFormat/>
    <w:uiPriority w:val="99"/>
    <w:pPr>
      <w:shd w:val="clear" w:color="auto" w:fill="000080"/>
    </w:pPr>
    <w:rPr>
      <w:rFonts w:ascii="Tahoma" w:hAnsi="Tahoma"/>
      <w:sz w:val="24"/>
      <w:szCs w:val="24"/>
    </w:rPr>
  </w:style>
  <w:style w:type="paragraph" w:customStyle="1" w:styleId="10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bt1bt1"/>
    <w:basedOn w:val="4"/>
    <w:qFormat/>
    <w:uiPriority w:val="99"/>
    <w:pPr>
      <w:spacing w:line="240" w:lineRule="auto"/>
    </w:pPr>
    <w:rPr>
      <w:rFonts w:ascii="黑体"/>
      <w:sz w:val="36"/>
      <w:szCs w:val="36"/>
    </w:rPr>
  </w:style>
  <w:style w:type="paragraph" w:customStyle="1" w:styleId="104">
    <w:name w:val="新定义正文"/>
    <w:basedOn w:val="1"/>
    <w:qFormat/>
    <w:uiPriority w:val="99"/>
    <w:pPr>
      <w:widowControl/>
    </w:pPr>
    <w:rPr>
      <w:color w:val="000000"/>
      <w:szCs w:val="21"/>
    </w:rPr>
  </w:style>
  <w:style w:type="paragraph" w:customStyle="1" w:styleId="105">
    <w:name w:val="节"/>
    <w:basedOn w:val="5"/>
    <w:qFormat/>
    <w:uiPriority w:val="99"/>
    <w:pPr>
      <w:numPr>
        <w:ilvl w:val="1"/>
        <w:numId w:val="3"/>
      </w:numPr>
      <w:tabs>
        <w:tab w:val="left" w:pos="432"/>
      </w:tabs>
      <w:spacing w:line="240" w:lineRule="auto"/>
    </w:pPr>
    <w:rPr>
      <w:rFonts w:ascii="黑体"/>
      <w:szCs w:val="28"/>
    </w:rPr>
  </w:style>
  <w:style w:type="paragraph" w:customStyle="1" w:styleId="106">
    <w:name w:val="蓝色显示"/>
    <w:basedOn w:val="1"/>
    <w:link w:val="116"/>
    <w:qFormat/>
    <w:uiPriority w:val="99"/>
    <w:pPr>
      <w:spacing w:before="340" w:after="330" w:line="400" w:lineRule="exact"/>
    </w:pPr>
    <w:rPr>
      <w:b/>
      <w:color w:val="0070C0"/>
    </w:rPr>
  </w:style>
  <w:style w:type="paragraph" w:customStyle="1" w:styleId="107">
    <w:name w:val="c_"/>
    <w:qFormat/>
    <w:uiPriority w:val="99"/>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08">
    <w:name w:val="表格"/>
    <w:basedOn w:val="5"/>
    <w:qFormat/>
    <w:uiPriority w:val="99"/>
    <w:pPr>
      <w:tabs>
        <w:tab w:val="left" w:pos="927"/>
      </w:tabs>
      <w:adjustRightInd w:val="0"/>
      <w:spacing w:before="0" w:after="0" w:line="400" w:lineRule="atLeast"/>
      <w:ind w:firstLine="567"/>
      <w:textAlignment w:val="baseline"/>
      <w:outlineLvl w:val="9"/>
    </w:pPr>
    <w:rPr>
      <w:rFonts w:ascii="长城仿宋" w:eastAsia="长城仿宋"/>
      <w:bCs w:val="0"/>
      <w:kern w:val="0"/>
      <w:szCs w:val="20"/>
    </w:rPr>
  </w:style>
  <w:style w:type="paragraph" w:customStyle="1" w:styleId="109">
    <w:name w:val="样式 小四 首行缩进:  2 字符"/>
    <w:basedOn w:val="1"/>
    <w:qFormat/>
    <w:uiPriority w:val="99"/>
    <w:pPr>
      <w:widowControl/>
      <w:spacing w:line="300" w:lineRule="auto"/>
      <w:ind w:firstLine="480" w:firstLineChars="200"/>
      <w:jc w:val="left"/>
    </w:pPr>
    <w:rPr>
      <w:sz w:val="24"/>
      <w:szCs w:val="20"/>
    </w:rPr>
  </w:style>
  <w:style w:type="character" w:customStyle="1" w:styleId="110">
    <w:name w:val="Char Char1"/>
    <w:qFormat/>
    <w:uiPriority w:val="99"/>
    <w:rPr>
      <w:rFonts w:ascii="楷体_GB2312" w:eastAsia="楷体_GB2312"/>
      <w:sz w:val="28"/>
    </w:rPr>
  </w:style>
  <w:style w:type="character" w:customStyle="1" w:styleId="111">
    <w:name w:val="标题 Char"/>
    <w:qFormat/>
    <w:uiPriority w:val="99"/>
    <w:rPr>
      <w:rFonts w:ascii="Cambria" w:hAnsi="Cambria"/>
      <w:b/>
      <w:kern w:val="2"/>
      <w:sz w:val="32"/>
    </w:rPr>
  </w:style>
  <w:style w:type="character" w:customStyle="1" w:styleId="112">
    <w:name w:val="标题 1 Char"/>
    <w:qFormat/>
    <w:uiPriority w:val="99"/>
    <w:rPr>
      <w:rFonts w:ascii="黑体"/>
      <w:b/>
      <w:kern w:val="44"/>
      <w:sz w:val="32"/>
    </w:rPr>
  </w:style>
  <w:style w:type="character" w:customStyle="1" w:styleId="113">
    <w:name w:val="正文文本缩进 Char"/>
    <w:qFormat/>
    <w:uiPriority w:val="99"/>
    <w:rPr>
      <w:rFonts w:ascii="楷体_GB2312" w:eastAsia="楷体_GB2312"/>
      <w:sz w:val="28"/>
    </w:rPr>
  </w:style>
  <w:style w:type="character" w:customStyle="1" w:styleId="114">
    <w:name w:val="Char Char"/>
    <w:qFormat/>
    <w:uiPriority w:val="99"/>
    <w:rPr>
      <w:rFonts w:ascii="宋体"/>
      <w:kern w:val="2"/>
      <w:sz w:val="18"/>
    </w:rPr>
  </w:style>
  <w:style w:type="character" w:customStyle="1" w:styleId="115">
    <w:name w:val="访问过的超链接1"/>
    <w:qFormat/>
    <w:uiPriority w:val="99"/>
    <w:rPr>
      <w:color w:val="800080"/>
      <w:u w:val="single"/>
    </w:rPr>
  </w:style>
  <w:style w:type="character" w:customStyle="1" w:styleId="116">
    <w:name w:val="蓝色显示 Char"/>
    <w:link w:val="106"/>
    <w:qFormat/>
    <w:locked/>
    <w:uiPriority w:val="99"/>
    <w:rPr>
      <w:b/>
      <w:color w:val="0070C0"/>
      <w:kern w:val="2"/>
      <w:sz w:val="24"/>
    </w:rPr>
  </w:style>
  <w:style w:type="character" w:customStyle="1" w:styleId="117">
    <w:name w:val="列出段落 Char"/>
    <w:link w:val="99"/>
    <w:qFormat/>
    <w:locked/>
    <w:uiPriority w:val="99"/>
    <w:rPr>
      <w:kern w:val="2"/>
      <w:sz w:val="21"/>
    </w:rPr>
  </w:style>
  <w:style w:type="table" w:customStyle="1" w:styleId="118">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font41"/>
    <w:qFormat/>
    <w:uiPriority w:val="99"/>
    <w:rPr>
      <w:rFonts w:ascii="宋体" w:hAnsi="宋体" w:eastAsia="宋体"/>
      <w:color w:val="000000"/>
      <w:sz w:val="22"/>
      <w:u w:val="none"/>
    </w:rPr>
  </w:style>
  <w:style w:type="character" w:customStyle="1" w:styleId="120">
    <w:name w:val="font51"/>
    <w:qFormat/>
    <w:uiPriority w:val="99"/>
    <w:rPr>
      <w:rFonts w:ascii="宋体" w:hAnsi="宋体" w:eastAsia="宋体"/>
      <w:color w:val="000000"/>
      <w:sz w:val="22"/>
      <w:u w:val="none"/>
    </w:rPr>
  </w:style>
  <w:style w:type="character" w:customStyle="1" w:styleId="121">
    <w:name w:val="font11"/>
    <w:qFormat/>
    <w:uiPriority w:val="99"/>
    <w:rPr>
      <w:rFonts w:ascii="宋体" w:hAnsi="宋体" w:eastAsia="宋体"/>
      <w:color w:val="000000"/>
      <w:sz w:val="24"/>
      <w:u w:val="none"/>
    </w:rPr>
  </w:style>
  <w:style w:type="character" w:customStyle="1" w:styleId="122">
    <w:name w:val="font01"/>
    <w:qFormat/>
    <w:uiPriority w:val="99"/>
    <w:rPr>
      <w:rFonts w:ascii="宋体" w:hAnsi="宋体" w:eastAsia="宋体"/>
      <w:color w:val="000000"/>
      <w:sz w:val="24"/>
      <w:u w:val="single"/>
    </w:rPr>
  </w:style>
  <w:style w:type="paragraph" w:customStyle="1" w:styleId="123">
    <w:name w:val="TOC Heading1"/>
    <w:basedOn w:val="4"/>
    <w:next w:val="1"/>
    <w:qFormat/>
    <w:uiPriority w:val="99"/>
    <w:pPr>
      <w:widowControl/>
      <w:spacing w:before="240" w:after="0" w:line="259" w:lineRule="auto"/>
      <w:jc w:val="left"/>
      <w:outlineLvl w:val="9"/>
    </w:pPr>
    <w:rPr>
      <w:rFonts w:ascii="Calibri Light" w:hAnsi="Calibri Light" w:eastAsia="宋体"/>
      <w:bCs w:val="0"/>
      <w:color w:val="2E74B5"/>
      <w:kern w:val="0"/>
      <w:sz w:val="32"/>
      <w:szCs w:val="32"/>
    </w:rPr>
  </w:style>
  <w:style w:type="character" w:customStyle="1" w:styleId="124">
    <w:name w:val="Normal Indent Char"/>
    <w:link w:val="15"/>
    <w:qFormat/>
    <w:locked/>
    <w:uiPriority w:val="99"/>
    <w:rPr>
      <w:rFonts w:ascii="楷体_GB2312" w:eastAsia="楷体_GB2312"/>
      <w:sz w:val="28"/>
    </w:rPr>
  </w:style>
  <w:style w:type="paragraph" w:customStyle="1" w:styleId="125">
    <w:name w:val="List Paragraph1"/>
    <w:basedOn w:val="1"/>
    <w:qFormat/>
    <w:uiPriority w:val="99"/>
    <w:pPr>
      <w:ind w:firstLine="420" w:firstLineChars="200"/>
    </w:pPr>
    <w:rPr>
      <w:szCs w:val="20"/>
    </w:rPr>
  </w:style>
  <w:style w:type="character" w:customStyle="1" w:styleId="126">
    <w:name w:val="Char Char3"/>
    <w:qFormat/>
    <w:uiPriority w:val="99"/>
    <w:rPr>
      <w:rFonts w:eastAsia="宋体"/>
      <w:kern w:val="2"/>
      <w:sz w:val="21"/>
      <w:lang w:val="en-US" w:eastAsia="zh-CN"/>
    </w:rPr>
  </w:style>
  <w:style w:type="character" w:customStyle="1" w:styleId="127">
    <w:name w:val="Char Char2"/>
    <w:qFormat/>
    <w:uiPriority w:val="99"/>
    <w:rPr>
      <w:rFonts w:eastAsia="宋体"/>
      <w:b/>
      <w:kern w:val="2"/>
      <w:sz w:val="21"/>
      <w:lang w:val="en-US" w:eastAsia="zh-CN"/>
    </w:rPr>
  </w:style>
  <w:style w:type="paragraph" w:customStyle="1" w:styleId="128">
    <w:name w:val="Char"/>
    <w:basedOn w:val="18"/>
    <w:qFormat/>
    <w:uiPriority w:val="99"/>
    <w:pPr>
      <w:shd w:val="clear" w:color="auto" w:fill="000080"/>
    </w:pPr>
    <w:rPr>
      <w:rFonts w:ascii="Tahoma" w:hAnsi="Tahoma"/>
      <w:sz w:val="24"/>
      <w:szCs w:val="24"/>
    </w:rPr>
  </w:style>
  <w:style w:type="paragraph" w:customStyle="1" w:styleId="129">
    <w:name w:val="样式"/>
    <w:basedOn w:val="1"/>
    <w:qFormat/>
    <w:uiPriority w:val="99"/>
    <w:pPr>
      <w:tabs>
        <w:tab w:val="left" w:pos="567"/>
        <w:tab w:val="left" w:pos="1485"/>
      </w:tabs>
      <w:snapToGrid w:val="0"/>
      <w:spacing w:line="460" w:lineRule="atLeast"/>
      <w:ind w:left="1485" w:hanging="1485"/>
    </w:pPr>
    <w:rPr>
      <w:rFonts w:ascii="Arial" w:hAnsi="Arial"/>
      <w:spacing w:val="6"/>
      <w:sz w:val="24"/>
      <w:szCs w:val="20"/>
    </w:rPr>
  </w:style>
  <w:style w:type="paragraph" w:customStyle="1" w:styleId="130">
    <w:name w:val="文档正文"/>
    <w:basedOn w:val="1"/>
    <w:qFormat/>
    <w:uiPriority w:val="99"/>
    <w:pPr>
      <w:adjustRightInd w:val="0"/>
      <w:spacing w:line="440" w:lineRule="exact"/>
      <w:ind w:firstLine="567"/>
      <w:textAlignment w:val="baseline"/>
    </w:pPr>
    <w:rPr>
      <w:rFonts w:ascii="Arial Narrow" w:hAnsi="Arial Narrow"/>
      <w:kern w:val="0"/>
      <w:sz w:val="24"/>
      <w:szCs w:val="20"/>
    </w:rPr>
  </w:style>
  <w:style w:type="paragraph" w:customStyle="1" w:styleId="131">
    <w:name w:val="正文文本2"/>
    <w:basedOn w:val="1"/>
    <w:qFormat/>
    <w:uiPriority w:val="99"/>
  </w:style>
  <w:style w:type="paragraph" w:customStyle="1" w:styleId="132">
    <w:name w:val="msoacetate"/>
    <w:basedOn w:val="1"/>
    <w:qFormat/>
    <w:uiPriority w:val="99"/>
    <w:rPr>
      <w:sz w:val="18"/>
      <w:szCs w:val="18"/>
    </w:rPr>
  </w:style>
  <w:style w:type="paragraph" w:customStyle="1" w:styleId="133">
    <w:name w:val="樣式1"/>
    <w:basedOn w:val="1"/>
    <w:qFormat/>
    <w:uiPriority w:val="99"/>
    <w:pPr>
      <w:snapToGrid w:val="0"/>
      <w:spacing w:line="360" w:lineRule="atLeast"/>
    </w:pPr>
    <w:rPr>
      <w:rFonts w:eastAsia="華康簡楷"/>
      <w:sz w:val="26"/>
      <w:szCs w:val="20"/>
      <w:lang w:eastAsia="zh-TW"/>
    </w:rPr>
  </w:style>
  <w:style w:type="paragraph" w:customStyle="1" w:styleId="134">
    <w:name w:val="默认段落字体 Para Char Char Char Char Char Char Char"/>
    <w:basedOn w:val="1"/>
    <w:qFormat/>
    <w:uiPriority w:val="99"/>
    <w:pPr>
      <w:tabs>
        <w:tab w:val="left" w:pos="4665"/>
        <w:tab w:val="left" w:pos="8970"/>
      </w:tabs>
      <w:ind w:firstLine="400"/>
    </w:pPr>
    <w:rPr>
      <w:rFonts w:ascii="Tahoma" w:hAnsi="Tahoma"/>
      <w:sz w:val="24"/>
      <w:szCs w:val="20"/>
    </w:rPr>
  </w:style>
  <w:style w:type="paragraph" w:customStyle="1" w:styleId="135">
    <w:name w:val="Char2"/>
    <w:basedOn w:val="18"/>
    <w:qFormat/>
    <w:uiPriority w:val="99"/>
    <w:pPr>
      <w:shd w:val="clear" w:color="auto" w:fill="000080"/>
    </w:pPr>
    <w:rPr>
      <w:rFonts w:ascii="Tahoma" w:hAnsi="Tahoma"/>
      <w:sz w:val="13"/>
      <w:szCs w:val="24"/>
    </w:rPr>
  </w:style>
  <w:style w:type="paragraph" w:customStyle="1" w:styleId="136">
    <w:name w:val="Char1"/>
    <w:basedOn w:val="1"/>
    <w:qFormat/>
    <w:uiPriority w:val="99"/>
    <w:pPr>
      <w:adjustRightInd w:val="0"/>
      <w:spacing w:line="360" w:lineRule="auto"/>
    </w:pPr>
    <w:rPr>
      <w:kern w:val="0"/>
      <w:sz w:val="24"/>
      <w:szCs w:val="20"/>
    </w:rPr>
  </w:style>
  <w:style w:type="paragraph" w:customStyle="1" w:styleId="137">
    <w:name w:val="默认段落字体 Char Char Char Char Char Char Char Char Char Char Char Char Char Char Char Char Char Char Char Char Char"/>
    <w:basedOn w:val="18"/>
    <w:next w:val="1"/>
    <w:qFormat/>
    <w:uiPriority w:val="99"/>
    <w:pPr>
      <w:shd w:val="clear" w:color="auto" w:fill="000080"/>
      <w:adjustRightInd w:val="0"/>
      <w:spacing w:line="360" w:lineRule="auto"/>
      <w:jc w:val="center"/>
      <w:textAlignment w:val="baseline"/>
    </w:pPr>
    <w:rPr>
      <w:rFonts w:ascii="Tahoma" w:hAnsi="Tahoma"/>
      <w:kern w:val="0"/>
      <w:sz w:val="24"/>
      <w:szCs w:val="24"/>
    </w:rPr>
  </w:style>
  <w:style w:type="paragraph" w:customStyle="1" w:styleId="138">
    <w:name w:val="Char Char Char Char"/>
    <w:basedOn w:val="18"/>
    <w:qFormat/>
    <w:uiPriority w:val="99"/>
    <w:pPr>
      <w:shd w:val="clear" w:color="auto" w:fill="000080"/>
    </w:pPr>
    <w:rPr>
      <w:rFonts w:ascii="Tahoma" w:hAnsi="Tahoma"/>
      <w:sz w:val="24"/>
      <w:szCs w:val="24"/>
    </w:rPr>
  </w:style>
  <w:style w:type="paragraph" w:customStyle="1" w:styleId="139">
    <w:name w:val="正文缩进+项目符号"/>
    <w:basedOn w:val="140"/>
    <w:qFormat/>
    <w:uiPriority w:val="99"/>
    <w:pPr>
      <w:numPr>
        <w:ilvl w:val="0"/>
        <w:numId w:val="4"/>
      </w:numPr>
      <w:tabs>
        <w:tab w:val="left" w:pos="0"/>
        <w:tab w:val="left" w:pos="432"/>
        <w:tab w:val="left" w:pos="791"/>
        <w:tab w:val="left" w:pos="1410"/>
        <w:tab w:val="clear" w:pos="960"/>
      </w:tabs>
      <w:ind w:left="1410" w:hanging="1410" w:firstLineChars="0"/>
    </w:pPr>
  </w:style>
  <w:style w:type="paragraph" w:customStyle="1" w:styleId="140">
    <w:name w:val="正文首行缩进两字"/>
    <w:basedOn w:val="1"/>
    <w:link w:val="141"/>
    <w:qFormat/>
    <w:uiPriority w:val="99"/>
    <w:pPr>
      <w:autoSpaceDE w:val="0"/>
      <w:autoSpaceDN w:val="0"/>
      <w:adjustRightInd w:val="0"/>
      <w:snapToGrid w:val="0"/>
      <w:spacing w:line="360" w:lineRule="auto"/>
      <w:ind w:firstLine="540" w:firstLineChars="225"/>
    </w:pPr>
    <w:rPr>
      <w:sz w:val="24"/>
      <w:szCs w:val="20"/>
    </w:rPr>
  </w:style>
  <w:style w:type="character" w:customStyle="1" w:styleId="141">
    <w:name w:val="正文首行缩进两字 Char"/>
    <w:link w:val="140"/>
    <w:qFormat/>
    <w:locked/>
    <w:uiPriority w:val="99"/>
    <w:rPr>
      <w:kern w:val="2"/>
      <w:sz w:val="24"/>
    </w:rPr>
  </w:style>
  <w:style w:type="paragraph" w:customStyle="1" w:styleId="142">
    <w:name w:val="表格文字（大）"/>
    <w:basedOn w:val="1"/>
    <w:qFormat/>
    <w:uiPriority w:val="99"/>
    <w:pPr>
      <w:spacing w:before="20" w:after="20"/>
    </w:pPr>
    <w:rPr>
      <w:rFonts w:ascii="Century Gothic" w:hAnsi="Century Gothic"/>
      <w:sz w:val="24"/>
      <w:szCs w:val="20"/>
    </w:rPr>
  </w:style>
  <w:style w:type="paragraph" w:customStyle="1" w:styleId="143">
    <w:name w:val="正文缩进+编号"/>
    <w:basedOn w:val="140"/>
    <w:qFormat/>
    <w:uiPriority w:val="99"/>
    <w:pPr>
      <w:numPr>
        <w:ilvl w:val="0"/>
        <w:numId w:val="5"/>
      </w:numPr>
      <w:tabs>
        <w:tab w:val="left" w:pos="0"/>
        <w:tab w:val="left" w:pos="705"/>
        <w:tab w:val="left" w:pos="1080"/>
        <w:tab w:val="left" w:pos="1140"/>
        <w:tab w:val="clear" w:pos="960"/>
      </w:tabs>
      <w:ind w:left="1080" w:hanging="720" w:firstLineChars="0"/>
    </w:pPr>
  </w:style>
  <w:style w:type="paragraph" w:customStyle="1" w:styleId="144">
    <w:name w:val="四级条款"/>
    <w:basedOn w:val="1"/>
    <w:qFormat/>
    <w:uiPriority w:val="99"/>
    <w:pPr>
      <w:numPr>
        <w:ilvl w:val="3"/>
        <w:numId w:val="6"/>
      </w:numPr>
      <w:spacing w:line="360" w:lineRule="auto"/>
      <w:ind w:right="-1414"/>
    </w:pPr>
    <w:rPr>
      <w:rFonts w:ascii="仿宋_GB2312" w:cs="宋体"/>
      <w:bCs/>
      <w:sz w:val="24"/>
      <w:szCs w:val="20"/>
    </w:rPr>
  </w:style>
  <w:style w:type="paragraph" w:customStyle="1" w:styleId="14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46">
    <w:name w:val="三级条款"/>
    <w:basedOn w:val="1"/>
    <w:link w:val="147"/>
    <w:qFormat/>
    <w:uiPriority w:val="99"/>
    <w:pPr>
      <w:numPr>
        <w:ilvl w:val="2"/>
        <w:numId w:val="7"/>
      </w:numPr>
      <w:spacing w:line="360" w:lineRule="auto"/>
      <w:ind w:right="-334"/>
    </w:pPr>
    <w:rPr>
      <w:rFonts w:ascii="宋体" w:hAnsi="宋体"/>
      <w:bCs/>
      <w:sz w:val="24"/>
    </w:rPr>
  </w:style>
  <w:style w:type="character" w:customStyle="1" w:styleId="147">
    <w:name w:val="三级条款 Char Char"/>
    <w:link w:val="146"/>
    <w:qFormat/>
    <w:locked/>
    <w:uiPriority w:val="99"/>
    <w:rPr>
      <w:rFonts w:ascii="宋体" w:hAnsi="宋体"/>
      <w:bCs/>
      <w:sz w:val="24"/>
      <w:szCs w:val="24"/>
    </w:rPr>
  </w:style>
  <w:style w:type="paragraph" w:customStyle="1" w:styleId="148">
    <w:name w:val="样式 条款 + 加粗"/>
    <w:basedOn w:val="146"/>
    <w:link w:val="149"/>
    <w:qFormat/>
    <w:uiPriority w:val="99"/>
    <w:rPr>
      <w:b/>
    </w:rPr>
  </w:style>
  <w:style w:type="character" w:customStyle="1" w:styleId="149">
    <w:name w:val="样式 条款 + 加粗 Char"/>
    <w:link w:val="148"/>
    <w:qFormat/>
    <w:locked/>
    <w:uiPriority w:val="99"/>
    <w:rPr>
      <w:rFonts w:ascii="宋体" w:eastAsia="宋体"/>
      <w:b/>
      <w:kern w:val="2"/>
      <w:sz w:val="24"/>
    </w:rPr>
  </w:style>
  <w:style w:type="paragraph" w:customStyle="1" w:styleId="150">
    <w:name w:val="Char Char Char Char Char Char Char Char Char"/>
    <w:basedOn w:val="18"/>
    <w:qFormat/>
    <w:uiPriority w:val="99"/>
    <w:pPr>
      <w:shd w:val="clear" w:color="auto" w:fill="000080"/>
    </w:pPr>
    <w:rPr>
      <w:rFonts w:ascii="Tahoma" w:hAnsi="Tahoma"/>
      <w:sz w:val="24"/>
      <w:szCs w:val="24"/>
    </w:rPr>
  </w:style>
  <w:style w:type="paragraph" w:customStyle="1" w:styleId="151">
    <w:name w:val="Char Char Char Char Char Char Char"/>
    <w:basedOn w:val="18"/>
    <w:qFormat/>
    <w:uiPriority w:val="99"/>
    <w:pPr>
      <w:shd w:val="clear" w:color="auto" w:fill="000080"/>
    </w:pPr>
    <w:rPr>
      <w:rFonts w:ascii="Tahoma" w:hAnsi="Tahoma"/>
      <w:sz w:val="24"/>
      <w:szCs w:val="24"/>
    </w:rPr>
  </w:style>
  <w:style w:type="paragraph" w:customStyle="1" w:styleId="152">
    <w:name w:val="Char11"/>
    <w:basedOn w:val="1"/>
    <w:qFormat/>
    <w:uiPriority w:val="99"/>
    <w:pPr>
      <w:tabs>
        <w:tab w:val="left" w:pos="432"/>
      </w:tabs>
      <w:ind w:left="432" w:hanging="432"/>
    </w:pPr>
    <w:rPr>
      <w:sz w:val="24"/>
    </w:rPr>
  </w:style>
  <w:style w:type="paragraph" w:customStyle="1" w:styleId="153">
    <w:name w:val="样式 文档正文 + 非加粗 无下划线"/>
    <w:basedOn w:val="1"/>
    <w:link w:val="154"/>
    <w:qFormat/>
    <w:uiPriority w:val="99"/>
    <w:pPr>
      <w:tabs>
        <w:tab w:val="left" w:pos="3735"/>
      </w:tabs>
      <w:adjustRightInd w:val="0"/>
      <w:spacing w:line="360" w:lineRule="auto"/>
      <w:ind w:right="210" w:firstLine="360"/>
    </w:pPr>
    <w:rPr>
      <w:rFonts w:ascii="宋体" w:hAnsi="宋体"/>
      <w:spacing w:val="4"/>
      <w:kern w:val="0"/>
      <w:sz w:val="24"/>
      <w:szCs w:val="20"/>
    </w:rPr>
  </w:style>
  <w:style w:type="character" w:customStyle="1" w:styleId="154">
    <w:name w:val="样式 文档正文 + 非加粗 无下划线 Char"/>
    <w:link w:val="153"/>
    <w:qFormat/>
    <w:locked/>
    <w:uiPriority w:val="99"/>
    <w:rPr>
      <w:rFonts w:ascii="宋体" w:eastAsia="宋体"/>
      <w:spacing w:val="4"/>
      <w:sz w:val="24"/>
    </w:rPr>
  </w:style>
  <w:style w:type="paragraph" w:customStyle="1" w:styleId="155">
    <w:name w:val="Char Char Char Char Char Char"/>
    <w:basedOn w:val="18"/>
    <w:qFormat/>
    <w:uiPriority w:val="99"/>
    <w:pPr>
      <w:shd w:val="clear" w:color="auto" w:fill="000080"/>
    </w:pPr>
    <w:rPr>
      <w:rFonts w:ascii="Tahoma" w:hAnsi="Tahoma"/>
      <w:sz w:val="24"/>
      <w:szCs w:val="24"/>
    </w:rPr>
  </w:style>
  <w:style w:type="paragraph" w:customStyle="1" w:styleId="156">
    <w:name w:val="缺省文本"/>
    <w:basedOn w:val="1"/>
    <w:qFormat/>
    <w:uiPriority w:val="99"/>
    <w:pPr>
      <w:autoSpaceDE w:val="0"/>
      <w:autoSpaceDN w:val="0"/>
      <w:adjustRightInd w:val="0"/>
      <w:spacing w:line="360" w:lineRule="auto"/>
      <w:jc w:val="left"/>
    </w:pPr>
    <w:rPr>
      <w:color w:val="000000"/>
      <w:kern w:val="0"/>
      <w:sz w:val="24"/>
      <w:szCs w:val="20"/>
    </w:rPr>
  </w:style>
  <w:style w:type="paragraph" w:customStyle="1" w:styleId="157">
    <w:name w:val="目录"/>
    <w:basedOn w:val="1"/>
    <w:next w:val="130"/>
    <w:qFormat/>
    <w:uiPriority w:val="99"/>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158">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59">
    <w:name w:val="附录标识"/>
    <w:basedOn w:val="1"/>
    <w:qFormat/>
    <w:uiPriority w:val="99"/>
    <w:pPr>
      <w:widowControl/>
      <w:numPr>
        <w:ilvl w:val="1"/>
        <w:numId w:val="8"/>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rPr>
  </w:style>
  <w:style w:type="paragraph" w:customStyle="1" w:styleId="160">
    <w:name w:val="规范正文"/>
    <w:basedOn w:val="1"/>
    <w:qFormat/>
    <w:uiPriority w:val="99"/>
    <w:pPr>
      <w:widowControl/>
      <w:spacing w:line="360" w:lineRule="auto"/>
      <w:ind w:firstLine="480"/>
      <w:jc w:val="left"/>
    </w:pPr>
    <w:rPr>
      <w:rFonts w:ascii="Calibri" w:hAnsi="Calibri"/>
      <w:kern w:val="0"/>
      <w:sz w:val="24"/>
      <w:szCs w:val="20"/>
      <w:lang w:eastAsia="en-US"/>
    </w:rPr>
  </w:style>
  <w:style w:type="paragraph" w:customStyle="1" w:styleId="161">
    <w:name w:val="CellBody"/>
    <w:basedOn w:val="1"/>
    <w:qFormat/>
    <w:uiPriority w:val="99"/>
    <w:pPr>
      <w:widowControl/>
      <w:spacing w:before="60" w:after="60" w:line="240" w:lineRule="exact"/>
      <w:jc w:val="left"/>
    </w:pPr>
    <w:rPr>
      <w:rFonts w:ascii="Calibri" w:hAnsi="Calibri"/>
      <w:kern w:val="0"/>
      <w:sz w:val="24"/>
      <w:szCs w:val="20"/>
      <w:lang w:eastAsia="en-US"/>
    </w:rPr>
  </w:style>
  <w:style w:type="paragraph" w:customStyle="1" w:styleId="162">
    <w:name w:val="段"/>
    <w:qFormat/>
    <w:uiPriority w:val="99"/>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kern w:val="0"/>
      <w:sz w:val="21"/>
      <w:szCs w:val="22"/>
      <w:lang w:val="en-US" w:eastAsia="zh-CN" w:bidi="ar-SA"/>
    </w:rPr>
  </w:style>
  <w:style w:type="paragraph" w:customStyle="1" w:styleId="163">
    <w:name w:val="l17"/>
    <w:basedOn w:val="1"/>
    <w:qFormat/>
    <w:uiPriority w:val="99"/>
    <w:pPr>
      <w:widowControl/>
      <w:spacing w:before="100" w:beforeAutospacing="1" w:after="100" w:afterAutospacing="1" w:line="336" w:lineRule="auto"/>
      <w:ind w:firstLine="400"/>
      <w:jc w:val="left"/>
    </w:pPr>
    <w:rPr>
      <w:rFonts w:ascii="Arial Unicode MS" w:hAnsi="Arial Unicode MS" w:cs="Arial Unicode MS"/>
      <w:color w:val="333333"/>
      <w:kern w:val="0"/>
      <w:sz w:val="16"/>
      <w:szCs w:val="16"/>
      <w:lang w:eastAsia="en-US"/>
    </w:rPr>
  </w:style>
  <w:style w:type="paragraph" w:customStyle="1" w:styleId="164">
    <w:name w:val="3"/>
    <w:basedOn w:val="1"/>
    <w:next w:val="46"/>
    <w:qFormat/>
    <w:uiPriority w:val="99"/>
    <w:pPr>
      <w:widowControl/>
      <w:autoSpaceDE w:val="0"/>
      <w:autoSpaceDN w:val="0"/>
      <w:spacing w:line="240" w:lineRule="atLeast"/>
      <w:jc w:val="left"/>
    </w:pPr>
    <w:rPr>
      <w:rFonts w:ascii="Calibri" w:hAnsi="Calibri"/>
      <w:color w:val="000000"/>
      <w:kern w:val="0"/>
      <w:sz w:val="18"/>
      <w:szCs w:val="18"/>
      <w:lang w:val="zh-CN" w:eastAsia="en-US"/>
    </w:rPr>
  </w:style>
  <w:style w:type="paragraph" w:customStyle="1" w:styleId="165">
    <w:name w:val="ALT+2点符"/>
    <w:basedOn w:val="1"/>
    <w:qFormat/>
    <w:uiPriority w:val="99"/>
    <w:pPr>
      <w:widowControl/>
      <w:numPr>
        <w:ilvl w:val="0"/>
        <w:numId w:val="9"/>
      </w:numPr>
      <w:tabs>
        <w:tab w:val="left" w:pos="1260"/>
        <w:tab w:val="clear" w:pos="425"/>
      </w:tabs>
      <w:spacing w:line="360" w:lineRule="auto"/>
      <w:ind w:left="1260" w:leftChars="375" w:hanging="360" w:hangingChars="150"/>
      <w:jc w:val="left"/>
    </w:pPr>
    <w:rPr>
      <w:rFonts w:ascii="Calibri" w:hAnsi="Calibri"/>
      <w:kern w:val="0"/>
      <w:sz w:val="24"/>
      <w:szCs w:val="20"/>
      <w:lang w:eastAsia="en-US"/>
    </w:rPr>
  </w:style>
  <w:style w:type="paragraph" w:customStyle="1" w:styleId="166">
    <w:name w:val="Normal1"/>
    <w:basedOn w:val="1"/>
    <w:qFormat/>
    <w:uiPriority w:val="99"/>
    <w:pPr>
      <w:widowControl/>
      <w:overflowPunct w:val="0"/>
      <w:autoSpaceDE w:val="0"/>
      <w:autoSpaceDN w:val="0"/>
      <w:ind w:firstLine="200" w:firstLineChars="200"/>
      <w:jc w:val="left"/>
    </w:pPr>
    <w:rPr>
      <w:rFonts w:ascii="Calibri" w:hAnsi="Calibri"/>
      <w:kern w:val="0"/>
      <w:sz w:val="24"/>
      <w:szCs w:val="20"/>
      <w:lang w:eastAsia="en-US"/>
    </w:rPr>
  </w:style>
  <w:style w:type="paragraph" w:customStyle="1" w:styleId="167">
    <w:name w:val="ALT+1正文"/>
    <w:basedOn w:val="1"/>
    <w:qFormat/>
    <w:uiPriority w:val="99"/>
    <w:pPr>
      <w:widowControl/>
      <w:spacing w:line="360" w:lineRule="auto"/>
      <w:ind w:firstLine="539" w:firstLineChars="200"/>
      <w:jc w:val="left"/>
    </w:pPr>
    <w:rPr>
      <w:rFonts w:ascii="Calibri" w:hAnsi="Calibri"/>
      <w:i/>
      <w:color w:val="000000"/>
      <w:kern w:val="0"/>
      <w:sz w:val="24"/>
      <w:szCs w:val="20"/>
      <w:lang w:eastAsia="en-US"/>
    </w:rPr>
  </w:style>
  <w:style w:type="paragraph" w:customStyle="1" w:styleId="168">
    <w:name w:val="font5"/>
    <w:basedOn w:val="1"/>
    <w:qFormat/>
    <w:uiPriority w:val="99"/>
    <w:pPr>
      <w:widowControl/>
      <w:spacing w:before="100" w:beforeAutospacing="1" w:after="100" w:afterAutospacing="1"/>
      <w:jc w:val="left"/>
    </w:pPr>
    <w:rPr>
      <w:rFonts w:ascii="宋体" w:hAnsi="宋体" w:cs="Arial Unicode MS"/>
      <w:kern w:val="0"/>
      <w:sz w:val="18"/>
      <w:szCs w:val="18"/>
      <w:lang w:eastAsia="en-US"/>
    </w:rPr>
  </w:style>
  <w:style w:type="paragraph" w:customStyle="1" w:styleId="169">
    <w:name w:val="font6"/>
    <w:basedOn w:val="1"/>
    <w:qFormat/>
    <w:uiPriority w:val="99"/>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0">
    <w:name w:val="font7"/>
    <w:basedOn w:val="1"/>
    <w:qFormat/>
    <w:uiPriority w:val="99"/>
    <w:pPr>
      <w:widowControl/>
      <w:spacing w:before="100" w:beforeAutospacing="1" w:after="100" w:afterAutospacing="1"/>
      <w:jc w:val="left"/>
    </w:pPr>
    <w:rPr>
      <w:rFonts w:ascii="宋体" w:hAnsi="宋体" w:cs="Arial Unicode MS"/>
      <w:b/>
      <w:bCs/>
      <w:color w:val="000000"/>
      <w:kern w:val="0"/>
      <w:sz w:val="18"/>
      <w:szCs w:val="18"/>
      <w:lang w:eastAsia="en-US"/>
    </w:rPr>
  </w:style>
  <w:style w:type="paragraph" w:customStyle="1" w:styleId="171">
    <w:name w:val="font8"/>
    <w:basedOn w:val="1"/>
    <w:qFormat/>
    <w:uiPriority w:val="99"/>
    <w:pPr>
      <w:widowControl/>
      <w:spacing w:before="100" w:beforeAutospacing="1" w:after="100" w:afterAutospacing="1"/>
      <w:jc w:val="left"/>
    </w:pPr>
    <w:rPr>
      <w:rFonts w:ascii="Calibri" w:hAnsi="Calibri"/>
      <w:b/>
      <w:bCs/>
      <w:color w:val="000000"/>
      <w:kern w:val="0"/>
      <w:sz w:val="18"/>
      <w:szCs w:val="18"/>
      <w:lang w:eastAsia="en-US"/>
    </w:rPr>
  </w:style>
  <w:style w:type="paragraph" w:customStyle="1" w:styleId="17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lang w:eastAsia="en-US"/>
    </w:rPr>
  </w:style>
  <w:style w:type="paragraph" w:customStyle="1" w:styleId="17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2"/>
      <w:szCs w:val="22"/>
      <w:lang w:eastAsia="en-US"/>
    </w:rPr>
  </w:style>
  <w:style w:type="paragraph" w:customStyle="1" w:styleId="17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4"/>
      <w:lang w:eastAsia="en-US"/>
    </w:rPr>
  </w:style>
  <w:style w:type="paragraph" w:customStyle="1" w:styleId="1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kern w:val="0"/>
      <w:sz w:val="22"/>
      <w:szCs w:val="22"/>
      <w:lang w:eastAsia="en-US"/>
    </w:rPr>
  </w:style>
  <w:style w:type="paragraph" w:customStyle="1" w:styleId="17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cs="Arial Unicode MS"/>
      <w:b/>
      <w:bCs/>
      <w:kern w:val="0"/>
      <w:sz w:val="24"/>
      <w:lang w:eastAsia="en-US"/>
    </w:rPr>
  </w:style>
  <w:style w:type="paragraph" w:customStyle="1" w:styleId="17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cs="Arial Unicode MS"/>
      <w:b/>
      <w:bCs/>
      <w:kern w:val="0"/>
      <w:sz w:val="22"/>
      <w:szCs w:val="22"/>
      <w:lang w:eastAsia="en-US"/>
    </w:rPr>
  </w:style>
  <w:style w:type="paragraph" w:customStyle="1" w:styleId="178">
    <w:name w:val="4"/>
    <w:basedOn w:val="1"/>
    <w:qFormat/>
    <w:uiPriority w:val="99"/>
    <w:pPr>
      <w:widowControl/>
      <w:numPr>
        <w:ilvl w:val="0"/>
        <w:numId w:val="10"/>
      </w:numPr>
      <w:jc w:val="left"/>
    </w:pPr>
    <w:rPr>
      <w:rFonts w:ascii="Tahoma" w:hAnsi="Tahoma"/>
      <w:kern w:val="0"/>
      <w:sz w:val="24"/>
      <w:szCs w:val="20"/>
      <w:lang w:eastAsia="en-US"/>
    </w:rPr>
  </w:style>
  <w:style w:type="paragraph" w:customStyle="1" w:styleId="179">
    <w:name w:val="标准正文格式 行距: 最小值 12 磅1 + 首行缩进:  2 字符"/>
    <w:basedOn w:val="1"/>
    <w:qFormat/>
    <w:uiPriority w:val="99"/>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rPr>
  </w:style>
  <w:style w:type="paragraph" w:customStyle="1" w:styleId="180">
    <w:name w:val="正文wh Char Char Char Char"/>
    <w:basedOn w:val="1"/>
    <w:qFormat/>
    <w:uiPriority w:val="99"/>
    <w:pPr>
      <w:widowControl/>
      <w:spacing w:line="360" w:lineRule="auto"/>
      <w:ind w:firstLine="200" w:firstLineChars="200"/>
      <w:jc w:val="left"/>
    </w:pPr>
    <w:rPr>
      <w:rFonts w:ascii="Tahoma" w:hAnsi="Tahoma"/>
      <w:b/>
      <w:kern w:val="0"/>
      <w:sz w:val="24"/>
      <w:lang w:eastAsia="en-US"/>
    </w:rPr>
  </w:style>
  <w:style w:type="character" w:customStyle="1" w:styleId="181">
    <w:name w:val="副标题 Char1"/>
    <w:basedOn w:val="59"/>
    <w:qFormat/>
    <w:uiPriority w:val="99"/>
    <w:rPr>
      <w:rFonts w:ascii="Cambria" w:hAnsi="Cambria" w:cs="Times New Roman"/>
      <w:b/>
      <w:bCs/>
      <w:kern w:val="28"/>
      <w:sz w:val="32"/>
      <w:szCs w:val="32"/>
    </w:rPr>
  </w:style>
  <w:style w:type="paragraph" w:customStyle="1" w:styleId="182">
    <w:name w:val="No Spacing1"/>
    <w:basedOn w:val="1"/>
    <w:qFormat/>
    <w:uiPriority w:val="99"/>
    <w:pPr>
      <w:widowControl/>
      <w:jc w:val="left"/>
    </w:pPr>
    <w:rPr>
      <w:rFonts w:ascii="Calibri" w:hAnsi="Calibri"/>
      <w:kern w:val="0"/>
      <w:sz w:val="24"/>
      <w:szCs w:val="32"/>
      <w:lang w:eastAsia="en-US"/>
    </w:rPr>
  </w:style>
  <w:style w:type="paragraph" w:customStyle="1" w:styleId="183">
    <w:name w:val="Quote1"/>
    <w:basedOn w:val="1"/>
    <w:next w:val="1"/>
    <w:link w:val="184"/>
    <w:qFormat/>
    <w:uiPriority w:val="99"/>
    <w:pPr>
      <w:widowControl/>
      <w:jc w:val="left"/>
    </w:pPr>
    <w:rPr>
      <w:rFonts w:ascii="Calibri" w:hAnsi="Calibri"/>
      <w:i/>
      <w:kern w:val="0"/>
      <w:sz w:val="24"/>
      <w:lang w:eastAsia="en-US"/>
    </w:rPr>
  </w:style>
  <w:style w:type="character" w:customStyle="1" w:styleId="184">
    <w:name w:val="引用 字符"/>
    <w:basedOn w:val="59"/>
    <w:link w:val="183"/>
    <w:qFormat/>
    <w:locked/>
    <w:uiPriority w:val="99"/>
    <w:rPr>
      <w:rFonts w:ascii="Calibri" w:hAnsi="Calibri" w:cs="Times New Roman"/>
      <w:i/>
      <w:sz w:val="24"/>
      <w:szCs w:val="24"/>
      <w:lang w:eastAsia="en-US"/>
    </w:rPr>
  </w:style>
  <w:style w:type="paragraph" w:customStyle="1" w:styleId="185">
    <w:name w:val="Intense Quote1"/>
    <w:basedOn w:val="1"/>
    <w:next w:val="1"/>
    <w:link w:val="186"/>
    <w:qFormat/>
    <w:uiPriority w:val="99"/>
    <w:pPr>
      <w:widowControl/>
      <w:ind w:left="720" w:right="720"/>
      <w:jc w:val="left"/>
    </w:pPr>
    <w:rPr>
      <w:rFonts w:ascii="Calibri" w:hAnsi="Calibri"/>
      <w:b/>
      <w:i/>
      <w:kern w:val="0"/>
      <w:sz w:val="24"/>
      <w:szCs w:val="22"/>
      <w:lang w:eastAsia="en-US"/>
    </w:rPr>
  </w:style>
  <w:style w:type="character" w:customStyle="1" w:styleId="186">
    <w:name w:val="明显引用 字符"/>
    <w:basedOn w:val="59"/>
    <w:link w:val="185"/>
    <w:qFormat/>
    <w:locked/>
    <w:uiPriority w:val="99"/>
    <w:rPr>
      <w:rFonts w:ascii="Calibri" w:hAnsi="Calibri" w:cs="Times New Roman"/>
      <w:b/>
      <w:i/>
      <w:sz w:val="22"/>
      <w:szCs w:val="22"/>
      <w:lang w:eastAsia="en-US"/>
    </w:rPr>
  </w:style>
  <w:style w:type="character" w:customStyle="1" w:styleId="187">
    <w:name w:val="Subtle Emphasis1"/>
    <w:qFormat/>
    <w:uiPriority w:val="99"/>
    <w:rPr>
      <w:i/>
      <w:color w:val="5A5A5A"/>
    </w:rPr>
  </w:style>
  <w:style w:type="character" w:customStyle="1" w:styleId="188">
    <w:name w:val="Intense Emphasis1"/>
    <w:qFormat/>
    <w:uiPriority w:val="99"/>
    <w:rPr>
      <w:rFonts w:ascii="Tahoma" w:hAnsi="Tahoma" w:eastAsia="宋体"/>
      <w:b/>
      <w:i/>
      <w:kern w:val="2"/>
      <w:sz w:val="24"/>
      <w:u w:val="single"/>
      <w:lang w:val="en-US" w:eastAsia="zh-CN"/>
    </w:rPr>
  </w:style>
  <w:style w:type="character" w:customStyle="1" w:styleId="189">
    <w:name w:val="Subtle Reference1"/>
    <w:qFormat/>
    <w:uiPriority w:val="99"/>
    <w:rPr>
      <w:rFonts w:ascii="Tahoma" w:hAnsi="Tahoma" w:eastAsia="宋体"/>
      <w:kern w:val="2"/>
      <w:sz w:val="24"/>
      <w:u w:val="single"/>
      <w:lang w:val="en-US" w:eastAsia="zh-CN"/>
    </w:rPr>
  </w:style>
  <w:style w:type="character" w:customStyle="1" w:styleId="190">
    <w:name w:val="Intense Reference1"/>
    <w:qFormat/>
    <w:uiPriority w:val="99"/>
    <w:rPr>
      <w:rFonts w:ascii="Tahoma" w:hAnsi="Tahoma" w:eastAsia="宋体"/>
      <w:b/>
      <w:kern w:val="2"/>
      <w:sz w:val="24"/>
      <w:u w:val="single"/>
      <w:lang w:val="en-US" w:eastAsia="zh-CN"/>
    </w:rPr>
  </w:style>
  <w:style w:type="character" w:customStyle="1" w:styleId="191">
    <w:name w:val="Book Title1"/>
    <w:qFormat/>
    <w:uiPriority w:val="99"/>
    <w:rPr>
      <w:rFonts w:ascii="Cambria" w:hAnsi="Cambria" w:eastAsia="宋体"/>
      <w:b/>
      <w:i/>
      <w:kern w:val="2"/>
      <w:sz w:val="24"/>
      <w:lang w:val="en-US" w:eastAsia="zh-CN"/>
    </w:rPr>
  </w:style>
  <w:style w:type="paragraph" w:customStyle="1" w:styleId="192">
    <w:name w:val="纯文本1"/>
    <w:basedOn w:val="1"/>
    <w:qFormat/>
    <w:uiPriority w:val="99"/>
    <w:pPr>
      <w:adjustRightInd w:val="0"/>
      <w:textAlignment w:val="baseline"/>
    </w:pPr>
    <w:rPr>
      <w:rFonts w:ascii="宋体" w:hAnsi="Courier New"/>
      <w:szCs w:val="20"/>
    </w:rPr>
  </w:style>
  <w:style w:type="paragraph" w:customStyle="1" w:styleId="193">
    <w:name w:val="默认段落字体 Para Char Char Char Char Char Char Char Char Char Char Char Char1 Char"/>
    <w:basedOn w:val="18"/>
    <w:qFormat/>
    <w:uiPriority w:val="99"/>
    <w:pPr>
      <w:adjustRightInd w:val="0"/>
      <w:spacing w:line="436" w:lineRule="exact"/>
      <w:ind w:left="357"/>
      <w:jc w:val="left"/>
      <w:outlineLvl w:val="3"/>
    </w:pPr>
    <w:rPr>
      <w:rFonts w:ascii="Tahoma" w:hAnsi="Tahoma"/>
      <w:b/>
      <w:sz w:val="24"/>
      <w:szCs w:val="24"/>
    </w:rPr>
  </w:style>
  <w:style w:type="paragraph" w:customStyle="1" w:styleId="194">
    <w:name w:val="正文表标题"/>
    <w:next w:val="162"/>
    <w:qFormat/>
    <w:uiPriority w:val="99"/>
    <w:pPr>
      <w:tabs>
        <w:tab w:val="left" w:pos="0"/>
      </w:tabs>
      <w:ind w:left="840" w:hanging="840"/>
      <w:jc w:val="center"/>
    </w:pPr>
    <w:rPr>
      <w:rFonts w:ascii="黑体" w:hAnsi="Times New Roman" w:eastAsia="黑体" w:cs="Times New Roman"/>
      <w:kern w:val="0"/>
      <w:sz w:val="21"/>
      <w:szCs w:val="20"/>
      <w:lang w:val="en-US" w:eastAsia="zh-CN" w:bidi="ar-SA"/>
    </w:rPr>
  </w:style>
  <w:style w:type="character" w:customStyle="1" w:styleId="195">
    <w:name w:val="apple-converted-space"/>
    <w:qFormat/>
    <w:uiPriority w:val="99"/>
  </w:style>
  <w:style w:type="paragraph" w:customStyle="1" w:styleId="196">
    <w:name w:val="字母编号列项（一级）"/>
    <w:qFormat/>
    <w:uiPriority w:val="99"/>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97">
    <w:name w:val="注："/>
    <w:next w:val="162"/>
    <w:qFormat/>
    <w:uiPriority w:val="99"/>
    <w:pPr>
      <w:widowControl w:val="0"/>
      <w:numPr>
        <w:ilvl w:val="0"/>
        <w:numId w:val="11"/>
      </w:numPr>
      <w:tabs>
        <w:tab w:val="clear" w:pos="1140"/>
      </w:tabs>
      <w:autoSpaceDE w:val="0"/>
      <w:autoSpaceDN w:val="0"/>
      <w:jc w:val="both"/>
    </w:pPr>
    <w:rPr>
      <w:rFonts w:ascii="宋体" w:hAnsi="Times New Roman" w:eastAsia="宋体" w:cs="Times New Roman"/>
      <w:kern w:val="0"/>
      <w:sz w:val="18"/>
      <w:szCs w:val="20"/>
      <w:lang w:val="en-US" w:eastAsia="zh-CN" w:bidi="ar-SA"/>
    </w:rPr>
  </w:style>
  <w:style w:type="paragraph" w:customStyle="1" w:styleId="19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99">
    <w:name w:val="前言、引言标题"/>
    <w:next w:val="1"/>
    <w:qFormat/>
    <w:uiPriority w:val="99"/>
    <w:pPr>
      <w:numPr>
        <w:ilvl w:val="0"/>
        <w:numId w:val="1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0">
    <w:name w:val="章标题"/>
    <w:next w:val="162"/>
    <w:qFormat/>
    <w:uiPriority w:val="99"/>
    <w:pPr>
      <w:numPr>
        <w:ilvl w:val="1"/>
        <w:numId w:val="1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01">
    <w:name w:val="一级条标题"/>
    <w:basedOn w:val="200"/>
    <w:next w:val="162"/>
    <w:qFormat/>
    <w:uiPriority w:val="99"/>
    <w:pPr>
      <w:numPr>
        <w:ilvl w:val="2"/>
      </w:numPr>
      <w:tabs>
        <w:tab w:val="left" w:pos="425"/>
      </w:tabs>
      <w:spacing w:beforeLines="0" w:afterLines="0"/>
      <w:ind w:left="425" w:hanging="425"/>
      <w:outlineLvl w:val="2"/>
    </w:pPr>
  </w:style>
  <w:style w:type="paragraph" w:customStyle="1" w:styleId="202">
    <w:name w:val="二级条标题"/>
    <w:basedOn w:val="201"/>
    <w:next w:val="162"/>
    <w:qFormat/>
    <w:uiPriority w:val="99"/>
    <w:pPr>
      <w:numPr>
        <w:ilvl w:val="3"/>
      </w:numPr>
      <w:outlineLvl w:val="3"/>
    </w:pPr>
  </w:style>
  <w:style w:type="paragraph" w:customStyle="1" w:styleId="203">
    <w:name w:val="三级条标题"/>
    <w:basedOn w:val="202"/>
    <w:next w:val="162"/>
    <w:qFormat/>
    <w:uiPriority w:val="99"/>
    <w:pPr>
      <w:numPr>
        <w:ilvl w:val="4"/>
      </w:numPr>
      <w:outlineLvl w:val="4"/>
    </w:pPr>
  </w:style>
  <w:style w:type="paragraph" w:customStyle="1" w:styleId="204">
    <w:name w:val="四级条标题"/>
    <w:basedOn w:val="203"/>
    <w:next w:val="162"/>
    <w:qFormat/>
    <w:uiPriority w:val="99"/>
    <w:pPr>
      <w:numPr>
        <w:ilvl w:val="5"/>
      </w:numPr>
      <w:outlineLvl w:val="5"/>
    </w:pPr>
  </w:style>
  <w:style w:type="paragraph" w:customStyle="1" w:styleId="205">
    <w:name w:val="五级条标题"/>
    <w:basedOn w:val="204"/>
    <w:next w:val="162"/>
    <w:qFormat/>
    <w:uiPriority w:val="99"/>
    <w:pPr>
      <w:numPr>
        <w:ilvl w:val="6"/>
      </w:numPr>
      <w:outlineLvl w:val="6"/>
    </w:pPr>
  </w:style>
  <w:style w:type="character" w:customStyle="1" w:styleId="206">
    <w:name w:val="f141"/>
    <w:qFormat/>
    <w:uiPriority w:val="99"/>
    <w:rPr>
      <w:sz w:val="21"/>
    </w:rPr>
  </w:style>
  <w:style w:type="character" w:customStyle="1" w:styleId="207">
    <w:name w:val="unnamed11"/>
    <w:qFormat/>
    <w:uiPriority w:val="99"/>
  </w:style>
  <w:style w:type="paragraph" w:customStyle="1" w:styleId="208">
    <w:name w:val="报告正文"/>
    <w:basedOn w:val="1"/>
    <w:link w:val="209"/>
    <w:qFormat/>
    <w:uiPriority w:val="99"/>
    <w:pPr>
      <w:widowControl/>
      <w:overflowPunct w:val="0"/>
      <w:autoSpaceDE w:val="0"/>
      <w:autoSpaceDN w:val="0"/>
      <w:adjustRightInd w:val="0"/>
      <w:spacing w:after="80" w:line="360" w:lineRule="auto"/>
      <w:ind w:left="570" w:firstLine="200" w:firstLineChars="200"/>
      <w:textAlignment w:val="baseline"/>
    </w:pPr>
    <w:rPr>
      <w:kern w:val="0"/>
      <w:sz w:val="24"/>
      <w:szCs w:val="20"/>
    </w:rPr>
  </w:style>
  <w:style w:type="character" w:customStyle="1" w:styleId="209">
    <w:name w:val="报告正文 Char"/>
    <w:link w:val="208"/>
    <w:qFormat/>
    <w:locked/>
    <w:uiPriority w:val="99"/>
    <w:rPr>
      <w:sz w:val="24"/>
    </w:rPr>
  </w:style>
  <w:style w:type="paragraph" w:customStyle="1" w:styleId="210">
    <w:name w:val="表格文本"/>
    <w:basedOn w:val="1"/>
    <w:qFormat/>
    <w:uiPriority w:val="99"/>
    <w:pPr>
      <w:tabs>
        <w:tab w:val="decimal" w:pos="0"/>
      </w:tabs>
      <w:autoSpaceDE w:val="0"/>
      <w:autoSpaceDN w:val="0"/>
      <w:adjustRightInd w:val="0"/>
      <w:jc w:val="left"/>
    </w:pPr>
    <w:rPr>
      <w:kern w:val="0"/>
      <w:szCs w:val="21"/>
    </w:rPr>
  </w:style>
  <w:style w:type="paragraph" w:customStyle="1" w:styleId="211">
    <w:name w:val="样式1"/>
    <w:basedOn w:val="1"/>
    <w:link w:val="212"/>
    <w:qFormat/>
    <w:uiPriority w:val="99"/>
    <w:pPr>
      <w:spacing w:line="360" w:lineRule="auto"/>
      <w:ind w:firstLine="480" w:firstLineChars="200"/>
      <w:jc w:val="left"/>
    </w:pPr>
    <w:rPr>
      <w:rFonts w:ascii="宋体" w:hAnsi="宋体"/>
      <w:sz w:val="24"/>
    </w:rPr>
  </w:style>
  <w:style w:type="character" w:customStyle="1" w:styleId="212">
    <w:name w:val="样式1 Char"/>
    <w:link w:val="211"/>
    <w:qFormat/>
    <w:locked/>
    <w:uiPriority w:val="99"/>
    <w:rPr>
      <w:rFonts w:ascii="宋体" w:eastAsia="宋体"/>
      <w:kern w:val="2"/>
      <w:sz w:val="24"/>
    </w:rPr>
  </w:style>
  <w:style w:type="character" w:customStyle="1" w:styleId="213">
    <w:name w:val="lemmatitleh1"/>
    <w:basedOn w:val="59"/>
    <w:qFormat/>
    <w:uiPriority w:val="99"/>
    <w:rPr>
      <w:rFonts w:cs="Times New Roman"/>
    </w:rPr>
  </w:style>
  <w:style w:type="character" w:customStyle="1" w:styleId="214">
    <w:name w:val="blue1"/>
    <w:qFormat/>
    <w:uiPriority w:val="99"/>
    <w:rPr>
      <w:color w:val="72544C"/>
    </w:rPr>
  </w:style>
  <w:style w:type="character" w:customStyle="1" w:styleId="215">
    <w:name w:val="Char Char8"/>
    <w:qFormat/>
    <w:uiPriority w:val="99"/>
    <w:rPr>
      <w:rFonts w:ascii="Arial" w:hAnsi="Arial" w:eastAsia="黑体"/>
      <w:b/>
      <w:kern w:val="2"/>
      <w:sz w:val="32"/>
      <w:lang w:val="en-US" w:eastAsia="zh-CN"/>
    </w:rPr>
  </w:style>
  <w:style w:type="character" w:customStyle="1" w:styleId="216">
    <w:name w:val="font161"/>
    <w:qFormat/>
    <w:uiPriority w:val="99"/>
    <w:rPr>
      <w:b/>
      <w:sz w:val="32"/>
    </w:rPr>
  </w:style>
  <w:style w:type="character" w:customStyle="1" w:styleId="217">
    <w:name w:val="Char Char7"/>
    <w:qFormat/>
    <w:uiPriority w:val="99"/>
    <w:rPr>
      <w:rFonts w:ascii="Arial" w:hAnsi="Arial" w:eastAsia="黑体"/>
      <w:b/>
      <w:kern w:val="2"/>
      <w:sz w:val="32"/>
      <w:lang w:val="en-US" w:eastAsia="zh-CN"/>
    </w:rPr>
  </w:style>
  <w:style w:type="paragraph" w:customStyle="1" w:styleId="218">
    <w:name w:val="样式4"/>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20">
    <w:name w:val="样式 标题 1 + 黑体 三号 非加粗 居中 段前: 6 磅 段后: 6 磅 行距: 固定值 20 磅"/>
    <w:basedOn w:val="4"/>
    <w:qFormat/>
    <w:uiPriority w:val="99"/>
    <w:pPr>
      <w:spacing w:before="120" w:after="120" w:line="400" w:lineRule="exact"/>
    </w:pPr>
    <w:rPr>
      <w:rFonts w:ascii="黑体" w:hAnsi="黑体" w:cs="宋体"/>
      <w:bCs w:val="0"/>
      <w:sz w:val="32"/>
      <w:szCs w:val="20"/>
    </w:rPr>
  </w:style>
  <w:style w:type="paragraph" w:customStyle="1" w:styleId="221">
    <w:name w:val="样式2"/>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2">
    <w:name w:val="样式 标题 3 + (中文) 黑体 小四 非加粗 段前: 7.8 磅 段后: 0 磅 行距: 固定值 20 磅"/>
    <w:basedOn w:val="6"/>
    <w:qFormat/>
    <w:uiPriority w:val="99"/>
    <w:pPr>
      <w:autoSpaceDE/>
      <w:autoSpaceDN/>
      <w:adjustRightInd/>
      <w:spacing w:before="0" w:after="0" w:line="400" w:lineRule="exact"/>
    </w:pPr>
    <w:rPr>
      <w:rFonts w:ascii="Times New Roman" w:cs="宋体"/>
      <w:kern w:val="2"/>
      <w:sz w:val="24"/>
    </w:rPr>
  </w:style>
  <w:style w:type="paragraph" w:customStyle="1" w:styleId="223">
    <w:name w:val="样式3"/>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4">
    <w:name w:val="样式 标题 2 + Times New Roman 四号 非加粗 段前: 5 磅 段后: 0 磅 行距: 固定值 20..."/>
    <w:basedOn w:val="5"/>
    <w:qFormat/>
    <w:uiPriority w:val="99"/>
    <w:pPr>
      <w:spacing w:before="100" w:after="0" w:line="400" w:lineRule="exact"/>
    </w:pPr>
    <w:rPr>
      <w:rFonts w:ascii="Times New Roman" w:hAnsi="Times New Roman" w:cs="宋体"/>
      <w:bCs w:val="0"/>
      <w:szCs w:val="20"/>
    </w:rPr>
  </w:style>
  <w:style w:type="paragraph" w:customStyle="1" w:styleId="225">
    <w:name w:val="表格文字"/>
    <w:basedOn w:val="1"/>
    <w:qFormat/>
    <w:uiPriority w:val="99"/>
    <w:pPr>
      <w:adjustRightInd w:val="0"/>
      <w:spacing w:line="420" w:lineRule="atLeast"/>
      <w:jc w:val="left"/>
      <w:textAlignment w:val="baseline"/>
    </w:pPr>
    <w:rPr>
      <w:kern w:val="0"/>
      <w:szCs w:val="20"/>
    </w:rPr>
  </w:style>
  <w:style w:type="paragraph" w:customStyle="1" w:styleId="226">
    <w:name w:val="封面上部"/>
    <w:basedOn w:val="1"/>
    <w:qFormat/>
    <w:uiPriority w:val="99"/>
    <w:pPr>
      <w:adjustRightInd w:val="0"/>
      <w:spacing w:line="312" w:lineRule="atLeast"/>
      <w:jc w:val="center"/>
      <w:textAlignment w:val="baseline"/>
    </w:pPr>
    <w:rPr>
      <w:rFonts w:ascii="黑体" w:eastAsia="黑体"/>
      <w:kern w:val="0"/>
      <w:sz w:val="32"/>
      <w:szCs w:val="20"/>
    </w:rPr>
  </w:style>
  <w:style w:type="character" w:customStyle="1" w:styleId="227">
    <w:name w:val="正文文本缩进 Char1"/>
    <w:qFormat/>
    <w:locked/>
    <w:uiPriority w:val="99"/>
    <w:rPr>
      <w:rFonts w:ascii="楷体_GB2312" w:eastAsia="楷体_GB2312"/>
      <w:sz w:val="28"/>
    </w:rPr>
  </w:style>
  <w:style w:type="paragraph" w:customStyle="1" w:styleId="228">
    <w:name w:val="TOC 标题2"/>
    <w:basedOn w:val="4"/>
    <w:next w:val="1"/>
    <w:qFormat/>
    <w:uiPriority w:val="99"/>
    <w:pPr>
      <w:widowControl/>
      <w:spacing w:before="480" w:after="0" w:line="276" w:lineRule="auto"/>
      <w:jc w:val="left"/>
      <w:outlineLvl w:val="9"/>
    </w:pPr>
    <w:rPr>
      <w:rFonts w:ascii="Cambria" w:hAnsi="Cambria" w:eastAsia="宋体"/>
      <w:b/>
      <w:color w:val="365F91"/>
      <w:kern w:val="0"/>
      <w:sz w:val="28"/>
      <w:szCs w:val="28"/>
    </w:rPr>
  </w:style>
  <w:style w:type="paragraph" w:customStyle="1" w:styleId="229">
    <w:name w:val="列出段落2"/>
    <w:basedOn w:val="1"/>
    <w:qFormat/>
    <w:uiPriority w:val="99"/>
    <w:pPr>
      <w:ind w:firstLine="420" w:firstLineChars="200"/>
    </w:pPr>
    <w:rPr>
      <w:szCs w:val="20"/>
    </w:rPr>
  </w:style>
  <w:style w:type="character" w:customStyle="1" w:styleId="230">
    <w:name w:val="正文文本 Char1"/>
    <w:qFormat/>
    <w:uiPriority w:val="99"/>
    <w:rPr>
      <w:kern w:val="2"/>
      <w:sz w:val="28"/>
    </w:rPr>
  </w:style>
  <w:style w:type="paragraph" w:customStyle="1" w:styleId="231">
    <w:name w:val="标准"/>
    <w:basedOn w:val="1"/>
    <w:qFormat/>
    <w:uiPriority w:val="99"/>
    <w:pPr>
      <w:adjustRightInd w:val="0"/>
      <w:spacing w:line="360" w:lineRule="auto"/>
      <w:jc w:val="center"/>
      <w:textAlignment w:val="baseline"/>
    </w:pPr>
    <w:rPr>
      <w:kern w:val="0"/>
      <w:szCs w:val="20"/>
    </w:rPr>
  </w:style>
  <w:style w:type="paragraph" w:customStyle="1" w:styleId="232">
    <w:name w:val="xl30"/>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3">
    <w:name w:val="xl31"/>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4">
    <w:name w:val="xl32"/>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5">
    <w:name w:val="xl33"/>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6">
    <w:name w:val="xl34"/>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7">
    <w:name w:val="xl35"/>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8">
    <w:name w:val="xl36"/>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9">
    <w:name w:val="xl37"/>
    <w:basedOn w:val="1"/>
    <w:qFormat/>
    <w:uiPriority w:val="99"/>
    <w:pPr>
      <w:widowControl/>
      <w:spacing w:before="100" w:beforeAutospacing="1" w:after="100" w:afterAutospacing="1"/>
      <w:jc w:val="right"/>
    </w:pPr>
    <w:rPr>
      <w:rFonts w:ascii="仿宋_GB2312" w:hAnsi="宋体" w:eastAsia="仿宋_GB2312"/>
      <w:kern w:val="0"/>
      <w:sz w:val="24"/>
    </w:rPr>
  </w:style>
  <w:style w:type="paragraph" w:customStyle="1" w:styleId="240">
    <w:name w:val="xl38"/>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41">
    <w:name w:val="xl39"/>
    <w:basedOn w:val="1"/>
    <w:qFormat/>
    <w:uiPriority w:val="99"/>
    <w:pPr>
      <w:widowControl/>
      <w:spacing w:before="100" w:beforeAutospacing="1" w:after="100" w:afterAutospacing="1"/>
      <w:jc w:val="center"/>
    </w:pPr>
    <w:rPr>
      <w:rFonts w:ascii="仿宋_GB2312" w:hAnsi="宋体" w:eastAsia="仿宋_GB2312"/>
      <w:b/>
      <w:bCs/>
      <w:kern w:val="0"/>
      <w:sz w:val="24"/>
    </w:rPr>
  </w:style>
  <w:style w:type="paragraph" w:customStyle="1" w:styleId="242">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3">
    <w:name w:val="xl41"/>
    <w:basedOn w:val="1"/>
    <w:qFormat/>
    <w:uiPriority w:val="99"/>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5">
    <w:name w:val="xl43"/>
    <w:basedOn w:val="1"/>
    <w:qFormat/>
    <w:uiPriority w:val="99"/>
    <w:pPr>
      <w:widowControl/>
      <w:spacing w:before="100" w:beforeAutospacing="1" w:after="100" w:afterAutospacing="1"/>
      <w:jc w:val="center"/>
    </w:pPr>
    <w:rPr>
      <w:rFonts w:ascii="仿宋_GB2312" w:hAnsi="宋体" w:eastAsia="仿宋_GB2312"/>
      <w:b/>
      <w:bCs/>
      <w:kern w:val="0"/>
      <w:sz w:val="32"/>
      <w:szCs w:val="32"/>
    </w:rPr>
  </w:style>
  <w:style w:type="paragraph" w:customStyle="1" w:styleId="246">
    <w:name w:val="正文小4号字"/>
    <w:basedOn w:val="1"/>
    <w:qFormat/>
    <w:uiPriority w:val="99"/>
    <w:pPr>
      <w:spacing w:line="400" w:lineRule="exact"/>
      <w:ind w:firstLine="500" w:firstLineChars="200"/>
    </w:pPr>
    <w:rPr>
      <w:spacing w:val="5"/>
      <w:sz w:val="24"/>
      <w:szCs w:val="20"/>
    </w:rPr>
  </w:style>
  <w:style w:type="paragraph" w:customStyle="1" w:styleId="247">
    <w:name w:val="Table Text"/>
    <w:qFormat/>
    <w:uiPriority w:val="99"/>
    <w:pPr>
      <w:snapToGrid w:val="0"/>
      <w:spacing w:before="80" w:after="80"/>
    </w:pPr>
    <w:rPr>
      <w:rFonts w:ascii="Arial" w:hAnsi="Arial" w:eastAsia="宋体" w:cs="Times New Roman"/>
      <w:kern w:val="0"/>
      <w:sz w:val="18"/>
      <w:szCs w:val="20"/>
      <w:lang w:val="en-US" w:eastAsia="zh-CN" w:bidi="ar-SA"/>
    </w:rPr>
  </w:style>
  <w:style w:type="paragraph" w:customStyle="1" w:styleId="2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49">
    <w:name w:val="正文首行缩进两字符"/>
    <w:basedOn w:val="1"/>
    <w:qFormat/>
    <w:uiPriority w:val="99"/>
    <w:pPr>
      <w:spacing w:line="360" w:lineRule="auto"/>
      <w:ind w:firstLine="200" w:firstLineChars="200"/>
    </w:pPr>
  </w:style>
  <w:style w:type="character" w:customStyle="1" w:styleId="250">
    <w:name w:val="Normal (Web) Char"/>
    <w:link w:val="49"/>
    <w:qFormat/>
    <w:locked/>
    <w:uiPriority w:val="99"/>
    <w:rPr>
      <w:rFonts w:ascii="宋体" w:eastAsia="宋体"/>
      <w:sz w:val="24"/>
    </w:rPr>
  </w:style>
  <w:style w:type="character" w:customStyle="1" w:styleId="251">
    <w:name w:val="纯文本 Char1"/>
    <w:semiHidden/>
    <w:qFormat/>
    <w:uiPriority w:val="99"/>
    <w:rPr>
      <w:rFonts w:ascii="宋体" w:hAnsi="Courier New"/>
      <w:kern w:val="1"/>
      <w:sz w:val="21"/>
      <w:lang w:eastAsia="ar-SA" w:bidi="ar-SA"/>
    </w:rPr>
  </w:style>
  <w:style w:type="paragraph" w:customStyle="1" w:styleId="252">
    <w:name w:val="myp4"/>
    <w:basedOn w:val="1"/>
    <w:qFormat/>
    <w:uiPriority w:val="99"/>
    <w:pPr>
      <w:widowControl/>
      <w:spacing w:before="100" w:beforeAutospacing="1" w:after="100" w:afterAutospacing="1"/>
      <w:jc w:val="center"/>
    </w:pPr>
    <w:rPr>
      <w:rFonts w:ascii="宋体" w:hAnsi="宋体" w:cs="宋体"/>
      <w:b/>
      <w:bCs/>
      <w:kern w:val="0"/>
      <w:sz w:val="40"/>
      <w:szCs w:val="40"/>
    </w:rPr>
  </w:style>
  <w:style w:type="paragraph" w:customStyle="1" w:styleId="253">
    <w:name w:val="List Bullet2"/>
    <w:basedOn w:val="1"/>
    <w:qFormat/>
    <w:uiPriority w:val="99"/>
    <w:pPr>
      <w:widowControl/>
      <w:numPr>
        <w:ilvl w:val="0"/>
        <w:numId w:val="13"/>
      </w:numPr>
      <w:tabs>
        <w:tab w:val="left" w:pos="1260"/>
      </w:tabs>
      <w:spacing w:before="120" w:after="120" w:line="360" w:lineRule="auto"/>
      <w:ind w:left="840" w:right="340"/>
      <w:jc w:val="left"/>
    </w:pPr>
    <w:rPr>
      <w:rFonts w:ascii="宋体" w:hAnsi="宋体"/>
      <w:kern w:val="0"/>
      <w:sz w:val="24"/>
      <w:szCs w:val="20"/>
    </w:rPr>
  </w:style>
  <w:style w:type="paragraph" w:customStyle="1" w:styleId="254">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255">
    <w:name w:val="_Style 3"/>
    <w:basedOn w:val="1"/>
    <w:qFormat/>
    <w:uiPriority w:val="99"/>
    <w:pPr>
      <w:ind w:firstLine="420" w:firstLineChars="200"/>
    </w:pPr>
    <w:rPr>
      <w:szCs w:val="20"/>
    </w:rPr>
  </w:style>
  <w:style w:type="paragraph" w:customStyle="1" w:styleId="256">
    <w:name w:val="#1.1 一级无标题条文"/>
    <w:basedOn w:val="5"/>
    <w:qFormat/>
    <w:uiPriority w:val="99"/>
    <w:pPr>
      <w:widowControl/>
      <w:spacing w:before="0" w:after="0" w:line="360" w:lineRule="auto"/>
      <w:jc w:val="left"/>
    </w:pPr>
    <w:rPr>
      <w:rFonts w:ascii="宋体" w:hAnsi="Cambria" w:eastAsia="宋体"/>
      <w:sz w:val="24"/>
    </w:rPr>
  </w:style>
  <w:style w:type="paragraph" w:customStyle="1" w:styleId="257">
    <w:name w:val="&amp;2 列项#1 字母编号（一级）"/>
    <w:qFormat/>
    <w:uiPriority w:val="99"/>
    <w:pPr>
      <w:spacing w:line="360" w:lineRule="auto"/>
      <w:jc w:val="both"/>
    </w:pPr>
    <w:rPr>
      <w:rFonts w:ascii="宋体" w:hAnsi="Times New Roman" w:eastAsia="宋体" w:cs="Times New Roman"/>
      <w:kern w:val="0"/>
      <w:sz w:val="24"/>
      <w:szCs w:val="20"/>
      <w:lang w:val="en-US" w:eastAsia="zh-CN" w:bidi="ar-SA"/>
    </w:rPr>
  </w:style>
  <w:style w:type="paragraph" w:customStyle="1" w:styleId="258">
    <w:name w:val="CD正文"/>
    <w:basedOn w:val="1"/>
    <w:qFormat/>
    <w:uiPriority w:val="99"/>
    <w:pPr>
      <w:widowControl/>
      <w:spacing w:line="360" w:lineRule="auto"/>
      <w:ind w:firstLine="493"/>
      <w:jc w:val="left"/>
    </w:pPr>
    <w:rPr>
      <w:kern w:val="0"/>
      <w:sz w:val="30"/>
      <w:szCs w:val="28"/>
    </w:rPr>
  </w:style>
  <w:style w:type="paragraph" w:styleId="259">
    <w:name w:val="List Paragraph"/>
    <w:basedOn w:val="1"/>
    <w:qFormat/>
    <w:uiPriority w:val="34"/>
    <w:pPr>
      <w:ind w:firstLine="420" w:firstLineChars="200"/>
    </w:pPr>
    <w:rPr>
      <w:rFonts w:ascii="Times New Roman" w:hAnsi="Times New Roman"/>
      <w:kern w:val="2"/>
      <w:sz w:val="28"/>
    </w:rPr>
  </w:style>
  <w:style w:type="paragraph" w:customStyle="1" w:styleId="260">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1">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kern w:val="0"/>
      <w:szCs w:val="20"/>
    </w:rPr>
  </w:style>
  <w:style w:type="paragraph" w:customStyle="1" w:styleId="262">
    <w:name w:val="_Style 74"/>
    <w:basedOn w:val="1"/>
    <w:next w:val="259"/>
    <w:qFormat/>
    <w:uiPriority w:val="0"/>
    <w:pPr>
      <w:ind w:firstLine="420" w:firstLineChars="200"/>
    </w:pPr>
  </w:style>
  <w:style w:type="character" w:customStyle="1" w:styleId="263">
    <w:name w:val="fontstyle01"/>
    <w:basedOn w:val="59"/>
    <w:qFormat/>
    <w:uiPriority w:val="0"/>
    <w:rPr>
      <w:rFonts w:hint="eastAsia" w:ascii="宋体" w:hAnsi="宋体" w:eastAsia="宋体"/>
      <w:color w:val="000000"/>
      <w:sz w:val="22"/>
      <w:szCs w:val="22"/>
    </w:rPr>
  </w:style>
  <w:style w:type="paragraph" w:customStyle="1" w:styleId="264">
    <w:name w:val="_Style 2"/>
    <w:basedOn w:val="1"/>
    <w:qFormat/>
    <w:uiPriority w:val="0"/>
    <w:pPr>
      <w:spacing w:line="360" w:lineRule="auto"/>
      <w:ind w:firstLine="420" w:firstLineChars="200"/>
    </w:pPr>
    <w:rPr>
      <w:rFonts w:ascii="新宋体" w:hAnsi="新宋体" w:cs="Times New Roman (正文 CS 字体)"/>
      <w:kern w:val="2"/>
      <w:sz w:val="28"/>
    </w:rPr>
  </w:style>
  <w:style w:type="paragraph" w:customStyle="1" w:styleId="265">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66">
    <w:name w:val="样式 首行缩进:  2 字符1"/>
    <w:basedOn w:val="1"/>
    <w:qFormat/>
    <w:uiPriority w:val="0"/>
    <w:pPr>
      <w:spacing w:line="360" w:lineRule="auto"/>
      <w:ind w:firstLine="480" w:firstLineChars="200"/>
    </w:pPr>
    <w:rPr>
      <w:rFonts w:cs="宋体"/>
      <w:sz w:val="24"/>
      <w:szCs w:val="20"/>
    </w:rPr>
  </w:style>
  <w:style w:type="table" w:customStyle="1" w:styleId="267">
    <w:name w:val="网格型29"/>
    <w:basedOn w:val="56"/>
    <w:qFormat/>
    <w:uiPriority w:val="99"/>
    <w:rPr>
      <w:rFonts w:ascii="宋体" w:hAnsi="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正文2"/>
    <w:basedOn w:val="1"/>
    <w:qFormat/>
    <w:uiPriority w:val="0"/>
    <w:pPr>
      <w:spacing w:before="156" w:line="360" w:lineRule="auto"/>
      <w:ind w:firstLine="510" w:firstLineChars="200"/>
    </w:pPr>
    <w:rPr>
      <w:rFonts w:ascii="Calibri" w:hAnsi="Calibri"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miit</Company>
  <Pages>10</Pages>
  <Words>3390</Words>
  <Characters>3551</Characters>
  <Lines>0</Lines>
  <Paragraphs>0</Paragraphs>
  <TotalTime>3</TotalTime>
  <ScaleCrop>false</ScaleCrop>
  <LinksUpToDate>false</LinksUpToDate>
  <CharactersWithSpaces>3622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2016-08-16T02:10:00Z</dcterms:created>
  <dc:creator>mj</dc:creator>
  <cp:lastModifiedBy>请叫我小郭</cp:lastModifiedBy>
  <cp:lastPrinted>2024-12-03T06:21:00Z</cp:lastPrinted>
  <dcterms:modified xsi:type="dcterms:W3CDTF">2025-11-03T01:26:26Z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50A0F1326BC7406D9CC63129CAA9A3D6_13</vt:lpwstr>
  </property>
  <property fmtid="{D5CDD505-2E9C-101B-9397-08002B2CF9AE}" pid="4" name="KSOTemplateDocerSaveRecord">
    <vt:lpwstr>eyJoZGlkIjoiZDg4NWM1ZjRlZmY3NmQ0YjJlYWI4ZGI0NmRkM2JiYjIiLCJ1c2VySWQiOiIxMDA4ODI3NDM3In0=</vt:lpwstr>
  </property>
</Properties>
</file>