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增值化改革优秀案例评选和汇编印制项目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5"/>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5"/>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5</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10</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4"/>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468808805"/>
      <w:bookmarkStart w:id="1" w:name="_Toc227057880"/>
      <w:bookmarkStart w:id="2" w:name="_Toc453691462"/>
      <w:bookmarkStart w:id="3" w:name="_Toc226969316"/>
      <w:bookmarkStart w:id="4" w:name="_Toc227057922"/>
      <w:bookmarkStart w:id="5" w:name="_Toc107822520"/>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107822481"/>
      <w:bookmarkStart w:id="7" w:name="_Toc227057881"/>
      <w:bookmarkStart w:id="8" w:name="_Toc226969274"/>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增值化改革优秀案例评选和汇编印制项目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增值化改革优秀案例评选和汇编印制项目</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增值化改革优秀案例评选和汇编印制</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壹拾万</w:t>
      </w:r>
      <w:r>
        <w:rPr>
          <w:rFonts w:hint="eastAsia" w:ascii="仿宋_GB2312" w:hAnsi="仿宋_GB2312" w:eastAsia="仿宋_GB2312" w:cs="仿宋_GB2312"/>
          <w:color w:val="000000" w:themeColor="text1"/>
          <w:sz w:val="32"/>
          <w:szCs w:val="32"/>
          <w14:textFill>
            <w14:solidFill>
              <w14:schemeClr w14:val="tx1"/>
            </w14:solidFill>
          </w14:textFill>
        </w:rPr>
        <w:t>元整）</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w:t>
      </w:r>
      <w:r>
        <w:rPr>
          <w:rFonts w:hint="eastAsia" w:ascii="仿宋_GB2312" w:hAnsi="仿宋_GB2312" w:eastAsia="仿宋_GB2312" w:cs="仿宋_GB2312"/>
          <w:b/>
          <w:color w:val="000000" w:themeColor="text1"/>
          <w:sz w:val="32"/>
          <w:szCs w:val="32"/>
          <w14:textFill>
            <w14:solidFill>
              <w14:schemeClr w14:val="tx1"/>
            </w14:solidFill>
          </w14:textFill>
        </w:rPr>
        <w:t>根据综合评分法按排名由高到低推荐第一名为中标候选人</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本项目采用资格预审，采购评审小组根据采购文件的规定对供应商进行资格审查，若资格审查不合格其响应文件将被否决，采购申请人资格要求如下：</w:t>
      </w:r>
    </w:p>
    <w:p w14:paraId="7D2844A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19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bookmarkStart w:id="88" w:name="_GoBack"/>
      <w:bookmarkEnd w:id="88"/>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日在四川省成都市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0AF3CD37">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6969356"/>
      <w:bookmarkStart w:id="11" w:name="_Toc227057962"/>
    </w:p>
    <w:p w14:paraId="4C387482">
      <w:pPr>
        <w:pStyle w:val="4"/>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5"/>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63E0517D">
      <w:pPr>
        <w:pStyle w:val="5"/>
        <w:keepNext/>
        <w:keepLines/>
        <w:pageBreakBefore w:val="0"/>
        <w:widowControl w:val="0"/>
        <w:kinsoku/>
        <w:wordWrap/>
        <w:overflowPunct/>
        <w:topLinePunct w:val="0"/>
        <w:autoSpaceDE/>
        <w:autoSpaceDN/>
        <w:bidi w:val="0"/>
        <w:adjustRightInd/>
        <w:snapToGrid/>
        <w:spacing w:before="0" w:after="0" w:line="560" w:lineRule="exact"/>
        <w:ind w:left="0" w:leftChars="0" w:right="0" w:firstLine="643" w:firstLineChars="200"/>
        <w:textAlignment w:val="auto"/>
        <w:outlineLvl w:val="1"/>
        <w:rPr>
          <w:rFonts w:hint="default" w:ascii="仿宋_GB2312" w:hAnsi="仿宋_GB2312" w:eastAsia="仿宋_GB2312" w:cs="仿宋_GB2312"/>
          <w:b/>
          <w:color w:val="000000" w:themeColor="text1"/>
          <w:sz w:val="32"/>
          <w:lang w:val="en-US" w:eastAsia="zh-CN"/>
          <w14:textFill>
            <w14:solidFill>
              <w14:schemeClr w14:val="tx1"/>
            </w14:solidFill>
          </w14:textFill>
        </w:rPr>
      </w:pPr>
      <w:r>
        <w:rPr>
          <w:rFonts w:hint="eastAsia" w:ascii="仿宋_GB2312" w:hAnsi="仿宋_GB2312" w:eastAsia="仿宋_GB2312" w:cs="仿宋_GB2312"/>
          <w:b/>
          <w:color w:val="000000" w:themeColor="text1"/>
          <w:sz w:val="32"/>
          <w:lang w:val="en-US" w:eastAsia="zh-CN"/>
          <w14:textFill>
            <w14:solidFill>
              <w14:schemeClr w14:val="tx1"/>
            </w14:solidFill>
          </w14:textFill>
        </w:rPr>
        <w:t>一、项目概述</w:t>
      </w:r>
    </w:p>
    <w:p w14:paraId="0F46F86E">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firstLine="640" w:firstLineChars="200"/>
        <w:textAlignment w:val="auto"/>
        <w:outlineLvl w:val="2"/>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系统梳理、科学评价并广泛推广四川省各市（州）在政务服务增值化改革领域的创新实践与先进经验，将开展2025年四川省各市（州）政务服务增值化改革优秀案例征集活动，拟委托第三方组织案例评审与汇编印制工作，为全省增值化改革深化与经验交流提供依据。</w:t>
      </w:r>
    </w:p>
    <w:p w14:paraId="3C1B28E4">
      <w:pPr>
        <w:keepNext w:val="0"/>
        <w:keepLines w:val="0"/>
        <w:pageBreakBefore w:val="0"/>
        <w:widowControl w:val="0"/>
        <w:kinsoku/>
        <w:wordWrap/>
        <w:overflowPunct/>
        <w:topLinePunct w:val="0"/>
        <w:autoSpaceDE/>
        <w:autoSpaceDN/>
        <w:bidi w:val="0"/>
        <w:adjustRightInd w:val="0"/>
        <w:snapToGrid w:val="0"/>
        <w:spacing w:line="520" w:lineRule="atLeast"/>
        <w:ind w:left="0" w:leftChars="0" w:right="0" w:firstLine="643" w:firstLineChars="200"/>
        <w:textAlignment w:val="auto"/>
        <w:outlineLvl w:val="2"/>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二、采购项目要求</w:t>
      </w:r>
    </w:p>
    <w:p w14:paraId="6040E51E">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jc w:val="left"/>
        <w:textAlignment w:val="auto"/>
        <w:rPr>
          <w:rFonts w:ascii="Times New Roman" w:hAnsi="Times New Roman" w:eastAsia="仿宋"/>
          <w:b/>
          <w:snapToGrid w:val="0"/>
          <w:color w:val="auto"/>
          <w:kern w:val="0"/>
          <w:sz w:val="32"/>
          <w:szCs w:val="32"/>
        </w:rPr>
      </w:pPr>
      <w:r>
        <w:rPr>
          <w:rFonts w:ascii="Times New Roman" w:hAnsi="Times New Roman" w:eastAsia="仿宋"/>
          <w:b/>
          <w:snapToGrid w:val="0"/>
          <w:color w:val="auto"/>
          <w:kern w:val="0"/>
          <w:sz w:val="32"/>
          <w:szCs w:val="32"/>
        </w:rPr>
        <w:t>1.项目采购总表</w:t>
      </w:r>
    </w:p>
    <w:tbl>
      <w:tblPr>
        <w:tblStyle w:val="56"/>
        <w:tblW w:w="9187"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7189"/>
      </w:tblGrid>
      <w:tr w14:paraId="3856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8" w:type="dxa"/>
            <w:noWrap w:val="0"/>
            <w:vAlign w:val="center"/>
          </w:tcPr>
          <w:p w14:paraId="4EE3F0DB">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ascii="仿宋_GB2312" w:hAnsi="仿宋_GB2312" w:eastAsia="仿宋_GB2312" w:cs="仿宋_GB2312"/>
                <w:snapToGrid w:val="0"/>
                <w:color w:val="auto"/>
                <w:kern w:val="0"/>
                <w:sz w:val="24"/>
                <w:szCs w:val="24"/>
                <w:lang w:bidi="ar"/>
              </w:rPr>
              <w:t>序号</w:t>
            </w:r>
          </w:p>
        </w:tc>
        <w:tc>
          <w:tcPr>
            <w:tcW w:w="7189" w:type="dxa"/>
            <w:noWrap w:val="0"/>
            <w:vAlign w:val="center"/>
          </w:tcPr>
          <w:p w14:paraId="794F1F02">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eastAsia" w:ascii="仿宋_GB2312" w:hAnsi="仿宋_GB2312" w:eastAsia="仿宋_GB2312" w:cs="仿宋_GB2312"/>
                <w:snapToGrid w:val="0"/>
                <w:color w:val="auto"/>
                <w:kern w:val="0"/>
                <w:sz w:val="24"/>
                <w:szCs w:val="24"/>
                <w:lang w:bidi="ar"/>
              </w:rPr>
              <w:t>采购内容</w:t>
            </w:r>
          </w:p>
        </w:tc>
      </w:tr>
      <w:tr w14:paraId="120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98" w:type="dxa"/>
            <w:noWrap w:val="0"/>
            <w:vAlign w:val="center"/>
          </w:tcPr>
          <w:p w14:paraId="528E428A">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hint="default" w:ascii="Times New Roman" w:hAnsi="Times New Roman" w:eastAsia="仿宋_GB2312" w:cs="Times New Roman"/>
                <w:snapToGrid w:val="0"/>
                <w:color w:val="auto"/>
                <w:kern w:val="0"/>
                <w:sz w:val="24"/>
                <w:szCs w:val="24"/>
                <w:lang w:bidi="ar"/>
              </w:rPr>
              <w:t>1</w:t>
            </w:r>
          </w:p>
        </w:tc>
        <w:tc>
          <w:tcPr>
            <w:tcW w:w="7189" w:type="dxa"/>
            <w:noWrap w:val="0"/>
            <w:vAlign w:val="center"/>
          </w:tcPr>
          <w:p w14:paraId="3E31364F">
            <w:pPr>
              <w:widowControl/>
              <w:kinsoku w:val="0"/>
              <w:autoSpaceDE w:val="0"/>
              <w:autoSpaceDN w:val="0"/>
              <w:adjustRightInd w:val="0"/>
              <w:snapToGrid w:val="0"/>
              <w:spacing w:line="576" w:lineRule="exact"/>
              <w:jc w:val="center"/>
              <w:textAlignment w:val="center"/>
              <w:rPr>
                <w:rFonts w:hint="eastAsia" w:ascii="仿宋_GB2312" w:hAnsi="仿宋_GB2312" w:eastAsia="仿宋_GB2312" w:cs="仿宋_GB2312"/>
                <w:snapToGrid w:val="0"/>
                <w:color w:val="auto"/>
                <w:kern w:val="0"/>
                <w:sz w:val="24"/>
                <w:szCs w:val="24"/>
                <w:lang w:bidi="ar"/>
              </w:rPr>
            </w:pPr>
            <w:r>
              <w:rPr>
                <w:rFonts w:ascii="Times New Roman" w:hAnsi="Times New Roman" w:eastAsia="仿宋_GB2312"/>
                <w:bCs/>
                <w:color w:val="000000" w:themeColor="text1"/>
                <w:sz w:val="24"/>
                <w:szCs w:val="24"/>
                <w14:textFill>
                  <w14:solidFill>
                    <w14:schemeClr w14:val="tx1"/>
                  </w14:solidFill>
                </w14:textFill>
              </w:rPr>
              <w:t>增值化改革优秀案例评选和汇编印制</w:t>
            </w:r>
          </w:p>
        </w:tc>
      </w:tr>
    </w:tbl>
    <w:p w14:paraId="08453A34">
      <w:pPr>
        <w:pageBreakBefore w:val="0"/>
        <w:wordWrap/>
        <w:overflowPunct/>
        <w:topLinePunct w:val="0"/>
        <w:bidi w:val="0"/>
        <w:adjustRightInd w:val="0"/>
        <w:snapToGrid w:val="0"/>
        <w:spacing w:line="600" w:lineRule="exact"/>
        <w:ind w:firstLine="643" w:firstLineChars="200"/>
        <w:jc w:val="left"/>
        <w:rPr>
          <w:rFonts w:hint="eastAsia" w:ascii="仿宋_GB2312" w:hAnsi="仿宋_GB2312" w:eastAsia="仿宋_GB2312" w:cs="仿宋_GB2312"/>
          <w:b/>
          <w:snapToGrid w:val="0"/>
          <w:color w:val="000000"/>
          <w:kern w:val="0"/>
          <w:sz w:val="32"/>
          <w:szCs w:val="32"/>
        </w:rPr>
      </w:pPr>
      <w:r>
        <w:rPr>
          <w:rFonts w:hint="eastAsia" w:ascii="仿宋_GB2312" w:hAnsi="仿宋_GB2312" w:eastAsia="仿宋_GB2312" w:cs="仿宋_GB2312"/>
          <w:b/>
          <w:snapToGrid w:val="0"/>
          <w:color w:val="000000"/>
          <w:kern w:val="0"/>
          <w:sz w:val="32"/>
          <w:szCs w:val="32"/>
        </w:rPr>
        <w:t>2.服务要求</w:t>
      </w:r>
    </w:p>
    <w:p w14:paraId="59FA293F">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全省各市（州）、县（市、区）政务服务管理机构，试点地区（园区），乡镇（街道）便民服务中心报送的政务服务增值化改革创新和有效探索案例中，评审“2025年四川省政务服务增值化改革典型案例”，并印刷成册，同时对案例进行宣传推广。</w:t>
      </w:r>
    </w:p>
    <w:p w14:paraId="711C1D15">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（一）专家评审</w:t>
      </w:r>
    </w:p>
    <w:p w14:paraId="08574874">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1.组建专家评审组。组建6-8人专家评审组，包括国内政务服务、改革研究等领域，知名智库、研究机构及国内知名高校的领导、专家等。</w:t>
      </w:r>
    </w:p>
    <w:p w14:paraId="65D12B15">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2.归集整理案例资料。将各地报送的案例收集后进行分类、整理，分别发送给专家评审小组成员。</w:t>
      </w:r>
    </w:p>
    <w:p w14:paraId="441B84FF">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（二）案例评选、汇编与印制</w:t>
      </w:r>
    </w:p>
    <w:p w14:paraId="3A2774F5">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1.案例评选。根据各地报送案例，开展评选。专家给出推荐理由和最终评审意见。根据专家意见撰写代表性案例的评估报告。</w:t>
      </w:r>
    </w:p>
    <w:p w14:paraId="02402321">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2.编印成册。根据评审结果，将优秀案例汇编印制《2025年四川省政务服务增值化改革典型案例》，预计印制170册。</w:t>
      </w:r>
    </w:p>
    <w:p w14:paraId="4D44F0ED">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（三）案例宣传推广</w:t>
      </w:r>
    </w:p>
    <w:p w14:paraId="4E35BE01">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1.结合专家评审意见，撰写代表性案例的评估报告。</w:t>
      </w:r>
    </w:p>
    <w:p w14:paraId="20A2E51B">
      <w:pPr>
        <w:pageBreakBefore w:val="0"/>
        <w:wordWrap/>
        <w:overflowPunct/>
        <w:topLinePunct w:val="0"/>
        <w:bidi w:val="0"/>
        <w:adjustRightInd w:val="0"/>
        <w:snapToGrid w:val="0"/>
        <w:spacing w:line="600" w:lineRule="exact"/>
        <w:ind w:firstLine="640" w:firstLineChars="200"/>
        <w:jc w:val="left"/>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2.向有关部门和相关新闻媒体推荐案例成果。</w:t>
      </w:r>
    </w:p>
    <w:p w14:paraId="3B3F84D4">
      <w:pPr>
        <w:pageBreakBefore w:val="0"/>
        <w:widowControl/>
        <w:kinsoku w:val="0"/>
        <w:wordWrap/>
        <w:overflowPunct/>
        <w:topLinePunct w:val="0"/>
        <w:autoSpaceDE w:val="0"/>
        <w:autoSpaceDN w:val="0"/>
        <w:bidi w:val="0"/>
        <w:adjustRightInd w:val="0"/>
        <w:snapToGrid w:val="0"/>
        <w:spacing w:line="600" w:lineRule="exact"/>
        <w:ind w:firstLine="643" w:firstLineChars="200"/>
        <w:jc w:val="left"/>
        <w:textAlignment w:val="baseline"/>
        <w:outlineLvl w:val="1"/>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b/>
          <w:bCs/>
          <w:snapToGrid w:val="0"/>
          <w:color w:val="000000"/>
          <w:kern w:val="0"/>
          <w:sz w:val="32"/>
          <w:szCs w:val="32"/>
        </w:rPr>
        <w:t>三、商务要求</w:t>
      </w:r>
    </w:p>
    <w:p w14:paraId="2A4904E1">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（一）服务期限</w:t>
      </w:r>
    </w:p>
    <w:p w14:paraId="7676E816">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自合同签订之日起至2025年12月30日。</w:t>
      </w:r>
    </w:p>
    <w:p w14:paraId="30C4BA6F">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（二）</w:t>
      </w:r>
      <w:r>
        <w:rPr>
          <w:rFonts w:hint="eastAsia" w:ascii="仿宋_GB2312" w:hAnsi="仿宋_GB2312" w:eastAsia="仿宋_GB2312" w:cs="仿宋_GB2312"/>
          <w:bCs w:val="0"/>
          <w:color w:val="000000" w:themeColor="text1"/>
          <w:sz w:val="32"/>
          <w:szCs w:val="32"/>
          <w14:textFill>
            <w14:solidFill>
              <w14:schemeClr w14:val="tx1"/>
            </w14:solidFill>
          </w14:textFill>
        </w:rPr>
        <w:t>付款方式</w:t>
      </w:r>
    </w:p>
    <w:p w14:paraId="4FA924AA">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签订合同后10个工作日内支付合同金额的80%，项目验收合格后支付合同尾款20%。</w:t>
      </w:r>
    </w:p>
    <w:p w14:paraId="52E4E08B">
      <w:pPr>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14:textFill>
            <w14:solidFill>
              <w14:schemeClr w14:val="tx1"/>
            </w14:solidFill>
          </w14:textFill>
        </w:rPr>
        <w:t>（三）其他要求</w:t>
      </w:r>
    </w:p>
    <w:p w14:paraId="331F7A1F">
      <w:pPr>
        <w:pStyle w:val="6"/>
        <w:keepNext w:val="0"/>
        <w:keepLines w:val="0"/>
        <w:pageBreakBefore w:val="0"/>
        <w:widowControl/>
        <w:wordWrap/>
        <w:overflowPunct/>
        <w:topLinePunct w:val="0"/>
        <w:autoSpaceDE/>
        <w:autoSpaceDN/>
        <w:bidi w:val="0"/>
        <w:adjustRightInd/>
        <w:spacing w:before="0" w:line="60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验收标准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参照《财政部关于进一步加强政府采购需求和履约验收管理的指导意见》（财库〔2016〕205号）及国家和四川省相关信息化服务项目的验收标准进行验收。</w:t>
      </w:r>
    </w:p>
    <w:p w14:paraId="5B7E79EC">
      <w:pPr>
        <w:pStyle w:val="4"/>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406313792"/>
      <w:bookmarkStart w:id="14" w:name="_Toc227057964"/>
      <w:bookmarkStart w:id="15" w:name="_Toc385507152"/>
      <w:bookmarkStart w:id="16" w:name="_Toc406413564"/>
      <w:bookmarkStart w:id="17" w:name="_Toc396318580"/>
      <w:bookmarkStart w:id="18" w:name="_Toc378497710"/>
      <w:bookmarkStart w:id="19" w:name="_Toc468808809"/>
      <w:bookmarkStart w:id="20" w:name="_Toc226969358"/>
      <w:bookmarkStart w:id="21" w:name="_Toc226969359"/>
      <w:bookmarkStart w:id="22" w:name="_Toc107822557"/>
      <w:bookmarkStart w:id="23" w:name="_Toc227057965"/>
    </w:p>
    <w:p w14:paraId="0C8F633A">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5"/>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5"/>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196153694"/>
      <w:bookmarkStart w:id="26" w:name="_Toc263964579"/>
      <w:bookmarkStart w:id="27" w:name="_Toc420655597"/>
      <w:bookmarkStart w:id="28" w:name="_Toc196153992"/>
      <w:bookmarkStart w:id="29" w:name="_Toc197247444"/>
      <w:bookmarkStart w:id="30" w:name="_Toc263963173"/>
      <w:bookmarkStart w:id="31" w:name="_Toc229558393"/>
      <w:bookmarkStart w:id="32" w:name="_Toc408249246"/>
      <w:bookmarkStart w:id="33" w:name="_Toc319905129"/>
      <w:bookmarkStart w:id="34" w:name="_Toc224619345"/>
      <w:bookmarkStart w:id="35" w:name="_Toc263964481"/>
      <w:bookmarkStart w:id="36" w:name="_Toc400970099"/>
      <w:bookmarkStart w:id="37" w:name="_Toc196153893"/>
      <w:bookmarkStart w:id="38" w:name="_Toc193268467"/>
      <w:bookmarkStart w:id="39" w:name="_Toc192354826"/>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695"/>
      <w:bookmarkStart w:id="41" w:name="_Toc196153894"/>
      <w:bookmarkStart w:id="42" w:name="_Toc196153993"/>
    </w:p>
    <w:p w14:paraId="4F5238D1">
      <w:pPr>
        <w:pStyle w:val="53"/>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408249247"/>
      <w:bookmarkStart w:id="44" w:name="_Toc263964482"/>
      <w:bookmarkStart w:id="45" w:name="_Toc400970100"/>
      <w:bookmarkStart w:id="46" w:name="_Toc197247445"/>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193268468"/>
      <w:bookmarkStart w:id="48" w:name="_Toc408249248"/>
      <w:bookmarkStart w:id="49" w:name="_Toc192354827"/>
      <w:bookmarkStart w:id="50" w:name="_Toc196153994"/>
      <w:bookmarkStart w:id="51" w:name="_Toc196153696"/>
      <w:bookmarkStart w:id="52" w:name="_Toc263964483"/>
      <w:bookmarkStart w:id="53" w:name="_Toc400970101"/>
      <w:bookmarkStart w:id="54" w:name="_Toc197247446"/>
      <w:bookmarkStart w:id="55" w:name="_Toc196153895"/>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196153697"/>
      <w:bookmarkStart w:id="57" w:name="_Toc408249249"/>
      <w:bookmarkStart w:id="58" w:name="_Toc400970102"/>
      <w:bookmarkStart w:id="59" w:name="_Toc197247447"/>
      <w:bookmarkStart w:id="60" w:name="_Toc192354828"/>
      <w:bookmarkStart w:id="61" w:name="_Toc196153995"/>
      <w:bookmarkStart w:id="62" w:name="_Toc193268469"/>
      <w:bookmarkStart w:id="63" w:name="_Toc196153896"/>
      <w:bookmarkStart w:id="64" w:name="_Toc263964484"/>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4"/>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32404463"/>
      <w:bookmarkStart w:id="66" w:name="_Toc13129"/>
      <w:bookmarkStart w:id="67" w:name="_Toc522005482"/>
      <w:bookmarkStart w:id="68" w:name="_Toc32405690"/>
      <w:bookmarkStart w:id="69" w:name="_Toc3248281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7"/>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50"/>
      <w:bookmarkEnd w:id="70"/>
      <w:bookmarkStart w:id="71" w:name="_Toc261857544"/>
      <w:bookmarkEnd w:id="71"/>
      <w:bookmarkStart w:id="72" w:name="_Toc261857568"/>
      <w:bookmarkEnd w:id="72"/>
      <w:bookmarkStart w:id="73" w:name="_Toc261857531"/>
      <w:bookmarkEnd w:id="73"/>
      <w:bookmarkStart w:id="74" w:name="_Toc261857581"/>
      <w:bookmarkEnd w:id="74"/>
      <w:bookmarkStart w:id="75" w:name="_Toc261857587"/>
      <w:bookmarkEnd w:id="75"/>
      <w:bookmarkStart w:id="76" w:name="_Toc261857556"/>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39919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评分标准</w:t>
      </w:r>
    </w:p>
    <w:bookmarkEnd w:id="21"/>
    <w:bookmarkEnd w:id="22"/>
    <w:bookmarkEnd w:id="23"/>
    <w:tbl>
      <w:tblPr>
        <w:tblStyle w:val="56"/>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850"/>
        <w:gridCol w:w="8156"/>
      </w:tblGrid>
      <w:tr w14:paraId="2FBD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449" w:type="dxa"/>
            <w:vAlign w:val="center"/>
          </w:tcPr>
          <w:p w14:paraId="6E9AEA6F">
            <w:pPr>
              <w:widowControl/>
              <w:kinsoku w:val="0"/>
              <w:autoSpaceDE w:val="0"/>
              <w:autoSpaceDN w:val="0"/>
              <w:adjustRightInd w:val="0"/>
              <w:snapToGrid w:val="0"/>
              <w:spacing w:line="400" w:lineRule="exact"/>
              <w:jc w:val="center"/>
              <w:textAlignment w:val="center"/>
              <w:rPr>
                <w:rFonts w:hint="default" w:ascii="Times New Roman" w:hAnsi="Times New Roman" w:eastAsia="宋体" w:cs="Times New Roman"/>
                <w:b/>
                <w:bCs/>
                <w:snapToGrid w:val="0"/>
                <w:color w:val="auto"/>
                <w:kern w:val="0"/>
                <w:sz w:val="24"/>
                <w:szCs w:val="24"/>
                <w:lang w:bidi="ar"/>
              </w:rPr>
            </w:pPr>
            <w:bookmarkStart w:id="77" w:name="_Toc468808812"/>
            <w:bookmarkStart w:id="78" w:name="_Toc226969360"/>
            <w:bookmarkStart w:id="79" w:name="_Toc488655907"/>
            <w:bookmarkStart w:id="80" w:name="_Toc227057966"/>
            <w:bookmarkStart w:id="81" w:name="_Toc107822558"/>
            <w:r>
              <w:rPr>
                <w:rFonts w:hint="default" w:ascii="Times New Roman" w:hAnsi="Times New Roman" w:eastAsia="宋体" w:cs="Times New Roman"/>
                <w:b/>
                <w:bCs/>
                <w:snapToGrid w:val="0"/>
                <w:color w:val="auto"/>
                <w:kern w:val="0"/>
                <w:sz w:val="24"/>
                <w:szCs w:val="24"/>
                <w:lang w:bidi="ar"/>
              </w:rPr>
              <w:t>评分因素</w:t>
            </w:r>
          </w:p>
        </w:tc>
        <w:tc>
          <w:tcPr>
            <w:tcW w:w="850" w:type="dxa"/>
            <w:vAlign w:val="center"/>
          </w:tcPr>
          <w:p w14:paraId="791F02E6">
            <w:pPr>
              <w:widowControl/>
              <w:kinsoku w:val="0"/>
              <w:autoSpaceDE w:val="0"/>
              <w:autoSpaceDN w:val="0"/>
              <w:adjustRightInd w:val="0"/>
              <w:snapToGrid w:val="0"/>
              <w:spacing w:line="400" w:lineRule="exact"/>
              <w:jc w:val="center"/>
              <w:textAlignment w:val="center"/>
              <w:rPr>
                <w:rFonts w:hint="default" w:ascii="Times New Roman" w:hAnsi="Times New Roman" w:eastAsia="宋体" w:cs="Times New Roman"/>
                <w:b/>
                <w:bCs/>
                <w:snapToGrid w:val="0"/>
                <w:color w:val="auto"/>
                <w:kern w:val="0"/>
                <w:sz w:val="24"/>
                <w:szCs w:val="24"/>
                <w:lang w:bidi="ar"/>
              </w:rPr>
            </w:pPr>
            <w:r>
              <w:rPr>
                <w:rFonts w:hint="default" w:ascii="Times New Roman" w:hAnsi="Times New Roman" w:eastAsia="宋体" w:cs="Times New Roman"/>
                <w:b/>
                <w:bCs/>
                <w:snapToGrid w:val="0"/>
                <w:color w:val="auto"/>
                <w:kern w:val="0"/>
                <w:sz w:val="24"/>
                <w:szCs w:val="24"/>
                <w:lang w:bidi="ar"/>
              </w:rPr>
              <w:t>分值</w:t>
            </w:r>
          </w:p>
        </w:tc>
        <w:tc>
          <w:tcPr>
            <w:tcW w:w="8156" w:type="dxa"/>
            <w:vAlign w:val="center"/>
          </w:tcPr>
          <w:p w14:paraId="07442740">
            <w:pPr>
              <w:widowControl/>
              <w:kinsoku w:val="0"/>
              <w:autoSpaceDE w:val="0"/>
              <w:autoSpaceDN w:val="0"/>
              <w:adjustRightInd w:val="0"/>
              <w:snapToGrid w:val="0"/>
              <w:spacing w:line="400" w:lineRule="exact"/>
              <w:jc w:val="center"/>
              <w:textAlignment w:val="center"/>
              <w:rPr>
                <w:rFonts w:hint="default" w:ascii="Times New Roman" w:hAnsi="Times New Roman" w:eastAsia="宋体" w:cs="Times New Roman"/>
                <w:b/>
                <w:bCs/>
                <w:snapToGrid w:val="0"/>
                <w:color w:val="auto"/>
                <w:kern w:val="0"/>
                <w:sz w:val="24"/>
                <w:szCs w:val="24"/>
                <w:lang w:bidi="ar"/>
              </w:rPr>
            </w:pPr>
            <w:r>
              <w:rPr>
                <w:rFonts w:hint="default" w:ascii="Times New Roman" w:hAnsi="Times New Roman" w:eastAsia="宋体" w:cs="Times New Roman"/>
                <w:b/>
                <w:bCs/>
                <w:snapToGrid w:val="0"/>
                <w:color w:val="auto"/>
                <w:kern w:val="0"/>
                <w:sz w:val="24"/>
                <w:szCs w:val="24"/>
                <w:lang w:bidi="ar"/>
              </w:rPr>
              <w:t>评分标准</w:t>
            </w:r>
          </w:p>
        </w:tc>
      </w:tr>
      <w:tr w14:paraId="735A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449" w:type="dxa"/>
            <w:vAlign w:val="center"/>
          </w:tcPr>
          <w:p w14:paraId="590CA16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rPr>
              <w:t>报价部分</w:t>
            </w:r>
          </w:p>
        </w:tc>
        <w:tc>
          <w:tcPr>
            <w:tcW w:w="850" w:type="dxa"/>
            <w:vAlign w:val="center"/>
          </w:tcPr>
          <w:p w14:paraId="33682008">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lang w:val="en-US" w:eastAsia="zh-CN"/>
              </w:rPr>
              <w:t>30</w:t>
            </w:r>
            <w:r>
              <w:rPr>
                <w:rFonts w:hint="default" w:ascii="Times New Roman" w:hAnsi="Times New Roman" w:eastAsia="仿宋_GB2312" w:cs="Times New Roman"/>
                <w:bCs/>
                <w:snapToGrid w:val="0"/>
                <w:color w:val="auto"/>
                <w:kern w:val="0"/>
                <w:sz w:val="24"/>
                <w:szCs w:val="24"/>
              </w:rPr>
              <w:t>分</w:t>
            </w:r>
          </w:p>
        </w:tc>
        <w:tc>
          <w:tcPr>
            <w:tcW w:w="8156" w:type="dxa"/>
            <w:vAlign w:val="center"/>
          </w:tcPr>
          <w:p w14:paraId="77F2B6F3">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价格分统一采用【基准价法】，并以所有有效报价的算术平均值作为基准价。</w:t>
            </w:r>
          </w:p>
          <w:p w14:paraId="0DECA705">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报价得分 =</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1 - |投标报价 - 评标基准价| / 评标基准价</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 30</w:t>
            </w:r>
          </w:p>
          <w:p w14:paraId="19D65471">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snapToGrid w:val="0"/>
                <w:color w:val="auto"/>
                <w:kern w:val="0"/>
                <w:sz w:val="24"/>
                <w:szCs w:val="24"/>
              </w:rPr>
            </w:pPr>
            <w:r>
              <w:rPr>
                <w:rFonts w:hint="default" w:ascii="Times New Roman" w:hAnsi="Times New Roman" w:eastAsia="楷体_GB2312" w:cs="Times New Roman"/>
                <w:b w:val="0"/>
                <w:bCs/>
                <w:color w:val="auto"/>
                <w:sz w:val="24"/>
                <w:szCs w:val="24"/>
              </w:rPr>
              <w:t>说明：报价等于基准价得30分，每偏离基准价1%，扣0.3分</w:t>
            </w:r>
            <w:r>
              <w:rPr>
                <w:rFonts w:hint="default" w:ascii="Times New Roman" w:hAnsi="Times New Roman" w:eastAsia="楷体_GB2312" w:cs="Times New Roman"/>
                <w:b w:val="0"/>
                <w:bCs/>
                <w:color w:val="auto"/>
                <w:sz w:val="24"/>
                <w:szCs w:val="24"/>
                <w:lang w:eastAsia="zh-CN"/>
              </w:rPr>
              <w:t>，</w:t>
            </w:r>
            <w:r>
              <w:rPr>
                <w:rFonts w:hint="default" w:ascii="Times New Roman" w:hAnsi="Times New Roman" w:eastAsia="楷体_GB2312" w:cs="Times New Roman"/>
                <w:b w:val="0"/>
                <w:bCs/>
                <w:color w:val="auto"/>
                <w:sz w:val="24"/>
                <w:szCs w:val="24"/>
              </w:rPr>
              <w:t>扣完为止。评标基准价为所有有效投标人报价的算术平均值。得分保留小数点后两位。</w:t>
            </w:r>
          </w:p>
        </w:tc>
      </w:tr>
      <w:tr w14:paraId="3C42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449" w:type="dxa"/>
            <w:vMerge w:val="restart"/>
            <w:vAlign w:val="center"/>
          </w:tcPr>
          <w:p w14:paraId="58AF9C8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highlight w:val="none"/>
              </w:rPr>
            </w:pPr>
            <w:r>
              <w:rPr>
                <w:rFonts w:hint="default" w:ascii="Times New Roman" w:hAnsi="Times New Roman" w:eastAsia="仿宋_GB2312" w:cs="Times New Roman"/>
                <w:bCs/>
                <w:snapToGrid w:val="0"/>
                <w:color w:val="auto"/>
                <w:kern w:val="0"/>
                <w:sz w:val="24"/>
                <w:szCs w:val="24"/>
                <w:highlight w:val="none"/>
              </w:rPr>
              <w:t>商务部分</w:t>
            </w:r>
          </w:p>
        </w:tc>
        <w:tc>
          <w:tcPr>
            <w:tcW w:w="850" w:type="dxa"/>
            <w:vMerge w:val="restart"/>
            <w:vAlign w:val="center"/>
          </w:tcPr>
          <w:p w14:paraId="0C825E6A">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20</w:t>
            </w:r>
            <w:r>
              <w:rPr>
                <w:rFonts w:hint="default" w:ascii="Times New Roman" w:hAnsi="Times New Roman" w:eastAsia="仿宋_GB2312" w:cs="Times New Roman"/>
                <w:bCs/>
                <w:snapToGrid w:val="0"/>
                <w:color w:val="auto"/>
                <w:kern w:val="0"/>
                <w:sz w:val="24"/>
                <w:szCs w:val="24"/>
              </w:rPr>
              <w:t>分</w:t>
            </w:r>
          </w:p>
        </w:tc>
        <w:tc>
          <w:tcPr>
            <w:tcW w:w="8156" w:type="dxa"/>
            <w:vAlign w:val="center"/>
          </w:tcPr>
          <w:p w14:paraId="70484AA8">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Cs/>
                <w:snapToGrid w:val="0"/>
                <w:color w:val="auto"/>
                <w:kern w:val="0"/>
                <w:sz w:val="24"/>
                <w:szCs w:val="24"/>
                <w:highlight w:val="none"/>
                <w:lang w:eastAsia="zh-CN"/>
              </w:rPr>
            </w:pPr>
            <w:r>
              <w:rPr>
                <w:rFonts w:hint="default" w:ascii="Times New Roman" w:hAnsi="Times New Roman" w:eastAsia="仿宋_GB2312" w:cs="Times New Roman"/>
                <w:bCs/>
                <w:snapToGrid w:val="0"/>
                <w:color w:val="auto"/>
                <w:kern w:val="0"/>
                <w:sz w:val="24"/>
                <w:szCs w:val="24"/>
                <w:highlight w:val="none"/>
              </w:rPr>
              <w:t xml:space="preserve">1. 类似项目业绩 </w:t>
            </w:r>
            <w:r>
              <w:rPr>
                <w:rFonts w:hint="default" w:ascii="Times New Roman" w:hAnsi="Times New Roman" w:eastAsia="仿宋_GB2312" w:cs="Times New Roman"/>
                <w:bCs/>
                <w:snapToGrid w:val="0"/>
                <w:color w:val="auto"/>
                <w:kern w:val="0"/>
                <w:sz w:val="24"/>
                <w:szCs w:val="24"/>
                <w:highlight w:val="none"/>
                <w:lang w:eastAsia="zh-CN"/>
              </w:rPr>
              <w:t>（</w:t>
            </w:r>
            <w:r>
              <w:rPr>
                <w:rFonts w:hint="default" w:ascii="Times New Roman" w:hAnsi="Times New Roman" w:eastAsia="仿宋_GB2312" w:cs="Times New Roman"/>
                <w:bCs/>
                <w:snapToGrid w:val="0"/>
                <w:color w:val="auto"/>
                <w:kern w:val="0"/>
                <w:sz w:val="24"/>
                <w:szCs w:val="24"/>
                <w:highlight w:val="none"/>
              </w:rPr>
              <w:t>12分</w:t>
            </w:r>
            <w:r>
              <w:rPr>
                <w:rFonts w:hint="default" w:ascii="Times New Roman" w:hAnsi="Times New Roman" w:eastAsia="仿宋_GB2312" w:cs="Times New Roman"/>
                <w:bCs/>
                <w:snapToGrid w:val="0"/>
                <w:color w:val="auto"/>
                <w:kern w:val="0"/>
                <w:sz w:val="24"/>
                <w:szCs w:val="24"/>
                <w:highlight w:val="none"/>
                <w:lang w:eastAsia="zh-CN"/>
              </w:rPr>
              <w:t>）</w:t>
            </w:r>
          </w:p>
          <w:p w14:paraId="06050724">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Cs/>
                <w:snapToGrid w:val="0"/>
                <w:color w:val="auto"/>
                <w:kern w:val="0"/>
                <w:sz w:val="24"/>
                <w:szCs w:val="24"/>
                <w:highlight w:val="none"/>
              </w:rPr>
            </w:pPr>
            <w:r>
              <w:rPr>
                <w:rFonts w:hint="default" w:ascii="Times New Roman" w:hAnsi="Times New Roman" w:eastAsia="仿宋_GB2312" w:cs="Times New Roman"/>
                <w:bCs/>
                <w:snapToGrid w:val="0"/>
                <w:color w:val="auto"/>
                <w:kern w:val="0"/>
                <w:sz w:val="24"/>
                <w:szCs w:val="24"/>
                <w:highlight w:val="none"/>
              </w:rPr>
              <w:t>作为独立承包人，自2021年1月1日以来，承接过资料汇编类、咨询类等相关项目的，每提供一个得6分，本项最多得12分，不提供不得分。</w:t>
            </w:r>
          </w:p>
          <w:p w14:paraId="5A04F39C">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
                <w:bCs/>
                <w:snapToGrid w:val="0"/>
                <w:color w:val="auto"/>
                <w:kern w:val="0"/>
                <w:sz w:val="24"/>
                <w:szCs w:val="24"/>
                <w:highlight w:val="none"/>
              </w:rPr>
            </w:pPr>
            <w:r>
              <w:rPr>
                <w:rFonts w:hint="default" w:ascii="Times New Roman" w:hAnsi="Times New Roman" w:eastAsia="楷体_GB2312" w:cs="Times New Roman"/>
                <w:b w:val="0"/>
                <w:bCs/>
                <w:color w:val="auto"/>
                <w:sz w:val="24"/>
                <w:szCs w:val="24"/>
              </w:rPr>
              <w:t>说明： 投标人应提供业绩的合同关键页等证明文件并加盖公章。</w:t>
            </w:r>
          </w:p>
        </w:tc>
      </w:tr>
      <w:tr w14:paraId="72C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1449" w:type="dxa"/>
            <w:vMerge w:val="continue"/>
            <w:vAlign w:val="center"/>
          </w:tcPr>
          <w:p w14:paraId="0EBDF4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Cs/>
                <w:snapToGrid w:val="0"/>
                <w:color w:val="auto"/>
                <w:kern w:val="0"/>
                <w:sz w:val="24"/>
                <w:szCs w:val="24"/>
                <w:lang w:eastAsia="zh-CN"/>
              </w:rPr>
            </w:pPr>
          </w:p>
        </w:tc>
        <w:tc>
          <w:tcPr>
            <w:tcW w:w="850" w:type="dxa"/>
            <w:vMerge w:val="continue"/>
            <w:vAlign w:val="center"/>
          </w:tcPr>
          <w:p w14:paraId="1E7059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bCs/>
                <w:snapToGrid w:val="0"/>
                <w:color w:val="auto"/>
                <w:kern w:val="0"/>
                <w:sz w:val="24"/>
                <w:szCs w:val="24"/>
                <w:lang w:val="en-US" w:eastAsia="zh-CN"/>
              </w:rPr>
            </w:pPr>
          </w:p>
        </w:tc>
        <w:tc>
          <w:tcPr>
            <w:tcW w:w="8156" w:type="dxa"/>
            <w:vAlign w:val="center"/>
          </w:tcPr>
          <w:p w14:paraId="7C289359">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2. 项目团队配置 （8分）</w:t>
            </w:r>
          </w:p>
          <w:p w14:paraId="7CC901F9">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按照项目要求提供专业的评价研究团队。</w:t>
            </w:r>
          </w:p>
          <w:p w14:paraId="24F938DC">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项目负责人： 具备高级证书，提供相关证书得4分；不具备的不得分。</w:t>
            </w:r>
          </w:p>
          <w:p w14:paraId="58D17833">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eastAsia="仿宋_GB2312" w:cs="Times New Roman"/>
                <w:bCs/>
                <w:snapToGrid w:val="0"/>
                <w:color w:val="auto"/>
                <w:kern w:val="0"/>
                <w:sz w:val="24"/>
                <w:szCs w:val="24"/>
                <w:lang w:val="en-US" w:eastAsia="zh-CN"/>
              </w:rPr>
            </w:pPr>
            <w:r>
              <w:rPr>
                <w:rFonts w:hint="default" w:ascii="Times New Roman" w:hAnsi="Times New Roman" w:eastAsia="仿宋_GB2312" w:cs="Times New Roman"/>
                <w:bCs/>
                <w:snapToGrid w:val="0"/>
                <w:color w:val="auto"/>
                <w:kern w:val="0"/>
                <w:sz w:val="24"/>
                <w:szCs w:val="24"/>
                <w:lang w:val="en-US" w:eastAsia="zh-CN"/>
              </w:rPr>
              <w:t>团队成员 ： 除项目负责人外，还需至少配备2名项目人员，提供完整服务团队名单及服务承诺书的，得4分，团队成员每缺失1人扣2分。</w:t>
            </w:r>
          </w:p>
          <w:p w14:paraId="6C02C91E">
            <w:pPr>
              <w:keepNext w:val="0"/>
              <w:keepLines w:val="0"/>
              <w:pageBreakBefore w:val="0"/>
              <w:widowControl w:val="0"/>
              <w:kinsoku/>
              <w:wordWrap/>
              <w:overflowPunct/>
              <w:topLinePunct w:val="0"/>
              <w:autoSpaceDE/>
              <w:autoSpaceDN/>
              <w:bidi w:val="0"/>
              <w:adjustRightInd w:val="0"/>
              <w:snapToGrid w:val="0"/>
              <w:spacing w:line="340" w:lineRule="exact"/>
              <w:textAlignment w:val="baseline"/>
              <w:rPr>
                <w:rFonts w:hint="default" w:ascii="Times New Roman" w:hAnsi="Times New Roman" w:cs="Times New Roman"/>
                <w:lang w:val="en-US" w:eastAsia="zh-CN"/>
              </w:rPr>
            </w:pPr>
            <w:r>
              <w:rPr>
                <w:rFonts w:hint="default" w:ascii="Times New Roman" w:hAnsi="Times New Roman" w:eastAsia="楷体_GB2312" w:cs="Times New Roman"/>
                <w:b w:val="0"/>
                <w:bCs/>
                <w:color w:val="auto"/>
                <w:sz w:val="24"/>
                <w:szCs w:val="24"/>
                <w:lang w:val="en-US" w:eastAsia="zh-CN"/>
              </w:rPr>
              <w:t>说明： </w:t>
            </w:r>
            <w:r>
              <w:rPr>
                <w:rFonts w:hint="eastAsia" w:ascii="Times New Roman" w:hAnsi="Times New Roman" w:eastAsia="楷体_GB2312" w:cs="Times New Roman"/>
                <w:b w:val="0"/>
                <w:bCs/>
                <w:snapToGrid/>
                <w:color w:val="auto"/>
                <w:kern w:val="2"/>
                <w:sz w:val="24"/>
                <w:szCs w:val="24"/>
                <w:highlight w:val="none"/>
                <w:lang w:val="en-US" w:eastAsia="zh-CN"/>
              </w:rPr>
              <w:t>投标人自拟承诺书，对承诺书格式不做要求。</w:t>
            </w:r>
          </w:p>
        </w:tc>
      </w:tr>
      <w:tr w14:paraId="283F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1449" w:type="dxa"/>
            <w:vMerge w:val="restart"/>
            <w:vAlign w:val="center"/>
          </w:tcPr>
          <w:p w14:paraId="61FE2C23">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rPr>
              <w:t>技术部分</w:t>
            </w:r>
          </w:p>
        </w:tc>
        <w:tc>
          <w:tcPr>
            <w:tcW w:w="850" w:type="dxa"/>
            <w:vMerge w:val="restart"/>
            <w:vAlign w:val="center"/>
          </w:tcPr>
          <w:p w14:paraId="7B2CD376">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bCs/>
                <w:snapToGrid w:val="0"/>
                <w:color w:val="auto"/>
                <w:kern w:val="0"/>
                <w:sz w:val="24"/>
                <w:szCs w:val="24"/>
                <w:lang w:val="en-US" w:eastAsia="zh-CN"/>
              </w:rPr>
              <w:t>50</w:t>
            </w:r>
            <w:r>
              <w:rPr>
                <w:rFonts w:hint="default" w:ascii="Times New Roman" w:hAnsi="Times New Roman" w:eastAsia="仿宋_GB2312" w:cs="Times New Roman"/>
                <w:bCs/>
                <w:snapToGrid w:val="0"/>
                <w:color w:val="auto"/>
                <w:kern w:val="0"/>
                <w:sz w:val="24"/>
                <w:szCs w:val="24"/>
              </w:rPr>
              <w:t>分</w:t>
            </w:r>
          </w:p>
        </w:tc>
        <w:tc>
          <w:tcPr>
            <w:tcW w:w="8156" w:type="dxa"/>
            <w:vAlign w:val="center"/>
          </w:tcPr>
          <w:p w14:paraId="2B055A6A">
            <w:pPr>
              <w:pStyle w:val="2"/>
              <w:keepNext w:val="0"/>
              <w:keepLines w:val="0"/>
              <w:pageBreakBefore w:val="0"/>
              <w:widowControl w:val="0"/>
              <w:kinsoku/>
              <w:wordWrap/>
              <w:overflowPunct/>
              <w:topLinePunct w:val="0"/>
              <w:autoSpaceDE/>
              <w:autoSpaceDN/>
              <w:bidi w:val="0"/>
              <w:spacing w:after="0" w:line="340" w:lineRule="exact"/>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1. 工作方案（30分）</w:t>
            </w:r>
          </w:p>
          <w:p w14:paraId="490F81FD">
            <w:pPr>
              <w:pStyle w:val="2"/>
              <w:keepNext w:val="0"/>
              <w:keepLines w:val="0"/>
              <w:pageBreakBefore w:val="0"/>
              <w:widowControl w:val="0"/>
              <w:kinsoku/>
              <w:wordWrap/>
              <w:overflowPunct/>
              <w:topLinePunct w:val="0"/>
              <w:autoSpaceDE/>
              <w:autoSpaceDN/>
              <w:bidi w:val="0"/>
              <w:spacing w:after="0" w:line="340" w:lineRule="exact"/>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需对采购人提出的服务内容、服务要求提供完整的工作方案，方案应主要包括 ① 需求理解与分析</w:t>
            </w:r>
            <w:r>
              <w:rPr>
                <w:rFonts w:hint="eastAsia"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② 实施方案设计</w:t>
            </w:r>
            <w:r>
              <w:rPr>
                <w:rFonts w:hint="eastAsia"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③ 预期效果与成果价值 。准确响应要求的得</w:t>
            </w:r>
            <w:r>
              <w:rPr>
                <w:rFonts w:hint="default" w:ascii="Times New Roman" w:hAnsi="Times New Roman" w:eastAsia="仿宋_GB2312" w:cs="Times New Roman"/>
                <w:snapToGrid w:val="0"/>
                <w:color w:val="auto"/>
                <w:kern w:val="0"/>
                <w:sz w:val="24"/>
                <w:szCs w:val="24"/>
                <w:lang w:val="en-US" w:eastAsia="zh-CN"/>
              </w:rPr>
              <w:t>30</w:t>
            </w:r>
            <w:r>
              <w:rPr>
                <w:rFonts w:hint="default" w:ascii="Times New Roman" w:hAnsi="Times New Roman" w:eastAsia="仿宋_GB2312" w:cs="Times New Roman"/>
                <w:snapToGrid w:val="0"/>
                <w:color w:val="auto"/>
                <w:kern w:val="0"/>
                <w:sz w:val="24"/>
                <w:szCs w:val="24"/>
              </w:rPr>
              <w:t>分，每有一项缺项的扣10分，每有一处内容不完整或有缺陷或与项目不匹配的扣1分，扣完为止。</w:t>
            </w:r>
          </w:p>
          <w:p w14:paraId="04414CBE">
            <w:pPr>
              <w:pStyle w:val="3"/>
              <w:keepNext w:val="0"/>
              <w:keepLines w:val="0"/>
              <w:pageBreakBefore w:val="0"/>
              <w:widowControl w:val="0"/>
              <w:kinsoku/>
              <w:wordWrap/>
              <w:overflowPunct/>
              <w:topLinePunct w:val="0"/>
              <w:autoSpaceDE/>
              <w:autoSpaceDN/>
              <w:bidi w:val="0"/>
              <w:spacing w:line="340" w:lineRule="exact"/>
              <w:ind w:left="0" w:leftChars="0" w:firstLine="0" w:firstLineChars="0"/>
              <w:rPr>
                <w:rFonts w:hint="default" w:ascii="Times New Roman" w:hAnsi="Times New Roman" w:cs="Times New Roman"/>
                <w:lang w:eastAsia="zh-CN"/>
              </w:rPr>
            </w:pPr>
            <w:r>
              <w:rPr>
                <w:rFonts w:hint="default" w:ascii="Times New Roman" w:hAnsi="Times New Roman" w:eastAsia="楷体_GB2312" w:cs="Times New Roman"/>
                <w:b w:val="0"/>
                <w:bCs/>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tr w14:paraId="388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1449" w:type="dxa"/>
            <w:vMerge w:val="continue"/>
            <w:vAlign w:val="center"/>
          </w:tcPr>
          <w:p w14:paraId="4B38B1C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p>
        </w:tc>
        <w:tc>
          <w:tcPr>
            <w:tcW w:w="850" w:type="dxa"/>
            <w:vMerge w:val="continue"/>
            <w:vAlign w:val="center"/>
          </w:tcPr>
          <w:p w14:paraId="4671B04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center"/>
              <w:rPr>
                <w:rFonts w:hint="default" w:ascii="Times New Roman" w:hAnsi="Times New Roman" w:eastAsia="仿宋_GB2312" w:cs="Times New Roman"/>
                <w:snapToGrid w:val="0"/>
                <w:color w:val="auto"/>
                <w:kern w:val="0"/>
                <w:sz w:val="24"/>
                <w:szCs w:val="24"/>
              </w:rPr>
            </w:pPr>
          </w:p>
        </w:tc>
        <w:tc>
          <w:tcPr>
            <w:tcW w:w="8156" w:type="dxa"/>
            <w:vAlign w:val="center"/>
          </w:tcPr>
          <w:p w14:paraId="7CA37720">
            <w:pPr>
              <w:pStyle w:val="2"/>
              <w:keepNext w:val="0"/>
              <w:keepLines w:val="0"/>
              <w:pageBreakBefore w:val="0"/>
              <w:widowControl w:val="0"/>
              <w:kinsoku/>
              <w:wordWrap/>
              <w:overflowPunct/>
              <w:topLinePunct w:val="0"/>
              <w:autoSpaceDE/>
              <w:autoSpaceDN/>
              <w:bidi w:val="0"/>
              <w:spacing w:after="0" w:line="340" w:lineRule="exact"/>
              <w:rPr>
                <w:rFonts w:hint="default" w:ascii="Times New Roman" w:hAnsi="Times New Roman" w:eastAsia="仿宋_GB2312" w:cs="Times New Roman"/>
                <w:snapToGrid w:val="0"/>
                <w:color w:val="auto"/>
                <w:kern w:val="0"/>
                <w:sz w:val="24"/>
                <w:szCs w:val="24"/>
                <w:lang w:eastAsia="zh-CN"/>
              </w:rPr>
            </w:pPr>
            <w:r>
              <w:rPr>
                <w:rFonts w:hint="default" w:ascii="Times New Roman" w:hAnsi="Times New Roman" w:eastAsia="仿宋_GB2312" w:cs="Times New Roman"/>
                <w:snapToGrid w:val="0"/>
                <w:color w:val="auto"/>
                <w:kern w:val="0"/>
                <w:sz w:val="24"/>
                <w:szCs w:val="24"/>
              </w:rPr>
              <w:t>2.项目质量保障与组织方案</w:t>
            </w:r>
            <w:r>
              <w:rPr>
                <w:rFonts w:hint="default" w:ascii="Times New Roman" w:hAnsi="Times New Roman" w:eastAsia="仿宋_GB2312" w:cs="Times New Roman"/>
                <w:snapToGrid w:val="0"/>
                <w:color w:val="auto"/>
                <w:kern w:val="0"/>
                <w:sz w:val="24"/>
                <w:szCs w:val="24"/>
                <w:lang w:eastAsia="zh-CN"/>
              </w:rPr>
              <w:t>（</w:t>
            </w:r>
            <w:r>
              <w:rPr>
                <w:rFonts w:hint="default" w:ascii="Times New Roman" w:hAnsi="Times New Roman" w:eastAsia="仿宋_GB2312" w:cs="Times New Roman"/>
                <w:snapToGrid w:val="0"/>
                <w:color w:val="auto"/>
                <w:kern w:val="0"/>
                <w:sz w:val="24"/>
                <w:szCs w:val="24"/>
              </w:rPr>
              <w:t>20分</w:t>
            </w:r>
            <w:r>
              <w:rPr>
                <w:rFonts w:hint="default" w:ascii="Times New Roman" w:hAnsi="Times New Roman" w:eastAsia="仿宋_GB2312" w:cs="Times New Roman"/>
                <w:snapToGrid w:val="0"/>
                <w:color w:val="auto"/>
                <w:kern w:val="0"/>
                <w:sz w:val="24"/>
                <w:szCs w:val="24"/>
                <w:lang w:eastAsia="zh-CN"/>
              </w:rPr>
              <w:t>）</w:t>
            </w:r>
          </w:p>
          <w:p w14:paraId="1CB9BE1A">
            <w:pPr>
              <w:pStyle w:val="2"/>
              <w:keepNext w:val="0"/>
              <w:keepLines w:val="0"/>
              <w:pageBreakBefore w:val="0"/>
              <w:widowControl w:val="0"/>
              <w:kinsoku/>
              <w:wordWrap/>
              <w:overflowPunct/>
              <w:topLinePunct w:val="0"/>
              <w:autoSpaceDE/>
              <w:autoSpaceDN/>
              <w:bidi w:val="0"/>
              <w:spacing w:after="0" w:line="340" w:lineRule="exact"/>
              <w:rPr>
                <w:rFonts w:hint="default" w:ascii="Times New Roman" w:hAnsi="Times New Roman" w:eastAsia="仿宋_GB2312" w:cs="Times New Roman"/>
                <w:snapToGrid w:val="0"/>
                <w:color w:val="auto"/>
                <w:kern w:val="0"/>
                <w:sz w:val="24"/>
                <w:szCs w:val="24"/>
              </w:rPr>
            </w:pPr>
            <w:r>
              <w:rPr>
                <w:rFonts w:hint="default" w:ascii="Times New Roman" w:hAnsi="Times New Roman" w:eastAsia="仿宋_GB2312" w:cs="Times New Roman"/>
                <w:snapToGrid w:val="0"/>
                <w:color w:val="auto"/>
                <w:kern w:val="0"/>
                <w:sz w:val="24"/>
                <w:szCs w:val="24"/>
              </w:rPr>
              <w:t>需对采购人提出的服务内容、服务要求提供项目质量保障与组织方案，方案应主要包括 ①项目人员安排、②进度计划、③沟通机制、④质量保障与风险控制措施四项内容。准确响应要求的得</w:t>
            </w:r>
            <w:r>
              <w:rPr>
                <w:rFonts w:hint="default" w:ascii="Times New Roman" w:hAnsi="Times New Roman" w:eastAsia="仿宋_GB2312" w:cs="Times New Roman"/>
                <w:snapToGrid w:val="0"/>
                <w:color w:val="auto"/>
                <w:kern w:val="0"/>
                <w:sz w:val="24"/>
                <w:szCs w:val="24"/>
                <w:lang w:val="en-US" w:eastAsia="zh-CN"/>
              </w:rPr>
              <w:t>20</w:t>
            </w:r>
            <w:r>
              <w:rPr>
                <w:rFonts w:hint="default" w:ascii="Times New Roman" w:hAnsi="Times New Roman" w:eastAsia="仿宋_GB2312" w:cs="Times New Roman"/>
                <w:snapToGrid w:val="0"/>
                <w:color w:val="auto"/>
                <w:kern w:val="0"/>
                <w:sz w:val="24"/>
                <w:szCs w:val="24"/>
              </w:rPr>
              <w:t>分，每有一项缺项的扣5分，每有一处内容不完整或有缺陷或与项目不匹配的扣1分，扣完为止。</w:t>
            </w:r>
          </w:p>
          <w:p w14:paraId="61830B96">
            <w:pPr>
              <w:pStyle w:val="3"/>
              <w:keepNext w:val="0"/>
              <w:keepLines w:val="0"/>
              <w:pageBreakBefore w:val="0"/>
              <w:widowControl w:val="0"/>
              <w:kinsoku/>
              <w:wordWrap/>
              <w:overflowPunct/>
              <w:topLinePunct w:val="0"/>
              <w:autoSpaceDE/>
              <w:autoSpaceDN/>
              <w:bidi w:val="0"/>
              <w:spacing w:line="340" w:lineRule="exact"/>
              <w:ind w:left="0" w:leftChars="0" w:firstLine="0" w:firstLineChars="0"/>
              <w:rPr>
                <w:rFonts w:hint="default" w:ascii="Times New Roman" w:hAnsi="Times New Roman" w:cs="Times New Roman"/>
              </w:rPr>
            </w:pPr>
            <w:r>
              <w:rPr>
                <w:rFonts w:hint="default" w:ascii="Times New Roman" w:hAnsi="Times New Roman" w:eastAsia="楷体_GB2312" w:cs="Times New Roman"/>
                <w:b w:val="0"/>
                <w:bCs/>
                <w:snapToGrid/>
                <w:color w:val="auto"/>
                <w:kern w:val="2"/>
                <w:sz w:val="24"/>
                <w:szCs w:val="24"/>
              </w:rPr>
              <w:t>说明：内容不完整或有缺陷或与项目不匹配是指：非专门针对本项目或不适用项目特性的情形、内容不完整或缺少关键节点、套用其他项目方案、内容前后矛盾、不利于项目实施、不可能实现的情形等任意一种情形。</w:t>
            </w:r>
          </w:p>
        </w:tc>
      </w:tr>
    </w:tbl>
    <w:p w14:paraId="43E4E849">
      <w:pPr>
        <w:rPr>
          <w:rFonts w:hint="eastAsia" w:ascii="仿宋_GB2312" w:hAnsi="仿宋_GB2312" w:eastAsia="仿宋_GB2312" w:cs="仿宋_GB2312"/>
          <w:sz w:val="24"/>
        </w:rPr>
      </w:pPr>
      <w:r>
        <w:rPr>
          <w:rFonts w:hint="eastAsia" w:ascii="仿宋_GB2312" w:hAnsi="仿宋_GB2312" w:eastAsia="仿宋_GB2312" w:cs="仿宋_GB2312"/>
          <w:sz w:val="24"/>
        </w:rPr>
        <w:t>注： 评分的取值按四舍五入法，保留小数点后两位。</w:t>
      </w:r>
    </w:p>
    <w:p w14:paraId="43801713">
      <w:pPr>
        <w:pStyle w:val="54"/>
      </w:pPr>
    </w:p>
    <w:p w14:paraId="3ADE451E">
      <w:pPr>
        <w:pStyle w:val="54"/>
        <w:ind w:left="0" w:leftChars="0" w:firstLine="0" w:firstLineChars="0"/>
      </w:pPr>
    </w:p>
    <w:p w14:paraId="468B8E2A">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26306FB3">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24D94C2E">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194851FE">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2B35B7CE">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3A6BE0B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1A17589F">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13C53C89">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7D21E5B4">
      <w:pPr>
        <w:pStyle w:val="2"/>
      </w:pPr>
    </w:p>
    <w:p w14:paraId="37CC1B70">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683CBCDD">
      <w:pPr>
        <w:pStyle w:val="2"/>
      </w:pPr>
    </w:p>
    <w:p w14:paraId="4CB3FD0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r>
        <w:rPr>
          <w:rFonts w:ascii="华文细黑" w:hAnsi="华文细黑" w:eastAsia="华文细黑"/>
          <w:b/>
          <w:bCs/>
          <w:color w:val="000000" w:themeColor="text1"/>
          <w:sz w:val="24"/>
          <w14:textFill>
            <w14:solidFill>
              <w14:schemeClr w14:val="tx1"/>
            </w14:solidFill>
          </w14:textFill>
        </w:rPr>
        <w:t>3.</w:t>
      </w:r>
      <w:r>
        <w:rPr>
          <w:rFonts w:hint="eastAsia" w:ascii="华文细黑" w:hAnsi="华文细黑" w:eastAsia="华文细黑"/>
          <w:b/>
          <w:bCs/>
          <w:color w:val="000000" w:themeColor="text1"/>
          <w:sz w:val="24"/>
          <w:lang w:val="en-US" w:eastAsia="zh-CN"/>
          <w14:textFill>
            <w14:solidFill>
              <w14:schemeClr w14:val="tx1"/>
            </w14:solidFill>
          </w14:textFill>
        </w:rPr>
        <w:t>3</w:t>
      </w:r>
      <w:r>
        <w:rPr>
          <w:rFonts w:ascii="华文细黑" w:hAnsi="华文细黑" w:eastAsia="华文细黑"/>
          <w:b/>
          <w:bCs/>
          <w:color w:val="000000" w:themeColor="text1"/>
          <w:sz w:val="24"/>
          <w14:textFill>
            <w14:solidFill>
              <w14:schemeClr w14:val="tx1"/>
            </w14:solidFill>
          </w14:textFill>
        </w:rPr>
        <w:t xml:space="preserve">  </w:t>
      </w:r>
      <w:bookmarkStart w:id="82" w:name="_Toc227057968"/>
      <w:bookmarkStart w:id="83" w:name="_Toc107822560"/>
      <w:bookmarkStart w:id="84" w:name="_Toc226969362"/>
      <w:bookmarkStart w:id="85" w:name="_Toc488655909"/>
      <w:r>
        <w:rPr>
          <w:rFonts w:hint="eastAsia" w:ascii="华文细黑" w:hAnsi="华文细黑" w:eastAsia="华文细黑"/>
          <w:b/>
          <w:bCs/>
          <w:color w:val="000000" w:themeColor="text1"/>
          <w:sz w:val="24"/>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267B0631">
      <w:pPr>
        <w:pageBreakBefore w:val="0"/>
        <w:kinsoku/>
        <w:wordWrap/>
        <w:overflowPunct/>
        <w:topLinePunct w:val="0"/>
        <w:bidi w:val="0"/>
        <w:spacing w:line="540" w:lineRule="exact"/>
        <w:ind w:left="0" w:leftChars="0" w:right="0"/>
        <w:jc w:val="center"/>
        <w:textAlignment w:val="auto"/>
        <w:rPr>
          <w:rFonts w:hint="eastAsia"/>
          <w:b/>
          <w:color w:val="000000" w:themeColor="text1"/>
          <w:sz w:val="32"/>
          <w:szCs w:val="32"/>
          <w:lang w:val="en-US" w:eastAsia="zh-CN"/>
          <w14:textFill>
            <w14:solidFill>
              <w14:schemeClr w14:val="tx1"/>
            </w14:solidFill>
          </w14:textFill>
        </w:rPr>
      </w:pPr>
      <w:bookmarkStart w:id="86" w:name="_Toc527444256"/>
      <w:bookmarkStart w:id="87" w:name="_Toc516487564"/>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四川省政府政务服务和公共资源交易服务中心增值化改革优秀案例评选和汇编印制项目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5"/>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7"/>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0A66D89">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7"/>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四川省政府政务服务和公共资源交易服务中心增值化改革优秀案例评选和汇编印制</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宋体"/>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3"/>
      <w:jc w:val="center"/>
    </w:pPr>
    <w:r>
      <w:rPr>
        <w:rStyle w:val="61"/>
        <w:rFonts w:hint="eastAsia"/>
      </w:rPr>
      <w:t>第</w:t>
    </w:r>
    <w:r>
      <w:rPr>
        <w:rStyle w:val="61"/>
      </w:rPr>
      <w:fldChar w:fldCharType="begin"/>
    </w:r>
    <w:r>
      <w:rPr>
        <w:rStyle w:val="61"/>
      </w:rPr>
      <w:instrText xml:space="preserve"> PAGE </w:instrText>
    </w:r>
    <w:r>
      <w:rPr>
        <w:rStyle w:val="61"/>
      </w:rPr>
      <w:fldChar w:fldCharType="separate"/>
    </w:r>
    <w:r>
      <w:rPr>
        <w:rStyle w:val="61"/>
      </w:rPr>
      <w:t>5</w:t>
    </w:r>
    <w:r>
      <w:rPr>
        <w:rStyle w:val="61"/>
      </w:rPr>
      <w:fldChar w:fldCharType="end"/>
    </w:r>
    <w:r>
      <w:rPr>
        <w:rStyle w:val="61"/>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3"/>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360"/>
        </w:tabs>
        <w:ind w:left="360" w:hanging="360"/>
      </w:pPr>
      <w:rPr>
        <w:rFonts w:cs="Times New Roman"/>
      </w:rPr>
    </w:lvl>
  </w:abstractNum>
  <w:abstractNum w:abstractNumId="1">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2">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5">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139748A"/>
    <w:multiLevelType w:val="singleLevel"/>
    <w:tmpl w:val="7139748A"/>
    <w:lvl w:ilvl="0" w:tentative="0">
      <w:start w:val="1"/>
      <w:numFmt w:val="bullet"/>
      <w:pStyle w:val="17"/>
      <w:lvlText w:val=""/>
      <w:lvlJc w:val="left"/>
      <w:pPr>
        <w:tabs>
          <w:tab w:val="left" w:pos="785"/>
        </w:tabs>
        <w:ind w:firstLine="425"/>
      </w:pPr>
      <w:rPr>
        <w:rFonts w:hint="default" w:ascii="Wingdings" w:hAnsi="Wingdings"/>
      </w:rPr>
    </w:lvl>
  </w:abstractNum>
  <w:abstractNum w:abstractNumId="13">
    <w:nsid w:val="738038D2"/>
    <w:multiLevelType w:val="singleLevel"/>
    <w:tmpl w:val="738038D2"/>
    <w:lvl w:ilvl="0" w:tentative="0">
      <w:start w:val="2"/>
      <w:numFmt w:val="chineseCounting"/>
      <w:suff w:val="nothing"/>
      <w:lvlText w:val="（%1）"/>
      <w:lvlJc w:val="left"/>
      <w:rPr>
        <w:rFonts w:hint="eastAsia"/>
      </w:rPr>
    </w:lvl>
  </w:abstractNum>
  <w:abstractNum w:abstractNumId="14">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 w:numId="2">
    <w:abstractNumId w:val="12"/>
  </w:num>
  <w:num w:numId="3">
    <w:abstractNumId w:val="6"/>
  </w:num>
  <w:num w:numId="4">
    <w:abstractNumId w:val="14"/>
  </w:num>
  <w:num w:numId="5">
    <w:abstractNumId w:val="7"/>
  </w:num>
  <w:num w:numId="6">
    <w:abstractNumId w:val="9"/>
  </w:num>
  <w:num w:numId="7">
    <w:abstractNumId w:val="3"/>
  </w:num>
  <w:num w:numId="8">
    <w:abstractNumId w:val="8"/>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900AF3"/>
    <w:rsid w:val="0C9C06AB"/>
    <w:rsid w:val="0DC52948"/>
    <w:rsid w:val="0EA75D08"/>
    <w:rsid w:val="0F800E2D"/>
    <w:rsid w:val="0FE90B71"/>
    <w:rsid w:val="11CF41D4"/>
    <w:rsid w:val="12A272E2"/>
    <w:rsid w:val="133C2385"/>
    <w:rsid w:val="13873574"/>
    <w:rsid w:val="152C29AE"/>
    <w:rsid w:val="16A317BF"/>
    <w:rsid w:val="16C91448"/>
    <w:rsid w:val="18260D81"/>
    <w:rsid w:val="1A415B5C"/>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F1553AA"/>
    <w:rsid w:val="2F7774D9"/>
    <w:rsid w:val="35E5474C"/>
    <w:rsid w:val="372F3BCB"/>
    <w:rsid w:val="376A5A8A"/>
    <w:rsid w:val="38266265"/>
    <w:rsid w:val="38B41FE8"/>
    <w:rsid w:val="38BC1628"/>
    <w:rsid w:val="397322C1"/>
    <w:rsid w:val="3BC47B4D"/>
    <w:rsid w:val="3CD87AC7"/>
    <w:rsid w:val="3E801FE3"/>
    <w:rsid w:val="3EA843EA"/>
    <w:rsid w:val="3EB169D5"/>
    <w:rsid w:val="40116410"/>
    <w:rsid w:val="40891116"/>
    <w:rsid w:val="40E32649"/>
    <w:rsid w:val="421564CB"/>
    <w:rsid w:val="421C6C36"/>
    <w:rsid w:val="42247626"/>
    <w:rsid w:val="45135DAF"/>
    <w:rsid w:val="485B60D5"/>
    <w:rsid w:val="4A80432C"/>
    <w:rsid w:val="4BB548C0"/>
    <w:rsid w:val="4C4A055B"/>
    <w:rsid w:val="4CB17CEF"/>
    <w:rsid w:val="4DED0F2F"/>
    <w:rsid w:val="50A9305D"/>
    <w:rsid w:val="50CC6F61"/>
    <w:rsid w:val="538C0638"/>
    <w:rsid w:val="53F17237"/>
    <w:rsid w:val="54672F20"/>
    <w:rsid w:val="550E4668"/>
    <w:rsid w:val="55255EE7"/>
    <w:rsid w:val="55771238"/>
    <w:rsid w:val="58384844"/>
    <w:rsid w:val="58984118"/>
    <w:rsid w:val="5A3C527B"/>
    <w:rsid w:val="5B937C2A"/>
    <w:rsid w:val="5C822AA8"/>
    <w:rsid w:val="5DF0426A"/>
    <w:rsid w:val="5FD76F7D"/>
    <w:rsid w:val="60255E9C"/>
    <w:rsid w:val="604A08CD"/>
    <w:rsid w:val="60A5053A"/>
    <w:rsid w:val="60DB5FA6"/>
    <w:rsid w:val="61241E74"/>
    <w:rsid w:val="61585386"/>
    <w:rsid w:val="61907F8F"/>
    <w:rsid w:val="61A06F26"/>
    <w:rsid w:val="63E4197E"/>
    <w:rsid w:val="63F649C9"/>
    <w:rsid w:val="642F60C2"/>
    <w:rsid w:val="666A569F"/>
    <w:rsid w:val="67717E0E"/>
    <w:rsid w:val="68A96E42"/>
    <w:rsid w:val="6996622D"/>
    <w:rsid w:val="6A4609EB"/>
    <w:rsid w:val="6B6A6978"/>
    <w:rsid w:val="6B6C6A03"/>
    <w:rsid w:val="6CB84F1C"/>
    <w:rsid w:val="6D713B9A"/>
    <w:rsid w:val="704824EC"/>
    <w:rsid w:val="704C02B4"/>
    <w:rsid w:val="70D85181"/>
    <w:rsid w:val="720024FB"/>
    <w:rsid w:val="727F6749"/>
    <w:rsid w:val="75B10AE0"/>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5">
    <w:name w:val="heading 2"/>
    <w:basedOn w:val="1"/>
    <w:next w:val="1"/>
    <w:link w:val="70"/>
    <w:qFormat/>
    <w:uiPriority w:val="99"/>
    <w:pPr>
      <w:keepNext/>
      <w:keepLines/>
      <w:spacing w:before="260" w:after="260" w:line="416" w:lineRule="auto"/>
      <w:outlineLvl w:val="1"/>
    </w:pPr>
    <w:rPr>
      <w:rFonts w:ascii="Arial" w:hAnsi="Arial" w:eastAsia="黑体"/>
      <w:bCs/>
      <w:sz w:val="28"/>
      <w:szCs w:val="32"/>
    </w:rPr>
  </w:style>
  <w:style w:type="paragraph" w:styleId="6">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72"/>
    <w:qFormat/>
    <w:uiPriority w:val="99"/>
    <w:pPr>
      <w:keepNext/>
      <w:outlineLvl w:val="3"/>
    </w:pPr>
    <w:rPr>
      <w:sz w:val="28"/>
      <w:szCs w:val="20"/>
    </w:rPr>
  </w:style>
  <w:style w:type="paragraph" w:styleId="8">
    <w:name w:val="heading 5"/>
    <w:basedOn w:val="1"/>
    <w:next w:val="1"/>
    <w:link w:val="73"/>
    <w:qFormat/>
    <w:uiPriority w:val="99"/>
    <w:pPr>
      <w:keepNext/>
      <w:keepLines/>
      <w:spacing w:before="280" w:after="290" w:line="376" w:lineRule="auto"/>
      <w:outlineLvl w:val="4"/>
    </w:pPr>
    <w:rPr>
      <w:b/>
      <w:bCs/>
      <w:sz w:val="28"/>
      <w:szCs w:val="28"/>
    </w:rPr>
  </w:style>
  <w:style w:type="paragraph" w:styleId="9">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10">
    <w:name w:val="heading 7"/>
    <w:basedOn w:val="1"/>
    <w:next w:val="1"/>
    <w:link w:val="75"/>
    <w:qFormat/>
    <w:uiPriority w:val="99"/>
    <w:pPr>
      <w:keepNext/>
      <w:keepLines/>
      <w:spacing w:before="240" w:after="64" w:line="320" w:lineRule="auto"/>
      <w:outlineLvl w:val="6"/>
    </w:pPr>
    <w:rPr>
      <w:b/>
      <w:bCs/>
      <w:sz w:val="24"/>
    </w:rPr>
  </w:style>
  <w:style w:type="paragraph" w:styleId="11">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2">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59">
    <w:name w:val="Default Paragraph Font"/>
    <w:semiHidden/>
    <w:qFormat/>
    <w:uiPriority w:val="99"/>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8"/>
    <w:qFormat/>
    <w:uiPriority w:val="99"/>
    <w:rPr>
      <w:sz w:val="28"/>
      <w:szCs w:val="20"/>
    </w:rPr>
  </w:style>
  <w:style w:type="paragraph" w:styleId="3">
    <w:name w:val="index 8"/>
    <w:basedOn w:val="1"/>
    <w:next w:val="1"/>
    <w:qFormat/>
    <w:locked/>
    <w:uiPriority w:val="0"/>
    <w:pPr>
      <w:ind w:left="2940"/>
    </w:pPr>
  </w:style>
  <w:style w:type="paragraph" w:styleId="13">
    <w:name w:val="toc 7"/>
    <w:basedOn w:val="1"/>
    <w:next w:val="1"/>
    <w:qFormat/>
    <w:uiPriority w:val="99"/>
    <w:pPr>
      <w:ind w:left="2520" w:leftChars="1200"/>
    </w:pPr>
    <w:rPr>
      <w:rFonts w:ascii="Calibri" w:hAnsi="Calibri"/>
      <w:szCs w:val="22"/>
    </w:rPr>
  </w:style>
  <w:style w:type="paragraph" w:styleId="14">
    <w:name w:val="List Number"/>
    <w:basedOn w:val="1"/>
    <w:qFormat/>
    <w:uiPriority w:val="99"/>
    <w:pPr>
      <w:numPr>
        <w:ilvl w:val="0"/>
        <w:numId w:val="1"/>
      </w:numPr>
      <w:spacing w:line="360" w:lineRule="auto"/>
      <w:ind w:hangingChars="200"/>
    </w:pPr>
    <w:rPr>
      <w:sz w:val="24"/>
    </w:rPr>
  </w:style>
  <w:style w:type="paragraph" w:styleId="15">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99"/>
    <w:pPr>
      <w:widowControl/>
      <w:spacing w:before="120" w:after="120"/>
      <w:jc w:val="center"/>
    </w:pPr>
    <w:rPr>
      <w:rFonts w:ascii="Calibri" w:hAnsi="Calibri"/>
      <w:b/>
      <w:kern w:val="0"/>
      <w:sz w:val="24"/>
      <w:lang w:eastAsia="en-US"/>
    </w:rPr>
  </w:style>
  <w:style w:type="paragraph" w:styleId="17">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8">
    <w:name w:val="Document Map"/>
    <w:basedOn w:val="1"/>
    <w:link w:val="80"/>
    <w:qFormat/>
    <w:uiPriority w:val="99"/>
    <w:rPr>
      <w:rFonts w:ascii="宋体"/>
      <w:sz w:val="18"/>
      <w:szCs w:val="18"/>
    </w:rPr>
  </w:style>
  <w:style w:type="paragraph" w:styleId="19">
    <w:name w:val="annotation text"/>
    <w:basedOn w:val="1"/>
    <w:link w:val="81"/>
    <w:qFormat/>
    <w:uiPriority w:val="99"/>
    <w:pPr>
      <w:jc w:val="left"/>
    </w:pPr>
    <w:rPr>
      <w:szCs w:val="20"/>
    </w:rPr>
  </w:style>
  <w:style w:type="paragraph" w:styleId="20">
    <w:name w:val="Salutation"/>
    <w:basedOn w:val="1"/>
    <w:next w:val="1"/>
    <w:qFormat/>
    <w:uiPriority w:val="0"/>
    <w:rPr>
      <w:rFonts w:ascii="Times New Roman" w:hAnsi="Times New Roman"/>
    </w:rPr>
  </w:style>
  <w:style w:type="paragraph" w:styleId="21">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2">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2"/>
    <w:basedOn w:val="1"/>
    <w:qFormat/>
    <w:uiPriority w:val="99"/>
    <w:pPr>
      <w:ind w:left="100" w:leftChars="200" w:hanging="200" w:hangingChars="200"/>
    </w:pPr>
  </w:style>
  <w:style w:type="paragraph" w:styleId="24">
    <w:name w:val="List Bullet 2"/>
    <w:basedOn w:val="1"/>
    <w:qFormat/>
    <w:uiPriority w:val="99"/>
    <w:pPr>
      <w:spacing w:line="324" w:lineRule="auto"/>
      <w:ind w:left="840" w:hanging="420"/>
    </w:pPr>
  </w:style>
  <w:style w:type="paragraph" w:styleId="25">
    <w:name w:val="toc 5"/>
    <w:basedOn w:val="1"/>
    <w:next w:val="1"/>
    <w:qFormat/>
    <w:uiPriority w:val="99"/>
    <w:pPr>
      <w:ind w:left="1680" w:leftChars="800"/>
    </w:pPr>
    <w:rPr>
      <w:rFonts w:ascii="Calibri" w:hAnsi="Calibri"/>
      <w:szCs w:val="22"/>
    </w:rPr>
  </w:style>
  <w:style w:type="paragraph" w:styleId="26">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7">
    <w:name w:val="Plain Text"/>
    <w:basedOn w:val="1"/>
    <w:link w:val="84"/>
    <w:qFormat/>
    <w:uiPriority w:val="99"/>
    <w:rPr>
      <w:rFonts w:ascii="宋体" w:hAnsi="Courier New"/>
      <w:szCs w:val="20"/>
    </w:rPr>
  </w:style>
  <w:style w:type="paragraph" w:styleId="28">
    <w:name w:val="toc 8"/>
    <w:basedOn w:val="1"/>
    <w:next w:val="1"/>
    <w:qFormat/>
    <w:uiPriority w:val="99"/>
    <w:pPr>
      <w:ind w:left="2940" w:leftChars="1400"/>
    </w:pPr>
    <w:rPr>
      <w:rFonts w:ascii="Calibri" w:hAnsi="Calibri"/>
      <w:szCs w:val="22"/>
    </w:rPr>
  </w:style>
  <w:style w:type="paragraph" w:styleId="29">
    <w:name w:val="Date"/>
    <w:basedOn w:val="1"/>
    <w:next w:val="1"/>
    <w:link w:val="85"/>
    <w:qFormat/>
    <w:uiPriority w:val="99"/>
    <w:pPr>
      <w:ind w:left="100" w:leftChars="2500"/>
    </w:pPr>
    <w:rPr>
      <w:szCs w:val="20"/>
    </w:rPr>
  </w:style>
  <w:style w:type="paragraph" w:styleId="30">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1">
    <w:name w:val="List Continue 5"/>
    <w:basedOn w:val="1"/>
    <w:qFormat/>
    <w:uiPriority w:val="99"/>
    <w:pPr>
      <w:adjustRightInd w:val="0"/>
      <w:spacing w:after="120" w:line="312" w:lineRule="atLeast"/>
      <w:ind w:left="2100"/>
      <w:textAlignment w:val="baseline"/>
    </w:pPr>
    <w:rPr>
      <w:kern w:val="0"/>
      <w:szCs w:val="20"/>
    </w:rPr>
  </w:style>
  <w:style w:type="paragraph" w:styleId="32">
    <w:name w:val="Balloon Text"/>
    <w:basedOn w:val="1"/>
    <w:link w:val="87"/>
    <w:qFormat/>
    <w:uiPriority w:val="99"/>
    <w:rPr>
      <w:sz w:val="18"/>
      <w:szCs w:val="18"/>
    </w:rPr>
  </w:style>
  <w:style w:type="paragraph" w:styleId="33">
    <w:name w:val="footer"/>
    <w:basedOn w:val="1"/>
    <w:link w:val="88"/>
    <w:qFormat/>
    <w:uiPriority w:val="99"/>
    <w:pPr>
      <w:tabs>
        <w:tab w:val="center" w:pos="4153"/>
        <w:tab w:val="right" w:pos="8306"/>
      </w:tabs>
      <w:snapToGrid w:val="0"/>
      <w:jc w:val="left"/>
    </w:pPr>
    <w:rPr>
      <w:sz w:val="18"/>
      <w:szCs w:val="18"/>
    </w:rPr>
  </w:style>
  <w:style w:type="paragraph" w:styleId="34">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6">
    <w:name w:val="toc 4"/>
    <w:basedOn w:val="1"/>
    <w:next w:val="1"/>
    <w:qFormat/>
    <w:uiPriority w:val="99"/>
    <w:pPr>
      <w:ind w:left="1260" w:leftChars="600"/>
    </w:pPr>
    <w:rPr>
      <w:rFonts w:ascii="Calibri" w:hAnsi="Calibri"/>
      <w:szCs w:val="22"/>
    </w:rPr>
  </w:style>
  <w:style w:type="paragraph" w:styleId="37">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8">
    <w:name w:val="List"/>
    <w:basedOn w:val="1"/>
    <w:qFormat/>
    <w:uiPriority w:val="99"/>
    <w:pPr>
      <w:ind w:left="200" w:hanging="200" w:hangingChars="200"/>
    </w:pPr>
  </w:style>
  <w:style w:type="paragraph" w:styleId="39">
    <w:name w:val="footnote text"/>
    <w:basedOn w:val="1"/>
    <w:link w:val="91"/>
    <w:qFormat/>
    <w:uiPriority w:val="99"/>
    <w:pPr>
      <w:snapToGrid w:val="0"/>
      <w:jc w:val="left"/>
    </w:pPr>
    <w:rPr>
      <w:sz w:val="18"/>
      <w:szCs w:val="18"/>
    </w:rPr>
  </w:style>
  <w:style w:type="paragraph" w:styleId="40">
    <w:name w:val="toc 6"/>
    <w:basedOn w:val="1"/>
    <w:next w:val="1"/>
    <w:qFormat/>
    <w:uiPriority w:val="99"/>
    <w:pPr>
      <w:ind w:left="2100" w:leftChars="1000"/>
    </w:pPr>
    <w:rPr>
      <w:rFonts w:ascii="Calibri" w:hAnsi="Calibri"/>
      <w:szCs w:val="22"/>
    </w:rPr>
  </w:style>
  <w:style w:type="paragraph" w:styleId="41">
    <w:name w:val="List 5"/>
    <w:basedOn w:val="1"/>
    <w:qFormat/>
    <w:uiPriority w:val="99"/>
    <w:pPr>
      <w:ind w:left="100" w:leftChars="800" w:hanging="200" w:hangingChars="200"/>
      <w:contextualSpacing/>
    </w:pPr>
  </w:style>
  <w:style w:type="paragraph" w:styleId="42">
    <w:name w:val="Body Text Indent 3"/>
    <w:basedOn w:val="1"/>
    <w:link w:val="92"/>
    <w:qFormat/>
    <w:uiPriority w:val="99"/>
    <w:pPr>
      <w:spacing w:after="120" w:line="360" w:lineRule="atLeast"/>
      <w:ind w:firstLine="720" w:firstLineChars="300"/>
    </w:pPr>
    <w:rPr>
      <w:sz w:val="24"/>
      <w:szCs w:val="20"/>
    </w:rPr>
  </w:style>
  <w:style w:type="paragraph" w:styleId="43">
    <w:name w:val="table of figures"/>
    <w:basedOn w:val="1"/>
    <w:next w:val="1"/>
    <w:qFormat/>
    <w:uiPriority w:val="99"/>
    <w:pPr>
      <w:ind w:left="200" w:leftChars="200" w:hanging="200" w:hangingChars="200"/>
    </w:pPr>
  </w:style>
  <w:style w:type="paragraph" w:styleId="44">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5">
    <w:name w:val="toc 9"/>
    <w:basedOn w:val="1"/>
    <w:next w:val="1"/>
    <w:qFormat/>
    <w:uiPriority w:val="99"/>
    <w:pPr>
      <w:ind w:left="3360" w:leftChars="1600"/>
    </w:pPr>
    <w:rPr>
      <w:rFonts w:ascii="Calibri" w:hAnsi="Calibri"/>
      <w:szCs w:val="22"/>
    </w:rPr>
  </w:style>
  <w:style w:type="paragraph" w:styleId="46">
    <w:name w:val="Body Text 2"/>
    <w:basedOn w:val="1"/>
    <w:link w:val="93"/>
    <w:qFormat/>
    <w:uiPriority w:val="99"/>
    <w:pPr>
      <w:spacing w:after="120" w:line="480" w:lineRule="auto"/>
    </w:pPr>
  </w:style>
  <w:style w:type="paragraph" w:styleId="47">
    <w:name w:val="List 4"/>
    <w:basedOn w:val="1"/>
    <w:qFormat/>
    <w:uiPriority w:val="99"/>
    <w:pPr>
      <w:adjustRightInd w:val="0"/>
      <w:spacing w:line="312" w:lineRule="atLeast"/>
      <w:ind w:left="1680" w:hanging="420"/>
      <w:textAlignment w:val="baseline"/>
    </w:pPr>
    <w:rPr>
      <w:kern w:val="0"/>
      <w:szCs w:val="20"/>
    </w:rPr>
  </w:style>
  <w:style w:type="paragraph" w:styleId="48">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9">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0">
    <w:name w:val="index 1"/>
    <w:basedOn w:val="1"/>
    <w:next w:val="1"/>
    <w:semiHidden/>
    <w:qFormat/>
    <w:uiPriority w:val="99"/>
    <w:pPr>
      <w:widowControl/>
      <w:jc w:val="left"/>
    </w:pPr>
    <w:rPr>
      <w:rFonts w:ascii="Calibri" w:hAnsi="Calibri"/>
      <w:kern w:val="0"/>
      <w:sz w:val="24"/>
      <w:szCs w:val="20"/>
      <w:lang w:eastAsia="en-US"/>
    </w:rPr>
  </w:style>
  <w:style w:type="paragraph" w:styleId="51">
    <w:name w:val="Title"/>
    <w:basedOn w:val="1"/>
    <w:next w:val="1"/>
    <w:link w:val="95"/>
    <w:qFormat/>
    <w:uiPriority w:val="99"/>
    <w:pPr>
      <w:spacing w:before="240" w:after="60"/>
      <w:jc w:val="center"/>
      <w:outlineLvl w:val="0"/>
    </w:pPr>
    <w:rPr>
      <w:rFonts w:ascii="Cambria" w:hAnsi="Cambria"/>
      <w:b/>
      <w:bCs/>
      <w:sz w:val="32"/>
      <w:szCs w:val="32"/>
    </w:rPr>
  </w:style>
  <w:style w:type="paragraph" w:styleId="52">
    <w:name w:val="annotation subject"/>
    <w:basedOn w:val="19"/>
    <w:next w:val="19"/>
    <w:link w:val="96"/>
    <w:qFormat/>
    <w:uiPriority w:val="99"/>
    <w:rPr>
      <w:b/>
      <w:bCs/>
    </w:rPr>
  </w:style>
  <w:style w:type="paragraph" w:styleId="53">
    <w:name w:val="Body Text First Indent"/>
    <w:basedOn w:val="2"/>
    <w:next w:val="54"/>
    <w:link w:val="79"/>
    <w:qFormat/>
    <w:uiPriority w:val="99"/>
    <w:pPr>
      <w:spacing w:after="120"/>
      <w:ind w:firstLine="420" w:firstLineChars="100"/>
    </w:pPr>
    <w:rPr>
      <w:sz w:val="21"/>
      <w:szCs w:val="24"/>
    </w:rPr>
  </w:style>
  <w:style w:type="paragraph" w:customStyle="1" w:styleId="54">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5">
    <w:name w:val="Body Text First Indent 2"/>
    <w:basedOn w:val="22"/>
    <w:link w:val="97"/>
    <w:qFormat/>
    <w:uiPriority w:val="99"/>
    <w:pPr>
      <w:autoSpaceDE/>
      <w:autoSpaceDN/>
      <w:spacing w:line="312" w:lineRule="atLeast"/>
      <w:ind w:left="0" w:firstLine="210"/>
      <w:textAlignment w:val="baseline"/>
    </w:pPr>
    <w:rPr>
      <w:kern w:val="2"/>
      <w:sz w:val="21"/>
      <w:szCs w:val="24"/>
    </w:rPr>
  </w:style>
  <w:style w:type="table" w:styleId="57">
    <w:name w:val="Table Grid"/>
    <w:basedOn w:val="5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Theme"/>
    <w:basedOn w:val="5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99"/>
    <w:rPr>
      <w:rFonts w:cs="Times New Roman"/>
      <w:b/>
    </w:rPr>
  </w:style>
  <w:style w:type="character" w:styleId="61">
    <w:name w:val="page number"/>
    <w:basedOn w:val="59"/>
    <w:qFormat/>
    <w:uiPriority w:val="99"/>
    <w:rPr>
      <w:rFonts w:cs="Times New Roman"/>
    </w:rPr>
  </w:style>
  <w:style w:type="character" w:styleId="62">
    <w:name w:val="FollowedHyperlink"/>
    <w:basedOn w:val="59"/>
    <w:qFormat/>
    <w:uiPriority w:val="99"/>
    <w:rPr>
      <w:rFonts w:cs="Times New Roman"/>
      <w:color w:val="800080"/>
      <w:u w:val="single"/>
    </w:rPr>
  </w:style>
  <w:style w:type="character" w:styleId="63">
    <w:name w:val="Emphasis"/>
    <w:basedOn w:val="59"/>
    <w:qFormat/>
    <w:uiPriority w:val="99"/>
    <w:rPr>
      <w:rFonts w:ascii="Calibri" w:hAnsi="Calibri" w:eastAsia="宋体" w:cs="Times New Roman"/>
      <w:b/>
      <w:i/>
      <w:kern w:val="2"/>
      <w:sz w:val="24"/>
      <w:lang w:val="en-US" w:eastAsia="zh-CN"/>
    </w:rPr>
  </w:style>
  <w:style w:type="character" w:styleId="64">
    <w:name w:val="HTML Typewriter"/>
    <w:basedOn w:val="59"/>
    <w:qFormat/>
    <w:uiPriority w:val="99"/>
    <w:rPr>
      <w:rFonts w:ascii="宋体" w:hAnsi="宋体" w:eastAsia="宋体" w:cs="Times New Roman"/>
      <w:sz w:val="24"/>
    </w:rPr>
  </w:style>
  <w:style w:type="character" w:styleId="65">
    <w:name w:val="Hyperlink"/>
    <w:basedOn w:val="59"/>
    <w:qFormat/>
    <w:uiPriority w:val="99"/>
    <w:rPr>
      <w:rFonts w:cs="Times New Roman"/>
      <w:color w:val="0000FF"/>
      <w:u w:val="single"/>
    </w:rPr>
  </w:style>
  <w:style w:type="character" w:styleId="66">
    <w:name w:val="annotation reference"/>
    <w:basedOn w:val="59"/>
    <w:qFormat/>
    <w:uiPriority w:val="99"/>
    <w:rPr>
      <w:rFonts w:cs="Times New Roman"/>
      <w:sz w:val="21"/>
    </w:rPr>
  </w:style>
  <w:style w:type="character" w:styleId="67">
    <w:name w:val="footnote reference"/>
    <w:basedOn w:val="59"/>
    <w:qFormat/>
    <w:uiPriority w:val="99"/>
    <w:rPr>
      <w:rFonts w:cs="Times New Roman"/>
      <w:vertAlign w:val="superscript"/>
    </w:rPr>
  </w:style>
  <w:style w:type="paragraph" w:customStyle="1" w:styleId="68">
    <w:name w:val="正文-标"/>
    <w:basedOn w:val="1"/>
    <w:qFormat/>
    <w:uiPriority w:val="0"/>
    <w:pPr>
      <w:spacing w:line="360" w:lineRule="auto"/>
      <w:ind w:firstLine="200" w:firstLineChars="200"/>
    </w:pPr>
  </w:style>
  <w:style w:type="character" w:customStyle="1" w:styleId="69">
    <w:name w:val="Heading 1 Char"/>
    <w:basedOn w:val="59"/>
    <w:link w:val="4"/>
    <w:qFormat/>
    <w:uiPriority w:val="9"/>
    <w:rPr>
      <w:b/>
      <w:bCs/>
      <w:kern w:val="44"/>
      <w:sz w:val="44"/>
      <w:szCs w:val="44"/>
    </w:rPr>
  </w:style>
  <w:style w:type="character" w:customStyle="1" w:styleId="70">
    <w:name w:val="Heading 2 Char"/>
    <w:basedOn w:val="59"/>
    <w:link w:val="5"/>
    <w:qFormat/>
    <w:locked/>
    <w:uiPriority w:val="99"/>
    <w:rPr>
      <w:rFonts w:ascii="Arial" w:hAnsi="Arial" w:eastAsia="黑体"/>
      <w:kern w:val="2"/>
      <w:sz w:val="32"/>
    </w:rPr>
  </w:style>
  <w:style w:type="character" w:customStyle="1" w:styleId="71">
    <w:name w:val="Heading 3 Char"/>
    <w:basedOn w:val="59"/>
    <w:link w:val="6"/>
    <w:qFormat/>
    <w:locked/>
    <w:uiPriority w:val="99"/>
    <w:rPr>
      <w:rFonts w:ascii="黑体" w:eastAsia="黑体"/>
      <w:sz w:val="28"/>
    </w:rPr>
  </w:style>
  <w:style w:type="character" w:customStyle="1" w:styleId="72">
    <w:name w:val="Heading 4 Char"/>
    <w:basedOn w:val="59"/>
    <w:link w:val="7"/>
    <w:qFormat/>
    <w:locked/>
    <w:uiPriority w:val="99"/>
    <w:rPr>
      <w:kern w:val="2"/>
      <w:sz w:val="28"/>
    </w:rPr>
  </w:style>
  <w:style w:type="character" w:customStyle="1" w:styleId="73">
    <w:name w:val="Heading 5 Char"/>
    <w:basedOn w:val="59"/>
    <w:link w:val="8"/>
    <w:qFormat/>
    <w:locked/>
    <w:uiPriority w:val="99"/>
    <w:rPr>
      <w:b/>
      <w:kern w:val="2"/>
      <w:sz w:val="28"/>
    </w:rPr>
  </w:style>
  <w:style w:type="character" w:customStyle="1" w:styleId="74">
    <w:name w:val="Heading 6 Char"/>
    <w:basedOn w:val="59"/>
    <w:link w:val="9"/>
    <w:qFormat/>
    <w:locked/>
    <w:uiPriority w:val="99"/>
    <w:rPr>
      <w:rFonts w:ascii="Arial" w:hAnsi="Arial" w:eastAsia="黑体"/>
      <w:b/>
      <w:kern w:val="2"/>
      <w:sz w:val="24"/>
    </w:rPr>
  </w:style>
  <w:style w:type="character" w:customStyle="1" w:styleId="75">
    <w:name w:val="Heading 7 Char"/>
    <w:basedOn w:val="59"/>
    <w:link w:val="10"/>
    <w:qFormat/>
    <w:locked/>
    <w:uiPriority w:val="99"/>
    <w:rPr>
      <w:b/>
      <w:kern w:val="2"/>
      <w:sz w:val="24"/>
    </w:rPr>
  </w:style>
  <w:style w:type="character" w:customStyle="1" w:styleId="76">
    <w:name w:val="Heading 8 Char"/>
    <w:basedOn w:val="59"/>
    <w:link w:val="11"/>
    <w:qFormat/>
    <w:locked/>
    <w:uiPriority w:val="99"/>
    <w:rPr>
      <w:rFonts w:ascii="Arial" w:hAnsi="Arial" w:eastAsia="黑体"/>
      <w:kern w:val="2"/>
      <w:sz w:val="24"/>
    </w:rPr>
  </w:style>
  <w:style w:type="character" w:customStyle="1" w:styleId="77">
    <w:name w:val="Heading 9 Char"/>
    <w:basedOn w:val="59"/>
    <w:link w:val="12"/>
    <w:qFormat/>
    <w:locked/>
    <w:uiPriority w:val="99"/>
    <w:rPr>
      <w:rFonts w:ascii="Arial" w:hAnsi="Arial" w:eastAsia="黑体"/>
      <w:kern w:val="2"/>
      <w:sz w:val="21"/>
    </w:rPr>
  </w:style>
  <w:style w:type="character" w:customStyle="1" w:styleId="78">
    <w:name w:val="Body Text Char"/>
    <w:basedOn w:val="59"/>
    <w:link w:val="2"/>
    <w:qFormat/>
    <w:locked/>
    <w:uiPriority w:val="99"/>
    <w:rPr>
      <w:rFonts w:cs="Times New Roman"/>
      <w:kern w:val="2"/>
      <w:sz w:val="28"/>
    </w:rPr>
  </w:style>
  <w:style w:type="character" w:customStyle="1" w:styleId="79">
    <w:name w:val="Body Text First Indent Char"/>
    <w:basedOn w:val="78"/>
    <w:link w:val="53"/>
    <w:qFormat/>
    <w:locked/>
    <w:uiPriority w:val="99"/>
    <w:rPr>
      <w:sz w:val="24"/>
      <w:szCs w:val="24"/>
    </w:rPr>
  </w:style>
  <w:style w:type="character" w:customStyle="1" w:styleId="80">
    <w:name w:val="Document Map Char"/>
    <w:basedOn w:val="59"/>
    <w:link w:val="18"/>
    <w:qFormat/>
    <w:locked/>
    <w:uiPriority w:val="99"/>
    <w:rPr>
      <w:rFonts w:ascii="宋体"/>
      <w:kern w:val="2"/>
      <w:sz w:val="18"/>
    </w:rPr>
  </w:style>
  <w:style w:type="character" w:customStyle="1" w:styleId="81">
    <w:name w:val="Comment Text Char"/>
    <w:basedOn w:val="59"/>
    <w:link w:val="19"/>
    <w:qFormat/>
    <w:locked/>
    <w:uiPriority w:val="99"/>
    <w:rPr>
      <w:rFonts w:eastAsia="宋体"/>
      <w:kern w:val="2"/>
      <w:sz w:val="21"/>
      <w:lang w:val="en-US" w:eastAsia="zh-CN"/>
    </w:rPr>
  </w:style>
  <w:style w:type="character" w:customStyle="1" w:styleId="82">
    <w:name w:val="Body Text 3 Char"/>
    <w:basedOn w:val="59"/>
    <w:link w:val="21"/>
    <w:qFormat/>
    <w:locked/>
    <w:uiPriority w:val="99"/>
    <w:rPr>
      <w:rFonts w:cs="Times New Roman"/>
      <w:b/>
      <w:bCs/>
      <w:sz w:val="36"/>
    </w:rPr>
  </w:style>
  <w:style w:type="character" w:customStyle="1" w:styleId="83">
    <w:name w:val="Body Text Indent Char"/>
    <w:basedOn w:val="59"/>
    <w:link w:val="22"/>
    <w:qFormat/>
    <w:locked/>
    <w:uiPriority w:val="99"/>
    <w:rPr>
      <w:rFonts w:ascii="楷体_GB2312" w:eastAsia="楷体_GB2312" w:cs="Times New Roman"/>
      <w:sz w:val="28"/>
    </w:rPr>
  </w:style>
  <w:style w:type="character" w:customStyle="1" w:styleId="84">
    <w:name w:val="Plain Text Char"/>
    <w:basedOn w:val="59"/>
    <w:link w:val="27"/>
    <w:qFormat/>
    <w:locked/>
    <w:uiPriority w:val="99"/>
    <w:rPr>
      <w:rFonts w:ascii="宋体" w:hAnsi="Courier New"/>
      <w:kern w:val="2"/>
      <w:sz w:val="21"/>
    </w:rPr>
  </w:style>
  <w:style w:type="character" w:customStyle="1" w:styleId="85">
    <w:name w:val="Date Char"/>
    <w:basedOn w:val="59"/>
    <w:link w:val="29"/>
    <w:qFormat/>
    <w:locked/>
    <w:uiPriority w:val="99"/>
    <w:rPr>
      <w:kern w:val="2"/>
      <w:sz w:val="21"/>
    </w:rPr>
  </w:style>
  <w:style w:type="character" w:customStyle="1" w:styleId="86">
    <w:name w:val="Body Text Indent 2 Char"/>
    <w:basedOn w:val="59"/>
    <w:link w:val="30"/>
    <w:qFormat/>
    <w:locked/>
    <w:uiPriority w:val="99"/>
    <w:rPr>
      <w:rFonts w:ascii="仿宋_GB2312" w:hAnsi="宋体" w:eastAsia="仿宋_GB2312"/>
      <w:kern w:val="2"/>
      <w:sz w:val="24"/>
    </w:rPr>
  </w:style>
  <w:style w:type="character" w:customStyle="1" w:styleId="87">
    <w:name w:val="Balloon Text Char"/>
    <w:basedOn w:val="59"/>
    <w:link w:val="32"/>
    <w:qFormat/>
    <w:locked/>
    <w:uiPriority w:val="99"/>
    <w:rPr>
      <w:kern w:val="2"/>
      <w:sz w:val="18"/>
    </w:rPr>
  </w:style>
  <w:style w:type="character" w:customStyle="1" w:styleId="88">
    <w:name w:val="Footer Char"/>
    <w:basedOn w:val="59"/>
    <w:link w:val="33"/>
    <w:qFormat/>
    <w:locked/>
    <w:uiPriority w:val="99"/>
    <w:rPr>
      <w:kern w:val="2"/>
      <w:sz w:val="18"/>
    </w:rPr>
  </w:style>
  <w:style w:type="character" w:customStyle="1" w:styleId="89">
    <w:name w:val="Header Char"/>
    <w:basedOn w:val="59"/>
    <w:link w:val="34"/>
    <w:qFormat/>
    <w:locked/>
    <w:uiPriority w:val="99"/>
    <w:rPr>
      <w:kern w:val="2"/>
      <w:sz w:val="18"/>
    </w:rPr>
  </w:style>
  <w:style w:type="character" w:customStyle="1" w:styleId="90">
    <w:name w:val="Subtitle Char"/>
    <w:basedOn w:val="59"/>
    <w:link w:val="37"/>
    <w:qFormat/>
    <w:locked/>
    <w:uiPriority w:val="99"/>
    <w:rPr>
      <w:rFonts w:ascii="楷体_GB2312" w:eastAsia="楷体_GB2312"/>
      <w:sz w:val="28"/>
    </w:rPr>
  </w:style>
  <w:style w:type="character" w:customStyle="1" w:styleId="91">
    <w:name w:val="Footnote Text Char"/>
    <w:basedOn w:val="59"/>
    <w:link w:val="39"/>
    <w:qFormat/>
    <w:locked/>
    <w:uiPriority w:val="99"/>
    <w:rPr>
      <w:kern w:val="2"/>
      <w:sz w:val="18"/>
    </w:rPr>
  </w:style>
  <w:style w:type="character" w:customStyle="1" w:styleId="92">
    <w:name w:val="Body Text Indent 3 Char"/>
    <w:basedOn w:val="59"/>
    <w:link w:val="42"/>
    <w:qFormat/>
    <w:locked/>
    <w:uiPriority w:val="99"/>
    <w:rPr>
      <w:kern w:val="2"/>
      <w:sz w:val="24"/>
    </w:rPr>
  </w:style>
  <w:style w:type="character" w:customStyle="1" w:styleId="93">
    <w:name w:val="Body Text 2 Char"/>
    <w:basedOn w:val="59"/>
    <w:link w:val="46"/>
    <w:qFormat/>
    <w:locked/>
    <w:uiPriority w:val="99"/>
    <w:rPr>
      <w:kern w:val="2"/>
      <w:sz w:val="24"/>
    </w:rPr>
  </w:style>
  <w:style w:type="character" w:customStyle="1" w:styleId="94">
    <w:name w:val="HTML Preformatted Char"/>
    <w:basedOn w:val="59"/>
    <w:link w:val="48"/>
    <w:qFormat/>
    <w:locked/>
    <w:uiPriority w:val="99"/>
    <w:rPr>
      <w:rFonts w:ascii="宋体" w:eastAsia="宋体" w:cs="Times New Roman"/>
      <w:sz w:val="24"/>
      <w:szCs w:val="24"/>
    </w:rPr>
  </w:style>
  <w:style w:type="character" w:customStyle="1" w:styleId="95">
    <w:name w:val="Title Char"/>
    <w:basedOn w:val="59"/>
    <w:link w:val="51"/>
    <w:qFormat/>
    <w:locked/>
    <w:uiPriority w:val="99"/>
    <w:rPr>
      <w:rFonts w:ascii="Cambria" w:hAnsi="Cambria"/>
      <w:b/>
      <w:kern w:val="2"/>
      <w:sz w:val="32"/>
    </w:rPr>
  </w:style>
  <w:style w:type="character" w:customStyle="1" w:styleId="96">
    <w:name w:val="Comment Subject Char"/>
    <w:basedOn w:val="81"/>
    <w:link w:val="52"/>
    <w:qFormat/>
    <w:locked/>
    <w:uiPriority w:val="99"/>
    <w:rPr>
      <w:b/>
    </w:rPr>
  </w:style>
  <w:style w:type="character" w:customStyle="1" w:styleId="97">
    <w:name w:val="Body Text First Indent 2 Char"/>
    <w:basedOn w:val="83"/>
    <w:link w:val="55"/>
    <w:qFormat/>
    <w:locked/>
    <w:uiPriority w:val="99"/>
    <w:rPr>
      <w:kern w:val="2"/>
      <w:sz w:val="24"/>
      <w:szCs w:val="24"/>
    </w:rPr>
  </w:style>
  <w:style w:type="paragraph" w:customStyle="1" w:styleId="98">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8"/>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4"/>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5"/>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5"/>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4"/>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5"/>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8"/>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8"/>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8"/>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8"/>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8"/>
    <w:qFormat/>
    <w:uiPriority w:val="99"/>
    <w:pPr>
      <w:shd w:val="clear" w:color="auto" w:fill="000080"/>
    </w:pPr>
    <w:rPr>
      <w:rFonts w:ascii="Tahoma" w:hAnsi="Tahoma"/>
      <w:sz w:val="24"/>
      <w:szCs w:val="24"/>
    </w:rPr>
  </w:style>
  <w:style w:type="paragraph" w:customStyle="1" w:styleId="151">
    <w:name w:val="Char Char Char Char Char Char Char"/>
    <w:basedOn w:val="18"/>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8"/>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6"/>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59"/>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59"/>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59"/>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8"/>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59"/>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4"/>
    <w:qFormat/>
    <w:uiPriority w:val="99"/>
    <w:pPr>
      <w:spacing w:before="120" w:after="120" w:line="400" w:lineRule="exact"/>
    </w:pPr>
    <w:rPr>
      <w:rFonts w:ascii="黑体" w:hAnsi="黑体" w:cs="宋体"/>
      <w:bCs w:val="0"/>
      <w:sz w:val="32"/>
      <w:szCs w:val="20"/>
    </w:rPr>
  </w:style>
  <w:style w:type="paragraph" w:customStyle="1" w:styleId="221">
    <w:name w:val="样式2"/>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6"/>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6"/>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5"/>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4"/>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49"/>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5"/>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59"/>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6"/>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10</Pages>
  <Words>3700</Words>
  <Characters>3867</Characters>
  <Lines>0</Lines>
  <Paragraphs>0</Paragraphs>
  <TotalTime>1</TotalTime>
  <ScaleCrop>false</ScaleCrop>
  <LinksUpToDate>false</LinksUpToDate>
  <CharactersWithSpaces>4018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2024-12-03T06:21:00Z</cp:lastPrinted>
  <dcterms:modified xsi:type="dcterms:W3CDTF">2025-10-16T02:41:41Z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7B94AD62CAE4499380397B64C6CD008F_13</vt:lpwstr>
  </property>
  <property fmtid="{D5CDD505-2E9C-101B-9397-08002B2CF9AE}" pid="4" name="KSOTemplateDocerSaveRecord">
    <vt:lpwstr>eyJoZGlkIjoiZDg4NWM1ZjRlZmY3NmQ0YjJlYWI4ZGI0NmRkM2JiYjIiLCJ1c2VySWQiOiIxMDA4ODI3NDM3In0=</vt:lpwstr>
  </property>
</Properties>
</file>