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2D92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b/>
          <w:color w:val="000000" w:themeColor="text1"/>
          <w:sz w:val="36"/>
          <w:szCs w:val="36"/>
          <w:highlight w:val="none"/>
          <w:shd w:val="clear" w:color="auto" w:fill="auto"/>
          <w:lang w:eastAsia="zh-CN"/>
          <w14:textFill>
            <w14:solidFill>
              <w14:schemeClr w14:val="tx1"/>
            </w14:solidFill>
          </w14:textFill>
        </w:rPr>
      </w:pPr>
      <w:r>
        <w:rPr>
          <w:rFonts w:hint="eastAsia" w:ascii="Times New Roman" w:hAnsi="Times New Roman" w:eastAsia="黑体" w:cs="Times New Roman"/>
          <w:b/>
          <w:color w:val="000000" w:themeColor="text1"/>
          <w:sz w:val="36"/>
          <w:szCs w:val="36"/>
          <w:highlight w:val="none"/>
          <w:shd w:val="clear" w:color="auto" w:fill="auto"/>
          <w:lang w:eastAsia="zh-CN"/>
          <w14:textFill>
            <w14:solidFill>
              <w14:schemeClr w14:val="tx1"/>
            </w14:solidFill>
          </w14:textFill>
        </w:rPr>
        <w:t>四川省政府政务服务和公共资源交易服务中心</w:t>
      </w:r>
    </w:p>
    <w:p w14:paraId="5D849606">
      <w:pPr>
        <w:spacing w:before="312" w:beforeLines="100" w:after="312" w:afterLines="100" w:line="800" w:lineRule="exact"/>
        <w:jc w:val="center"/>
        <w:rPr>
          <w:rFonts w:hint="eastAsia" w:ascii="Times New Roman" w:hAnsi="Times New Roman" w:eastAsia="黑体" w:cs="Times New Roman"/>
          <w:b/>
          <w:color w:val="000000" w:themeColor="text1"/>
          <w:sz w:val="36"/>
          <w:szCs w:val="36"/>
          <w:highlight w:val="none"/>
          <w:shd w:val="clear" w:color="auto" w:fill="auto"/>
          <w:lang w:eastAsia="zh-CN"/>
          <w14:textFill>
            <w14:solidFill>
              <w14:schemeClr w14:val="tx1"/>
            </w14:solidFill>
          </w14:textFill>
        </w:rPr>
      </w:pPr>
      <w:r>
        <w:rPr>
          <w:rFonts w:hint="eastAsia" w:ascii="Times New Roman" w:hAnsi="Times New Roman" w:eastAsia="黑体" w:cs="Times New Roman"/>
          <w:b/>
          <w:color w:val="000000" w:themeColor="text1"/>
          <w:sz w:val="36"/>
          <w:szCs w:val="36"/>
          <w:highlight w:val="none"/>
          <w:shd w:val="clear" w:color="auto" w:fill="auto"/>
          <w:lang w:eastAsia="zh-CN"/>
          <w14:textFill>
            <w14:solidFill>
              <w14:schemeClr w14:val="tx1"/>
            </w14:solidFill>
          </w14:textFill>
        </w:rPr>
        <w:t>深入打击围标串标净化招投标市场研究</w:t>
      </w:r>
    </w:p>
    <w:p w14:paraId="17F37A1C">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竞</w:t>
      </w:r>
    </w:p>
    <w:p w14:paraId="30BC13E1">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争</w:t>
      </w:r>
    </w:p>
    <w:p w14:paraId="01112D36">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性</w:t>
      </w:r>
    </w:p>
    <w:p w14:paraId="729CB5FF">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磋</w:t>
      </w:r>
    </w:p>
    <w:p w14:paraId="3A4E36D7">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商</w:t>
      </w:r>
    </w:p>
    <w:p w14:paraId="5ACDA3A7">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文</w:t>
      </w:r>
    </w:p>
    <w:p w14:paraId="318FA290">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件</w:t>
      </w:r>
    </w:p>
    <w:p w14:paraId="1C96A231">
      <w:pPr>
        <w:spacing w:after="312" w:afterLines="100" w:line="440" w:lineRule="exact"/>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中国·四川</w:t>
      </w:r>
    </w:p>
    <w:p w14:paraId="51E262CE">
      <w:pPr>
        <w:ind w:firstLine="1285" w:firstLineChars="400"/>
        <w:jc w:val="both"/>
        <w:rPr>
          <w:rFonts w:hint="eastAsia"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hint="eastAsia" w:ascii="Times New Roman" w:hAnsi="Times New Roman" w:cs="Times New Roman"/>
          <w:b/>
          <w:color w:val="000000" w:themeColor="text1"/>
          <w:sz w:val="32"/>
          <w:szCs w:val="32"/>
          <w:highlight w:val="none"/>
          <w:shd w:val="clear" w:color="auto" w:fill="auto"/>
          <w14:textFill>
            <w14:solidFill>
              <w14:schemeClr w14:val="tx1"/>
            </w14:solidFill>
          </w14:textFill>
        </w:rPr>
        <w:t>四川省政府政务服务和公共资源交易服务中心</w:t>
      </w:r>
    </w:p>
    <w:p w14:paraId="0A01F6EF">
      <w:pPr>
        <w:ind w:firstLine="4176" w:firstLineChars="1300"/>
        <w:jc w:val="both"/>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编制</w:t>
      </w:r>
    </w:p>
    <w:p w14:paraId="363C55B3">
      <w:pPr>
        <w:jc w:val="center"/>
        <w:rPr>
          <w:rFonts w:ascii="Times New Roman" w:hAnsi="Times New Roman" w:eastAsia="黑体" w:cs="Times New Roman"/>
          <w:b/>
          <w:color w:val="000000" w:themeColor="text1"/>
          <w:sz w:val="32"/>
          <w:szCs w:val="32"/>
          <w:highlight w:val="none"/>
          <w:shd w:val="clear" w:color="auto" w:fill="auto"/>
          <w14:textFill>
            <w14:solidFill>
              <w14:schemeClr w14:val="tx1"/>
            </w14:solidFill>
          </w14:textFill>
        </w:rPr>
      </w:pPr>
    </w:p>
    <w:p w14:paraId="21FC8A15">
      <w:pPr>
        <w:spacing w:line="440" w:lineRule="exact"/>
        <w:jc w:val="center"/>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eastAsia="黑体" w:cs="Times New Roman"/>
          <w:b/>
          <w:color w:val="000000" w:themeColor="text1"/>
          <w:sz w:val="32"/>
          <w:szCs w:val="32"/>
          <w:highlight w:val="none"/>
          <w:shd w:val="clear" w:color="auto" w:fill="auto"/>
          <w:lang w:val="en-US" w:eastAsia="zh-CN"/>
          <w14:textFill>
            <w14:solidFill>
              <w14:schemeClr w14:val="tx1"/>
            </w14:solidFill>
          </w14:textFill>
        </w:rPr>
        <w:t>2024</w:t>
      </w:r>
      <w:r>
        <w:rPr>
          <w:rFonts w:ascii="Times New Roman" w:hAnsi="Times New Roman" w:eastAsia="黑体" w:cs="Times New Roman"/>
          <w:b/>
          <w:bCs/>
          <w:color w:val="000000" w:themeColor="text1"/>
          <w:sz w:val="32"/>
          <w:szCs w:val="32"/>
          <w:highlight w:val="none"/>
          <w:shd w:val="clear" w:color="auto" w:fill="auto"/>
          <w:lang w:val="zh-CN"/>
          <w14:textFill>
            <w14:solidFill>
              <w14:schemeClr w14:val="tx1"/>
            </w14:solidFill>
          </w14:textFill>
        </w:rPr>
        <w:t>年</w:t>
      </w:r>
      <w:r>
        <w:rPr>
          <w:rFonts w:hint="eastAsia" w:ascii="Times New Roman" w:hAnsi="Times New Roman" w:eastAsia="黑体" w:cs="Times New Roman"/>
          <w:b/>
          <w:bCs/>
          <w:color w:val="000000" w:themeColor="text1"/>
          <w:sz w:val="32"/>
          <w:szCs w:val="32"/>
          <w:highlight w:val="none"/>
          <w:shd w:val="clear" w:color="auto" w:fill="auto"/>
          <w:lang w:val="en-US" w:eastAsia="zh-CN"/>
          <w14:textFill>
            <w14:solidFill>
              <w14:schemeClr w14:val="tx1"/>
            </w14:solidFill>
          </w14:textFill>
        </w:rPr>
        <w:t>8</w:t>
      </w:r>
      <w:r>
        <w:rPr>
          <w:rFonts w:ascii="Times New Roman" w:hAnsi="Times New Roman" w:eastAsia="黑体" w:cs="Times New Roman"/>
          <w:b/>
          <w:bCs/>
          <w:color w:val="000000" w:themeColor="text1"/>
          <w:sz w:val="32"/>
          <w:szCs w:val="32"/>
          <w:highlight w:val="none"/>
          <w:shd w:val="clear" w:color="auto" w:fill="auto"/>
          <w:lang w:val="zh-CN"/>
          <w14:textFill>
            <w14:solidFill>
              <w14:schemeClr w14:val="tx1"/>
            </w14:solidFill>
          </w14:textFill>
        </w:rPr>
        <w:t>月</w:t>
      </w:r>
      <w:r>
        <w:rPr>
          <w:rFonts w:ascii="Times New Roman" w:hAnsi="Times New Roman" w:cs="Times New Roman"/>
          <w:color w:val="000000" w:themeColor="text1"/>
          <w:highlight w:val="none"/>
          <w:shd w:val="clear" w:color="auto" w:fill="auto"/>
          <w14:textFill>
            <w14:solidFill>
              <w14:schemeClr w14:val="tx1"/>
            </w14:solidFill>
          </w14:textFill>
        </w:rPr>
        <w:br w:type="page"/>
      </w:r>
    </w:p>
    <w:p w14:paraId="480DA2E9">
      <w:pPr>
        <w:snapToGrid w:val="0"/>
        <w:jc w:val="center"/>
        <w:rPr>
          <w:rFonts w:ascii="Times New Roman" w:hAnsi="Times New Roman" w:eastAsia="黑体" w:cs="Times New Roman"/>
          <w:b/>
          <w:color w:val="000000" w:themeColor="text1"/>
          <w:sz w:val="44"/>
          <w:szCs w:val="44"/>
          <w:highlight w:val="none"/>
          <w:shd w:val="clear" w:color="auto" w:fill="auto"/>
          <w14:textFill>
            <w14:solidFill>
              <w14:schemeClr w14:val="tx1"/>
            </w14:solidFill>
          </w14:textFill>
        </w:rPr>
      </w:pPr>
      <w:r>
        <w:rPr>
          <w:rFonts w:ascii="Times New Roman" w:hAnsi="Times New Roman" w:eastAsia="黑体" w:cs="Times New Roman"/>
          <w:b/>
          <w:color w:val="000000" w:themeColor="text1"/>
          <w:sz w:val="44"/>
          <w:szCs w:val="44"/>
          <w:highlight w:val="none"/>
          <w:shd w:val="clear" w:color="auto" w:fill="auto"/>
          <w14:textFill>
            <w14:solidFill>
              <w14:schemeClr w14:val="tx1"/>
            </w14:solidFill>
          </w14:textFill>
        </w:rPr>
        <w:t>目    录</w:t>
      </w:r>
    </w:p>
    <w:p w14:paraId="6C3A43CF">
      <w:pPr>
        <w:pStyle w:val="9"/>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rStyle w:val="15"/>
          <w:rFonts w:ascii="仿宋" w:hAnsi="仿宋" w:eastAsia="仿宋"/>
          <w:bCs/>
          <w:color w:val="000000" w:themeColor="text1"/>
          <w:sz w:val="32"/>
          <w:szCs w:val="32"/>
          <w:highlight w:val="none"/>
          <w:shd w:val="clear" w:color="auto" w:fill="auto"/>
          <w14:textFill>
            <w14:solidFill>
              <w14:schemeClr w14:val="tx1"/>
            </w14:solidFill>
          </w14:textFill>
        </w:rPr>
        <w:fldChar w:fldCharType="begin"/>
      </w:r>
      <w:r>
        <w:rPr>
          <w:rStyle w:val="15"/>
          <w:rFonts w:ascii="仿宋" w:hAnsi="仿宋" w:eastAsia="仿宋"/>
          <w:bCs/>
          <w:color w:val="000000" w:themeColor="text1"/>
          <w:sz w:val="32"/>
          <w:szCs w:val="32"/>
          <w:highlight w:val="none"/>
          <w:shd w:val="clear" w:color="auto" w:fill="auto"/>
          <w14:textFill>
            <w14:solidFill>
              <w14:schemeClr w14:val="tx1"/>
            </w14:solidFill>
          </w14:textFill>
        </w:rPr>
        <w:instrText xml:space="preserve"> TOC \o "1-3" \h \z \u </w:instrText>
      </w:r>
      <w:r>
        <w:rPr>
          <w:rStyle w:val="15"/>
          <w:rFonts w:ascii="仿宋" w:hAnsi="仿宋" w:eastAsia="仿宋"/>
          <w:bCs/>
          <w:color w:val="000000" w:themeColor="text1"/>
          <w:sz w:val="32"/>
          <w:szCs w:val="32"/>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"_Toc80303095" </w:instrText>
      </w:r>
      <w:r>
        <w:rPr>
          <w:color w:val="000000" w:themeColor="text1"/>
          <w:highlight w:val="none"/>
          <w:shd w:val="clear" w:color="auto" w:fill="auto"/>
          <w14:textFill>
            <w14:solidFill>
              <w14:schemeClr w14:val="tx1"/>
            </w14:solidFill>
          </w14:textFill>
        </w:rPr>
        <w:fldChar w:fldCharType="separate"/>
      </w:r>
      <w:r>
        <w:rPr>
          <w:rStyle w:val="15"/>
          <w:rFonts w:ascii="仿宋" w:hAnsi="仿宋" w:eastAsia="仿宋"/>
          <w:bCs/>
          <w:color w:val="000000" w:themeColor="text1"/>
          <w:sz w:val="28"/>
          <w:szCs w:val="28"/>
          <w:highlight w:val="none"/>
          <w:shd w:val="clear" w:color="auto" w:fill="auto"/>
          <w14:textFill>
            <w14:solidFill>
              <w14:schemeClr w14:val="tx1"/>
            </w14:solidFill>
          </w14:textFill>
        </w:rPr>
        <w:t>第一章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5"/>
          <w:rFonts w:ascii="仿宋" w:hAnsi="仿宋" w:eastAsia="仿宋"/>
          <w:bCs/>
          <w:color w:val="000000" w:themeColor="text1"/>
          <w:sz w:val="28"/>
          <w:szCs w:val="28"/>
          <w:highlight w:val="none"/>
          <w:shd w:val="clear" w:color="auto" w:fill="auto"/>
          <w14:textFill>
            <w14:solidFill>
              <w14:schemeClr w14:val="tx1"/>
            </w14:solidFill>
          </w14:textFill>
        </w:rPr>
        <w:t>磋商邀请</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_Toc80303095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1</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14:paraId="3CBC6A7E">
      <w:pPr>
        <w:pStyle w:val="9"/>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"_Toc80303109" </w:instrText>
      </w:r>
      <w:r>
        <w:rPr>
          <w:color w:val="000000" w:themeColor="text1"/>
          <w:highlight w:val="none"/>
          <w:shd w:val="clear" w:color="auto" w:fill="auto"/>
          <w14:textFill>
            <w14:solidFill>
              <w14:schemeClr w14:val="tx1"/>
            </w14:solidFill>
          </w14:textFill>
        </w:rPr>
        <w:fldChar w:fldCharType="separate"/>
      </w:r>
      <w:r>
        <w:rPr>
          <w:rStyle w:val="15"/>
          <w:rFonts w:ascii="仿宋" w:hAnsi="仿宋" w:eastAsia="仿宋"/>
          <w:bCs/>
          <w:color w:val="000000" w:themeColor="text1"/>
          <w:sz w:val="28"/>
          <w:szCs w:val="28"/>
          <w:highlight w:val="none"/>
          <w:shd w:val="clear" w:color="auto" w:fill="auto"/>
          <w14:textFill>
            <w14:solidFill>
              <w14:schemeClr w14:val="tx1"/>
            </w14:solidFill>
          </w14:textFill>
        </w:rPr>
        <w:t>第二章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5"/>
          <w:rFonts w:ascii="仿宋" w:hAnsi="仿宋" w:eastAsia="仿宋"/>
          <w:bCs/>
          <w:color w:val="000000" w:themeColor="text1"/>
          <w:sz w:val="28"/>
          <w:szCs w:val="28"/>
          <w:highlight w:val="none"/>
          <w:shd w:val="clear" w:color="auto" w:fill="auto"/>
          <w14:textFill>
            <w14:solidFill>
              <w14:schemeClr w14:val="tx1"/>
            </w14:solidFill>
          </w14:textFill>
        </w:rPr>
        <w:t>磋商须知</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5</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14:paraId="3E82ED59">
      <w:pPr>
        <w:pStyle w:val="9"/>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"_Toc80303122" </w:instrText>
      </w:r>
      <w:r>
        <w:rPr>
          <w:color w:val="000000" w:themeColor="text1"/>
          <w:highlight w:val="none"/>
          <w:shd w:val="clear" w:color="auto" w:fill="auto"/>
          <w14:textFill>
            <w14:solidFill>
              <w14:schemeClr w14:val="tx1"/>
            </w14:solidFill>
          </w14:textFill>
        </w:rPr>
        <w:fldChar w:fldCharType="separate"/>
      </w:r>
      <w:r>
        <w:rPr>
          <w:rStyle w:val="15"/>
          <w:rFonts w:ascii="仿宋" w:hAnsi="仿宋" w:eastAsia="仿宋"/>
          <w:bCs/>
          <w:color w:val="000000" w:themeColor="text1"/>
          <w:sz w:val="28"/>
          <w:szCs w:val="28"/>
          <w:highlight w:val="none"/>
          <w:shd w:val="clear" w:color="auto" w:fill="auto"/>
          <w14:textFill>
            <w14:solidFill>
              <w14:schemeClr w14:val="tx1"/>
            </w14:solidFill>
          </w14:textFill>
        </w:rPr>
        <w:t>第三章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5"/>
          <w:rFonts w:ascii="仿宋" w:hAnsi="仿宋" w:eastAsia="仿宋"/>
          <w:bCs/>
          <w:color w:val="000000" w:themeColor="text1"/>
          <w:sz w:val="28"/>
          <w:szCs w:val="28"/>
          <w:highlight w:val="none"/>
          <w:shd w:val="clear" w:color="auto" w:fill="auto"/>
          <w14:textFill>
            <w14:solidFill>
              <w14:schemeClr w14:val="tx1"/>
            </w14:solidFill>
          </w14:textFill>
        </w:rPr>
        <w:t>供应商和报价产品的资格、资质性及其他类似效力要求</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_Toc80303122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18</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14:paraId="75F8B775">
      <w:pPr>
        <w:pStyle w:val="9"/>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"_Toc80303125" </w:instrText>
      </w:r>
      <w:r>
        <w:rPr>
          <w:color w:val="000000" w:themeColor="text1"/>
          <w:highlight w:val="none"/>
          <w:shd w:val="clear" w:color="auto" w:fill="auto"/>
          <w14:textFill>
            <w14:solidFill>
              <w14:schemeClr w14:val="tx1"/>
            </w14:solidFill>
          </w14:textFill>
        </w:rPr>
        <w:fldChar w:fldCharType="separate"/>
      </w:r>
      <w:r>
        <w:rPr>
          <w:rStyle w:val="15"/>
          <w:rFonts w:ascii="仿宋" w:hAnsi="仿宋" w:eastAsia="仿宋"/>
          <w:bCs/>
          <w:color w:val="000000" w:themeColor="text1"/>
          <w:sz w:val="28"/>
          <w:szCs w:val="28"/>
          <w:highlight w:val="none"/>
          <w:shd w:val="clear" w:color="auto" w:fill="auto"/>
          <w14:textFill>
            <w14:solidFill>
              <w14:schemeClr w14:val="tx1"/>
            </w14:solidFill>
          </w14:textFill>
        </w:rPr>
        <w:t>第四章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5"/>
          <w:rFonts w:ascii="仿宋" w:hAnsi="仿宋" w:eastAsia="仿宋"/>
          <w:bCs/>
          <w:color w:val="000000" w:themeColor="text1"/>
          <w:sz w:val="28"/>
          <w:szCs w:val="28"/>
          <w:highlight w:val="none"/>
          <w:shd w:val="clear" w:color="auto" w:fill="auto"/>
          <w14:textFill>
            <w14:solidFill>
              <w14:schemeClr w14:val="tx1"/>
            </w14:solidFill>
          </w14:textFill>
        </w:rPr>
        <w:t>供应商应当提供的资格、资质性及其他类似效力要求的相关</w:t>
      </w:r>
      <w:r>
        <w:rPr>
          <w:rStyle w:val="15"/>
          <w:rFonts w:ascii="仿宋" w:hAnsi="仿宋" w:eastAsia="仿宋"/>
          <w:bCs/>
          <w:color w:val="000000" w:themeColor="text1"/>
          <w:sz w:val="28"/>
          <w:szCs w:val="28"/>
          <w:highlight w:val="none"/>
          <w:shd w:val="clear" w:color="auto" w:fill="auto"/>
          <w14:textFill>
            <w14:solidFill>
              <w14:schemeClr w14:val="tx1"/>
            </w14:solidFill>
          </w14:textFill>
        </w:rPr>
        <w:br w:type="textWrapping"/>
      </w:r>
      <w:r>
        <w:rPr>
          <w:rStyle w:val="15"/>
          <w:rFonts w:ascii="仿宋" w:hAnsi="仿宋" w:eastAsia="仿宋"/>
          <w:bCs/>
          <w:color w:val="000000" w:themeColor="text1"/>
          <w:sz w:val="28"/>
          <w:szCs w:val="28"/>
          <w:highlight w:val="none"/>
          <w:shd w:val="clear" w:color="auto" w:fill="auto"/>
          <w14:textFill>
            <w14:solidFill>
              <w14:schemeClr w14:val="tx1"/>
            </w14:solidFill>
          </w14:textFill>
        </w:rPr>
        <w:t>证明材料</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_Toc80303125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19</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14:paraId="57010B2D">
      <w:pPr>
        <w:pStyle w:val="9"/>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"_Toc80303128" </w:instrText>
      </w:r>
      <w:r>
        <w:rPr>
          <w:color w:val="000000" w:themeColor="text1"/>
          <w:highlight w:val="none"/>
          <w:shd w:val="clear" w:color="auto" w:fill="auto"/>
          <w14:textFill>
            <w14:solidFill>
              <w14:schemeClr w14:val="tx1"/>
            </w14:solidFill>
          </w14:textFill>
        </w:rPr>
        <w:fldChar w:fldCharType="separate"/>
      </w:r>
      <w:r>
        <w:rPr>
          <w:rStyle w:val="15"/>
          <w:rFonts w:ascii="仿宋" w:hAnsi="仿宋" w:eastAsia="仿宋"/>
          <w:bCs/>
          <w:color w:val="000000" w:themeColor="text1"/>
          <w:sz w:val="28"/>
          <w:szCs w:val="28"/>
          <w:highlight w:val="none"/>
          <w:shd w:val="clear" w:color="auto" w:fill="auto"/>
          <w14:textFill>
            <w14:solidFill>
              <w14:schemeClr w14:val="tx1"/>
            </w14:solidFill>
          </w14:textFill>
        </w:rPr>
        <w:t>第五章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5"/>
          <w:rFonts w:ascii="仿宋" w:hAnsi="仿宋" w:eastAsia="仿宋"/>
          <w:bCs/>
          <w:color w:val="000000" w:themeColor="text1"/>
          <w:sz w:val="28"/>
          <w:szCs w:val="28"/>
          <w:highlight w:val="none"/>
          <w:shd w:val="clear" w:color="auto" w:fill="auto"/>
          <w14:textFill>
            <w14:solidFill>
              <w14:schemeClr w14:val="tx1"/>
            </w14:solidFill>
          </w14:textFill>
        </w:rPr>
        <w:t>采购项目技术、服务、政府采购合同内容条款及其他商务</w:t>
      </w:r>
      <w:r>
        <w:rPr>
          <w:rStyle w:val="15"/>
          <w:rFonts w:ascii="仿宋" w:hAnsi="仿宋" w:eastAsia="仿宋"/>
          <w:bCs/>
          <w:color w:val="000000" w:themeColor="text1"/>
          <w:sz w:val="28"/>
          <w:szCs w:val="28"/>
          <w:highlight w:val="none"/>
          <w:shd w:val="clear" w:color="auto" w:fill="auto"/>
          <w14:textFill>
            <w14:solidFill>
              <w14:schemeClr w14:val="tx1"/>
            </w14:solidFill>
          </w14:textFill>
        </w:rPr>
        <w:br w:type="textWrapping"/>
      </w:r>
      <w:r>
        <w:rPr>
          <w:rStyle w:val="15"/>
          <w:rFonts w:ascii="仿宋" w:hAnsi="仿宋" w:eastAsia="仿宋"/>
          <w:bCs/>
          <w:color w:val="000000" w:themeColor="text1"/>
          <w:sz w:val="28"/>
          <w:szCs w:val="28"/>
          <w:highlight w:val="none"/>
          <w:shd w:val="clear" w:color="auto" w:fill="auto"/>
          <w14:textFill>
            <w14:solidFill>
              <w14:schemeClr w14:val="tx1"/>
            </w14:solidFill>
          </w14:textFill>
        </w:rPr>
        <w:t>要求</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_Toc80303128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21</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14:paraId="5F6A05D2">
      <w:pPr>
        <w:pStyle w:val="9"/>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"_Toc80303133" </w:instrText>
      </w:r>
      <w:r>
        <w:rPr>
          <w:color w:val="000000" w:themeColor="text1"/>
          <w:highlight w:val="none"/>
          <w:shd w:val="clear" w:color="auto" w:fill="auto"/>
          <w14:textFill>
            <w14:solidFill>
              <w14:schemeClr w14:val="tx1"/>
            </w14:solidFill>
          </w14:textFill>
        </w:rPr>
        <w:fldChar w:fldCharType="separate"/>
      </w:r>
      <w:r>
        <w:rPr>
          <w:rStyle w:val="15"/>
          <w:rFonts w:ascii="仿宋" w:hAnsi="仿宋" w:eastAsia="仿宋"/>
          <w:bCs/>
          <w:color w:val="000000" w:themeColor="text1"/>
          <w:sz w:val="28"/>
          <w:szCs w:val="28"/>
          <w:highlight w:val="none"/>
          <w:shd w:val="clear" w:color="auto" w:fill="auto"/>
          <w14:textFill>
            <w14:solidFill>
              <w14:schemeClr w14:val="tx1"/>
            </w14:solidFill>
          </w14:textFill>
        </w:rPr>
        <w:t>第六章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5"/>
          <w:rFonts w:ascii="仿宋" w:hAnsi="仿宋" w:eastAsia="仿宋"/>
          <w:bCs/>
          <w:color w:val="000000" w:themeColor="text1"/>
          <w:sz w:val="28"/>
          <w:szCs w:val="28"/>
          <w:highlight w:val="none"/>
          <w:shd w:val="clear" w:color="auto" w:fill="auto"/>
          <w14:textFill>
            <w14:solidFill>
              <w14:schemeClr w14:val="tx1"/>
            </w14:solidFill>
          </w14:textFill>
        </w:rPr>
        <w:t>采购项目的实质性要求</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_Toc80303133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21</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14:paraId="41B53D11">
      <w:pPr>
        <w:pStyle w:val="9"/>
        <w:tabs>
          <w:tab w:val="left" w:pos="1050"/>
        </w:tabs>
        <w:rPr>
          <w:rFonts w:hint="eastAsia" w:ascii="仿宋" w:hAnsi="仿宋" w:eastAsia="仿宋" w:cstheme="minorBidi"/>
          <w:color w:val="000000" w:themeColor="text1"/>
          <w:sz w:val="22"/>
          <w:highlight w:val="none"/>
          <w:shd w:val="clear" w:color="auto" w:fill="auto"/>
          <w:lang w:val="en-US" w:eastAsia="zh-CN"/>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"_Toc80303134" </w:instrText>
      </w:r>
      <w:r>
        <w:rPr>
          <w:color w:val="000000" w:themeColor="text1"/>
          <w:highlight w:val="none"/>
          <w:shd w:val="clear" w:color="auto" w:fill="auto"/>
          <w14:textFill>
            <w14:solidFill>
              <w14:schemeClr w14:val="tx1"/>
            </w14:solidFill>
          </w14:textFill>
        </w:rPr>
        <w:fldChar w:fldCharType="separate"/>
      </w:r>
      <w:r>
        <w:rPr>
          <w:rStyle w:val="15"/>
          <w:rFonts w:ascii="仿宋" w:hAnsi="仿宋" w:eastAsia="仿宋"/>
          <w:bCs/>
          <w:color w:val="000000" w:themeColor="text1"/>
          <w:sz w:val="28"/>
          <w:szCs w:val="28"/>
          <w:highlight w:val="none"/>
          <w:shd w:val="clear" w:color="auto" w:fill="auto"/>
          <w14:textFill>
            <w14:solidFill>
              <w14:schemeClr w14:val="tx1"/>
            </w14:solidFill>
          </w14:textFill>
        </w:rPr>
        <w:t>第七章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5"/>
          <w:rFonts w:ascii="仿宋" w:hAnsi="仿宋" w:eastAsia="仿宋"/>
          <w:bCs/>
          <w:color w:val="000000" w:themeColor="text1"/>
          <w:sz w:val="28"/>
          <w:szCs w:val="28"/>
          <w:highlight w:val="none"/>
          <w:shd w:val="clear" w:color="auto" w:fill="auto"/>
          <w14:textFill>
            <w14:solidFill>
              <w14:schemeClr w14:val="tx1"/>
            </w14:solidFill>
          </w14:textFill>
        </w:rPr>
        <w:t>磋商过程中可实质性变动的内容</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2</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5</w:t>
      </w:r>
    </w:p>
    <w:p w14:paraId="647CDD1C">
      <w:pPr>
        <w:pStyle w:val="9"/>
        <w:tabs>
          <w:tab w:val="left" w:pos="1050"/>
        </w:tabs>
        <w:rPr>
          <w:rFonts w:hint="eastAsia" w:ascii="仿宋" w:hAnsi="仿宋" w:eastAsia="仿宋" w:cstheme="minorBidi"/>
          <w:color w:val="000000" w:themeColor="text1"/>
          <w:sz w:val="22"/>
          <w:highlight w:val="none"/>
          <w:shd w:val="clear" w:color="auto" w:fill="auto"/>
          <w:lang w:val="en-US" w:eastAsia="zh-CN"/>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"_Toc80303135" </w:instrText>
      </w:r>
      <w:r>
        <w:rPr>
          <w:color w:val="000000" w:themeColor="text1"/>
          <w:highlight w:val="none"/>
          <w:shd w:val="clear" w:color="auto" w:fill="auto"/>
          <w14:textFill>
            <w14:solidFill>
              <w14:schemeClr w14:val="tx1"/>
            </w14:solidFill>
          </w14:textFill>
        </w:rPr>
        <w:fldChar w:fldCharType="separate"/>
      </w:r>
      <w:r>
        <w:rPr>
          <w:rStyle w:val="15"/>
          <w:rFonts w:ascii="仿宋" w:hAnsi="仿宋" w:eastAsia="仿宋"/>
          <w:bCs/>
          <w:color w:val="000000" w:themeColor="text1"/>
          <w:sz w:val="28"/>
          <w:szCs w:val="28"/>
          <w:highlight w:val="none"/>
          <w:shd w:val="clear" w:color="auto" w:fill="auto"/>
          <w14:textFill>
            <w14:solidFill>
              <w14:schemeClr w14:val="tx1"/>
            </w14:solidFill>
          </w14:textFill>
        </w:rPr>
        <w:t>第八章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5"/>
          <w:rFonts w:ascii="仿宋" w:hAnsi="仿宋" w:eastAsia="仿宋"/>
          <w:bCs/>
          <w:color w:val="000000" w:themeColor="text1"/>
          <w:sz w:val="28"/>
          <w:szCs w:val="28"/>
          <w:highlight w:val="none"/>
          <w:shd w:val="clear" w:color="auto" w:fill="auto"/>
          <w14:textFill>
            <w14:solidFill>
              <w14:schemeClr w14:val="tx1"/>
            </w14:solidFill>
          </w14:textFill>
        </w:rPr>
        <w:t>响应文件格式</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2</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6</w:t>
      </w:r>
    </w:p>
    <w:p w14:paraId="311CD230">
      <w:pPr>
        <w:pStyle w:val="9"/>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"_Toc80303154" </w:instrText>
      </w:r>
      <w:r>
        <w:rPr>
          <w:color w:val="000000" w:themeColor="text1"/>
          <w:highlight w:val="none"/>
          <w:shd w:val="clear" w:color="auto" w:fill="auto"/>
          <w14:textFill>
            <w14:solidFill>
              <w14:schemeClr w14:val="tx1"/>
            </w14:solidFill>
          </w14:textFill>
        </w:rPr>
        <w:fldChar w:fldCharType="separate"/>
      </w:r>
      <w:r>
        <w:rPr>
          <w:rStyle w:val="15"/>
          <w:rFonts w:ascii="仿宋" w:hAnsi="仿宋" w:eastAsia="仿宋"/>
          <w:bCs/>
          <w:color w:val="000000" w:themeColor="text1"/>
          <w:sz w:val="28"/>
          <w:szCs w:val="28"/>
          <w:highlight w:val="none"/>
          <w:shd w:val="clear" w:color="auto" w:fill="auto"/>
          <w14:textFill>
            <w14:solidFill>
              <w14:schemeClr w14:val="tx1"/>
            </w14:solidFill>
          </w14:textFill>
        </w:rPr>
        <w:t>第九章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5"/>
          <w:rFonts w:ascii="仿宋" w:hAnsi="仿宋" w:eastAsia="仿宋"/>
          <w:bCs/>
          <w:color w:val="000000" w:themeColor="text1"/>
          <w:sz w:val="28"/>
          <w:szCs w:val="28"/>
          <w:highlight w:val="none"/>
          <w:shd w:val="clear" w:color="auto" w:fill="auto"/>
          <w14:textFill>
            <w14:solidFill>
              <w14:schemeClr w14:val="tx1"/>
            </w14:solidFill>
          </w14:textFill>
        </w:rPr>
        <w:t>评审方法</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_Toc80303154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40</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14:paraId="221559C8">
      <w:pPr>
        <w:pStyle w:val="9"/>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"_Toc80303160" </w:instrText>
      </w:r>
      <w:r>
        <w:rPr>
          <w:color w:val="000000" w:themeColor="text1"/>
          <w:highlight w:val="none"/>
          <w:shd w:val="clear" w:color="auto" w:fill="auto"/>
          <w14:textFill>
            <w14:solidFill>
              <w14:schemeClr w14:val="tx1"/>
            </w14:solidFill>
          </w14:textFill>
        </w:rPr>
        <w:fldChar w:fldCharType="separate"/>
      </w:r>
      <w:r>
        <w:rPr>
          <w:rStyle w:val="15"/>
          <w:rFonts w:ascii="仿宋" w:hAnsi="仿宋" w:eastAsia="仿宋"/>
          <w:bCs/>
          <w:color w:val="000000" w:themeColor="text1"/>
          <w:sz w:val="28"/>
          <w:szCs w:val="28"/>
          <w:highlight w:val="none"/>
          <w:shd w:val="clear" w:color="auto" w:fill="auto"/>
          <w14:textFill>
            <w14:solidFill>
              <w14:schemeClr w14:val="tx1"/>
            </w14:solidFill>
          </w14:textFill>
        </w:rPr>
        <w:t>第十章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5"/>
          <w:rFonts w:ascii="仿宋" w:hAnsi="仿宋" w:eastAsia="仿宋"/>
          <w:bCs/>
          <w:color w:val="000000" w:themeColor="text1"/>
          <w:sz w:val="28"/>
          <w:szCs w:val="28"/>
          <w:highlight w:val="none"/>
          <w:shd w:val="clear" w:color="auto" w:fill="auto"/>
          <w14:textFill>
            <w14:solidFill>
              <w14:schemeClr w14:val="tx1"/>
            </w14:solidFill>
          </w14:textFill>
        </w:rPr>
        <w:t>采购合同（草案）</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_Toc80303160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49</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14:paraId="407079CE">
      <w:pPr>
        <w:pStyle w:val="9"/>
        <w:tabs>
          <w:tab w:val="left" w:pos="1050"/>
        </w:tabs>
        <w:rPr>
          <w:rStyle w:val="15"/>
          <w:rFonts w:hint="eastAsia" w:ascii="仿宋" w:hAnsi="仿宋" w:eastAsia="仿宋"/>
          <w:bCs/>
          <w:color w:val="000000" w:themeColor="text1"/>
          <w:sz w:val="32"/>
          <w:szCs w:val="32"/>
          <w:highlight w:val="none"/>
          <w:shd w:val="clear" w:color="auto" w:fill="auto"/>
          <w:lang w:val="en-US" w:eastAsia="zh-CN"/>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"_Toc80303161" </w:instrText>
      </w:r>
      <w:r>
        <w:rPr>
          <w:color w:val="000000" w:themeColor="text1"/>
          <w:highlight w:val="none"/>
          <w:shd w:val="clear" w:color="auto" w:fill="auto"/>
          <w14:textFill>
            <w14:solidFill>
              <w14:schemeClr w14:val="tx1"/>
            </w14:solidFill>
          </w14:textFill>
        </w:rPr>
        <w:fldChar w:fldCharType="separate"/>
      </w:r>
      <w:r>
        <w:rPr>
          <w:rStyle w:val="15"/>
          <w:rFonts w:ascii="仿宋" w:hAnsi="仿宋" w:eastAsia="仿宋"/>
          <w:bCs/>
          <w:color w:val="000000" w:themeColor="text1"/>
          <w:sz w:val="28"/>
          <w:szCs w:val="28"/>
          <w:highlight w:val="none"/>
          <w:shd w:val="clear" w:color="auto" w:fill="auto"/>
          <w14:textFill>
            <w14:solidFill>
              <w14:schemeClr w14:val="tx1"/>
            </w14:solidFill>
          </w14:textFill>
        </w:rPr>
        <w:t>第</w:t>
      </w:r>
      <w:r>
        <w:rPr>
          <w:rStyle w:val="15"/>
          <w:rFonts w:hint="eastAsia" w:ascii="仿宋" w:hAnsi="仿宋" w:eastAsia="仿宋"/>
          <w:bCs/>
          <w:color w:val="000000" w:themeColor="text1"/>
          <w:sz w:val="28"/>
          <w:szCs w:val="28"/>
          <w:highlight w:val="none"/>
          <w:shd w:val="clear" w:color="auto" w:fill="auto"/>
          <w14:textFill>
            <w14:solidFill>
              <w14:schemeClr w14:val="tx1"/>
            </w14:solidFill>
          </w14:textFill>
        </w:rPr>
        <w:t>十一</w:t>
      </w:r>
      <w:r>
        <w:rPr>
          <w:rStyle w:val="15"/>
          <w:rFonts w:ascii="仿宋" w:hAnsi="仿宋" w:eastAsia="仿宋"/>
          <w:bCs/>
          <w:color w:val="000000" w:themeColor="text1"/>
          <w:sz w:val="28"/>
          <w:szCs w:val="28"/>
          <w:highlight w:val="none"/>
          <w:shd w:val="clear" w:color="auto" w:fill="auto"/>
          <w14:textFill>
            <w14:solidFill>
              <w14:schemeClr w14:val="tx1"/>
            </w14:solidFill>
          </w14:textFill>
        </w:rPr>
        <w:t>章</w:t>
      </w:r>
      <w:r>
        <w:rPr>
          <w:rStyle w:val="15"/>
          <w:rFonts w:hint="eastAsia" w:ascii="仿宋" w:hAnsi="仿宋" w:eastAsia="仿宋"/>
          <w:bCs/>
          <w:color w:val="000000" w:themeColor="text1"/>
          <w:sz w:val="28"/>
          <w:szCs w:val="28"/>
          <w:highlight w:val="none"/>
          <w:shd w:val="clear" w:color="auto" w:fill="auto"/>
          <w14:textFill>
            <w14:solidFill>
              <w14:schemeClr w14:val="tx1"/>
            </w14:solidFill>
          </w14:textFill>
        </w:rPr>
        <w:t xml:space="preserve"> </w:t>
      </w:r>
      <w:r>
        <w:rPr>
          <w:rStyle w:val="15"/>
          <w:rFonts w:ascii="仿宋" w:hAnsi="仿宋" w:eastAsia="仿宋"/>
          <w:bCs/>
          <w:color w:val="000000" w:themeColor="text1"/>
          <w:sz w:val="28"/>
          <w:szCs w:val="28"/>
          <w:highlight w:val="none"/>
          <w:shd w:val="clear" w:color="auto" w:fill="auto"/>
          <w14:textFill>
            <w14:solidFill>
              <w14:schemeClr w14:val="tx1"/>
            </w14:solidFill>
          </w14:textFill>
        </w:rPr>
        <w:t>质疑函标准文本</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6</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Style w:val="15"/>
          <w:rFonts w:ascii="仿宋" w:hAnsi="仿宋" w:eastAsia="仿宋"/>
          <w:bCs/>
          <w:color w:val="000000" w:themeColor="text1"/>
          <w:sz w:val="32"/>
          <w:szCs w:val="32"/>
          <w:highlight w:val="none"/>
          <w:shd w:val="clear" w:color="auto" w:fill="auto"/>
          <w14:textFill>
            <w14:solidFill>
              <w14:schemeClr w14:val="tx1"/>
            </w14:solidFill>
          </w14:textFill>
        </w:rPr>
        <w:fldChar w:fldCharType="end"/>
      </w:r>
      <w:r>
        <w:rPr>
          <w:rStyle w:val="15"/>
          <w:rFonts w:hint="eastAsia" w:ascii="仿宋" w:hAnsi="仿宋" w:eastAsia="仿宋"/>
          <w:bCs/>
          <w:color w:val="000000" w:themeColor="text1"/>
          <w:sz w:val="32"/>
          <w:szCs w:val="32"/>
          <w:highlight w:val="none"/>
          <w:u w:val="none"/>
          <w:shd w:val="clear" w:color="auto" w:fill="auto"/>
          <w:lang w:val="en-US" w:eastAsia="zh-CN"/>
          <w14:textFill>
            <w14:solidFill>
              <w14:schemeClr w14:val="tx1"/>
            </w14:solidFill>
          </w14:textFill>
        </w:rPr>
        <w:t>1</w:t>
      </w:r>
    </w:p>
    <w:p w14:paraId="7677F5DA">
      <w:pPr>
        <w:rPr>
          <w:rFonts w:ascii="Times New Roman" w:hAnsi="Times New Roman" w:cs="Times New Roman"/>
          <w:color w:val="000000" w:themeColor="text1"/>
          <w:highlight w:val="none"/>
          <w:shd w:val="clear" w:color="auto" w:fill="auto"/>
          <w14:textFill>
            <w14:solidFill>
              <w14:schemeClr w14:val="tx1"/>
            </w14:solidFill>
          </w14:textFill>
        </w:rPr>
        <w:sectPr>
          <w:footerReference r:id="rId5" w:type="default"/>
          <w:pgSz w:w="11906" w:h="16838"/>
          <w:pgMar w:top="1440" w:right="1134" w:bottom="1440" w:left="1701" w:header="851" w:footer="992" w:gutter="0"/>
          <w:cols w:space="425" w:num="1"/>
          <w:docGrid w:type="lines" w:linePitch="312" w:charSpace="0"/>
        </w:sectPr>
      </w:pPr>
    </w:p>
    <w:p w14:paraId="202050BE">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0" w:name="_Toc80303095"/>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第一章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磋商邀请</w:t>
      </w:r>
      <w:bookmarkEnd w:id="0"/>
    </w:p>
    <w:p w14:paraId="39B86F38">
      <w:pPr>
        <w:ind w:firstLine="480" w:firstLineChars="200"/>
        <w:rPr>
          <w:rFonts w:ascii="Times New Roman" w:hAnsi="Times New Roman" w:eastAsia="仿宋_GB2312" w:cs="Times New Roman"/>
          <w:color w:val="000000" w:themeColor="text1"/>
          <w:szCs w:val="28"/>
          <w:highlight w:val="none"/>
          <w:shd w:val="clear" w:color="auto" w:fill="auto"/>
          <w14:textFill>
            <w14:solidFill>
              <w14:schemeClr w14:val="tx1"/>
            </w14:solidFill>
          </w14:textFill>
        </w:rPr>
      </w:pPr>
    </w:p>
    <w:p w14:paraId="0128A812">
      <w:pPr>
        <w:ind w:firstLine="480" w:firstLineChars="200"/>
        <w:rPr>
          <w:rFonts w:ascii="Times New Roman" w:hAnsi="Times New Roman" w:cs="Times New Roman"/>
          <w:color w:val="000000" w:themeColor="text1"/>
          <w:szCs w:val="28"/>
          <w:highlight w:val="none"/>
          <w:shd w:val="clear" w:color="auto" w:fill="auto"/>
          <w14:textFill>
            <w14:solidFill>
              <w14:schemeClr w14:val="tx1"/>
            </w14:solidFill>
          </w14:textFill>
        </w:rPr>
      </w:pPr>
      <w:r>
        <w:rPr>
          <w:rFonts w:hint="eastAsia" w:ascii="Times New Roman" w:hAnsi="Times New Roman" w:cs="Times New Roman"/>
          <w:color w:val="000000" w:themeColor="text1"/>
          <w:szCs w:val="28"/>
          <w:highlight w:val="none"/>
          <w:shd w:val="clear" w:color="auto" w:fill="auto"/>
          <w14:textFill>
            <w14:solidFill>
              <w14:schemeClr w14:val="tx1"/>
            </w14:solidFill>
          </w14:textFill>
        </w:rPr>
        <w:t>四川省政府政务服务和公共资源交易服务中心</w:t>
      </w:r>
      <w:r>
        <w:rPr>
          <w:rFonts w:ascii="Times New Roman" w:hAnsi="Times New Roman" w:cs="Times New Roman"/>
          <w:color w:val="000000" w:themeColor="text1"/>
          <w:szCs w:val="28"/>
          <w:highlight w:val="none"/>
          <w:shd w:val="clear" w:color="auto" w:fill="auto"/>
          <w14:textFill>
            <w14:solidFill>
              <w14:schemeClr w14:val="tx1"/>
            </w14:solidFill>
          </w14:textFill>
        </w:rPr>
        <w:t>拟对</w:t>
      </w:r>
      <w:r>
        <w:rPr>
          <w:rFonts w:hint="eastAsia" w:ascii="Times New Roman" w:hAnsi="Times New Roman" w:cs="Times New Roman"/>
          <w:color w:val="000000" w:themeColor="text1"/>
          <w:szCs w:val="28"/>
          <w:highlight w:val="none"/>
          <w:shd w:val="clear" w:color="auto" w:fill="auto"/>
          <w:lang w:eastAsia="zh-CN"/>
          <w14:textFill>
            <w14:solidFill>
              <w14:schemeClr w14:val="tx1"/>
            </w14:solidFill>
          </w14:textFill>
        </w:rPr>
        <w:t>深入打击围标串标净化招投标市场研究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项目</w:t>
      </w:r>
      <w:r>
        <w:rPr>
          <w:rFonts w:ascii="Times New Roman" w:hAnsi="Times New Roman" w:cs="Times New Roman"/>
          <w:color w:val="000000" w:themeColor="text1"/>
          <w:szCs w:val="28"/>
          <w:highlight w:val="none"/>
          <w:shd w:val="clear" w:color="auto" w:fill="auto"/>
          <w14:textFill>
            <w14:solidFill>
              <w14:schemeClr w14:val="tx1"/>
            </w14:solidFill>
          </w14:textFill>
        </w:rPr>
        <w:t>采用竞争性磋商的方式进行采购，特邀请符合本次采购要求的供应商参与本项目的竞争性磋商。</w:t>
      </w:r>
    </w:p>
    <w:p w14:paraId="0F29704A">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 w:name="_Toc69936258"/>
      <w:bookmarkStart w:id="2" w:name="_Toc63012542"/>
      <w:bookmarkStart w:id="3" w:name="_Toc63423281"/>
      <w:bookmarkStart w:id="4" w:name="_Toc69651233"/>
      <w:bookmarkStart w:id="5" w:name="_Toc77273078"/>
      <w:bookmarkStart w:id="6" w:name="_Toc80303096"/>
      <w:r>
        <w:rPr>
          <w:rFonts w:ascii="Times New Roman" w:hAnsi="Times New Roman" w:cs="Times New Roman"/>
          <w:b/>
          <w:color w:val="000000" w:themeColor="text1"/>
          <w:highlight w:val="none"/>
          <w:shd w:val="clear" w:color="auto" w:fill="auto"/>
          <w14:textFill>
            <w14:solidFill>
              <w14:schemeClr w14:val="tx1"/>
            </w14:solidFill>
          </w14:textFill>
        </w:rPr>
        <w:t>一、采购项目编号：</w:t>
      </w:r>
      <w:bookmarkEnd w:id="1"/>
      <w:bookmarkEnd w:id="2"/>
      <w:bookmarkEnd w:id="3"/>
      <w:bookmarkEnd w:id="4"/>
      <w:bookmarkEnd w:id="5"/>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无</w:t>
      </w:r>
      <w:r>
        <w:rPr>
          <w:rFonts w:ascii="Times New Roman" w:hAnsi="Times New Roman" w:cs="Times New Roman"/>
          <w:bCs/>
          <w:color w:val="000000" w:themeColor="text1"/>
          <w:highlight w:val="none"/>
          <w:shd w:val="clear" w:color="auto" w:fill="auto"/>
          <w14:textFill>
            <w14:solidFill>
              <w14:schemeClr w14:val="tx1"/>
            </w14:solidFill>
          </w14:textFill>
        </w:rPr>
        <w:t>。</w:t>
      </w:r>
      <w:bookmarkEnd w:id="6"/>
    </w:p>
    <w:p w14:paraId="1B6E51BB">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7" w:name="_Toc80303097"/>
      <w:bookmarkStart w:id="8" w:name="_Toc63423282"/>
      <w:bookmarkStart w:id="9" w:name="_Toc63012543"/>
      <w:r>
        <w:rPr>
          <w:rFonts w:ascii="Times New Roman" w:hAnsi="Times New Roman" w:cs="Times New Roman"/>
          <w:b/>
          <w:color w:val="000000" w:themeColor="text1"/>
          <w:highlight w:val="none"/>
          <w:shd w:val="clear" w:color="auto" w:fill="auto"/>
          <w14:textFill>
            <w14:solidFill>
              <w14:schemeClr w14:val="tx1"/>
            </w14:solidFill>
          </w14:textFill>
        </w:rPr>
        <w:t>二、采购项目名称：</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hint="eastAsia" w:ascii="Times New Roman" w:hAnsi="Times New Roman" w:cs="Times New Roman"/>
          <w:color w:val="000000" w:themeColor="text1"/>
          <w:szCs w:val="28"/>
          <w:highlight w:val="none"/>
          <w:shd w:val="clear" w:color="auto" w:fill="auto"/>
          <w:lang w:eastAsia="zh-CN"/>
          <w14:textFill>
            <w14:solidFill>
              <w14:schemeClr w14:val="tx1"/>
            </w14:solidFill>
          </w14:textFill>
        </w:rPr>
        <w:t>深入打击围标串标净化招投标市场研究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项目</w:t>
      </w:r>
      <w:r>
        <w:rPr>
          <w:rFonts w:ascii="Times New Roman" w:hAnsi="Times New Roman" w:cs="Times New Roman"/>
          <w:bCs/>
          <w:color w:val="000000" w:themeColor="text1"/>
          <w:highlight w:val="none"/>
          <w:shd w:val="clear" w:color="auto" w:fill="auto"/>
          <w14:textFill>
            <w14:solidFill>
              <w14:schemeClr w14:val="tx1"/>
            </w14:solidFill>
          </w14:textFill>
        </w:rPr>
        <w:t>。</w:t>
      </w:r>
      <w:bookmarkEnd w:id="7"/>
    </w:p>
    <w:p w14:paraId="0091EF78">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0" w:name="_Toc69936259"/>
      <w:bookmarkStart w:id="11" w:name="_Toc77273079"/>
      <w:bookmarkStart w:id="12" w:name="_Toc69651234"/>
      <w:bookmarkStart w:id="13" w:name="_Toc80303098"/>
      <w:r>
        <w:rPr>
          <w:rFonts w:ascii="Times New Roman" w:hAnsi="Times New Roman" w:cs="Times New Roman"/>
          <w:b/>
          <w:color w:val="000000" w:themeColor="text1"/>
          <w:highlight w:val="none"/>
          <w:shd w:val="clear" w:color="auto" w:fill="auto"/>
          <w14:textFill>
            <w14:solidFill>
              <w14:schemeClr w14:val="tx1"/>
            </w14:solidFill>
          </w14:textFill>
        </w:rPr>
        <w:t>三、资金</w:t>
      </w:r>
      <w:bookmarkEnd w:id="8"/>
      <w:bookmarkEnd w:id="9"/>
      <w:bookmarkEnd w:id="10"/>
      <w:bookmarkEnd w:id="11"/>
      <w:bookmarkEnd w:id="12"/>
      <w:r>
        <w:rPr>
          <w:rFonts w:ascii="Times New Roman" w:hAnsi="Times New Roman" w:cs="Times New Roman"/>
          <w:b/>
          <w:color w:val="000000" w:themeColor="text1"/>
          <w:highlight w:val="none"/>
          <w:shd w:val="clear" w:color="auto" w:fill="auto"/>
          <w14:textFill>
            <w14:solidFill>
              <w14:schemeClr w14:val="tx1"/>
            </w14:solidFill>
          </w14:textFill>
        </w:rPr>
        <w:t>来源：</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预算内</w:t>
      </w:r>
      <w:r>
        <w:rPr>
          <w:rFonts w:ascii="Times New Roman" w:hAnsi="Times New Roman" w:cs="Times New Roman"/>
          <w:b/>
          <w:color w:val="000000" w:themeColor="text1"/>
          <w:highlight w:val="none"/>
          <w:shd w:val="clear" w:color="auto" w:fill="auto"/>
          <w14:textFill>
            <w14:solidFill>
              <w14:schemeClr w14:val="tx1"/>
            </w14:solidFill>
          </w14:textFill>
        </w:rPr>
        <w:t>资金。</w:t>
      </w:r>
      <w:bookmarkEnd w:id="13"/>
    </w:p>
    <w:p w14:paraId="707CE5C0">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4" w:name="_Toc80303099"/>
      <w:r>
        <w:rPr>
          <w:rFonts w:ascii="Times New Roman" w:hAnsi="Times New Roman" w:cs="Times New Roman"/>
          <w:b/>
          <w:color w:val="000000" w:themeColor="text1"/>
          <w:highlight w:val="none"/>
          <w:shd w:val="clear" w:color="auto" w:fill="auto"/>
          <w14:textFill>
            <w14:solidFill>
              <w14:schemeClr w14:val="tx1"/>
            </w14:solidFill>
          </w14:textFill>
        </w:rPr>
        <w:t>四、项目简介</w:t>
      </w:r>
      <w:bookmarkEnd w:id="14"/>
    </w:p>
    <w:p w14:paraId="0BBBC2C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default" w:ascii="Times New Roman" w:hAnsi="Times New Roman" w:cs="Times New Roman"/>
          <w:bCs/>
          <w:color w:val="000000" w:themeColor="text1"/>
          <w:highlight w:val="none"/>
          <w:shd w:val="clear" w:color="auto" w:fill="auto"/>
          <w:lang w:val="en-US" w:eastAsia="zh-CN"/>
          <w14:textFill>
            <w14:solidFill>
              <w14:schemeClr w14:val="tx1"/>
            </w14:solidFill>
          </w14:textFill>
        </w:rPr>
        <w:t>按照国、省关于深化工程招标投标领域突出问题系统治理要求，深入分析、查找工程招标投标中围标串标易发多发高发原因，探索加强工程招标全流程全链条监管、有效遏制围标串标、净化招标投标环境的对策。</w:t>
      </w:r>
    </w:p>
    <w:p w14:paraId="64340590">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5" w:name="_Toc80303101"/>
      <w:bookmarkStart w:id="16" w:name="_Toc77273083"/>
      <w:bookmarkStart w:id="17" w:name="_Toc69936264"/>
      <w:r>
        <w:rPr>
          <w:rFonts w:hint="eastAsia" w:ascii="Times New Roman" w:hAnsi="Times New Roman" w:cs="Times New Roman"/>
          <w:b/>
          <w:color w:val="000000" w:themeColor="text1"/>
          <w:highlight w:val="none"/>
          <w:shd w:val="clear" w:color="auto" w:fill="auto"/>
          <w14:textFill>
            <w14:solidFill>
              <w14:schemeClr w14:val="tx1"/>
            </w14:solidFill>
          </w14:textFill>
        </w:rPr>
        <w:t>五</w:t>
      </w:r>
      <w:r>
        <w:rPr>
          <w:rFonts w:ascii="Times New Roman" w:hAnsi="Times New Roman" w:cs="Times New Roman"/>
          <w:b/>
          <w:color w:val="000000" w:themeColor="text1"/>
          <w:highlight w:val="none"/>
          <w:shd w:val="clear" w:color="auto" w:fill="auto"/>
          <w14:textFill>
            <w14:solidFill>
              <w14:schemeClr w14:val="tx1"/>
            </w14:solidFill>
          </w14:textFill>
        </w:rPr>
        <w:t>、供应商参加本次政府采购活动，应当在提交响应文件前具备下列条件：</w:t>
      </w:r>
      <w:bookmarkEnd w:id="15"/>
      <w:bookmarkEnd w:id="16"/>
      <w:bookmarkEnd w:id="17"/>
    </w:p>
    <w:p w14:paraId="64D49E1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1.具有独立承担民事责任的能力；</w:t>
      </w:r>
    </w:p>
    <w:p w14:paraId="4575549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2.具有良好的商业信誉和健全的财务会计制度；</w:t>
      </w:r>
    </w:p>
    <w:p w14:paraId="2DABA36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3.具有履行合同所必需的设备和专业技术能力；</w:t>
      </w:r>
    </w:p>
    <w:p w14:paraId="2D7C012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4.有依法缴纳税收和社会保障资金的良好记录；</w:t>
      </w:r>
    </w:p>
    <w:p w14:paraId="371897C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5.参加本次政府采购活动前三年内，在经营活动中没有重大违法记录；</w:t>
      </w:r>
    </w:p>
    <w:p w14:paraId="687EAD8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8" w:name="_Hlk69933373"/>
      <w:r>
        <w:rPr>
          <w:rFonts w:ascii="Times New Roman" w:hAnsi="Times New Roman" w:cs="Times New Roman"/>
          <w:bCs/>
          <w:color w:val="000000" w:themeColor="text1"/>
          <w:highlight w:val="none"/>
          <w:shd w:val="clear" w:color="auto" w:fill="auto"/>
          <w14:textFill>
            <w14:solidFill>
              <w14:schemeClr w14:val="tx1"/>
            </w14:solidFill>
          </w14:textFill>
        </w:rPr>
        <w:t>6.法律、行政法规规定的其他条件：详见第三章；</w:t>
      </w:r>
    </w:p>
    <w:p w14:paraId="787D6D0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7.根据采购项目提出的特殊条件：详见第三章。</w:t>
      </w:r>
    </w:p>
    <w:p w14:paraId="41E69085">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9" w:name="_Toc69651237"/>
      <w:bookmarkStart w:id="20" w:name="_Toc63423284"/>
      <w:bookmarkStart w:id="21" w:name="_Toc69936261"/>
      <w:bookmarkStart w:id="22" w:name="_Toc63012546"/>
      <w:bookmarkStart w:id="23" w:name="_Toc77273081"/>
      <w:bookmarkStart w:id="24" w:name="_Toc80303102"/>
      <w:r>
        <w:rPr>
          <w:rFonts w:hint="eastAsia" w:ascii="Times New Roman" w:hAnsi="Times New Roman" w:cs="Times New Roman"/>
          <w:b/>
          <w:color w:val="000000" w:themeColor="text1"/>
          <w:highlight w:val="none"/>
          <w:shd w:val="clear" w:color="auto" w:fill="auto"/>
          <w14:textFill>
            <w14:solidFill>
              <w14:schemeClr w14:val="tx1"/>
            </w14:solidFill>
          </w14:textFill>
        </w:rPr>
        <w:t>六</w:t>
      </w:r>
      <w:r>
        <w:rPr>
          <w:rFonts w:ascii="Times New Roman" w:hAnsi="Times New Roman" w:cs="Times New Roman"/>
          <w:b/>
          <w:color w:val="000000" w:themeColor="text1"/>
          <w:highlight w:val="none"/>
          <w:shd w:val="clear" w:color="auto" w:fill="auto"/>
          <w14:textFill>
            <w14:solidFill>
              <w14:schemeClr w14:val="tx1"/>
            </w14:solidFill>
          </w14:textFill>
        </w:rPr>
        <w:t>、供应商</w:t>
      </w:r>
      <w:bookmarkEnd w:id="19"/>
      <w:bookmarkEnd w:id="20"/>
      <w:bookmarkEnd w:id="21"/>
      <w:bookmarkEnd w:id="22"/>
      <w:bookmarkEnd w:id="23"/>
      <w:r>
        <w:rPr>
          <w:rFonts w:ascii="Times New Roman" w:hAnsi="Times New Roman" w:cs="Times New Roman"/>
          <w:b/>
          <w:color w:val="000000" w:themeColor="text1"/>
          <w:highlight w:val="none"/>
          <w:shd w:val="clear" w:color="auto" w:fill="auto"/>
          <w14:textFill>
            <w14:solidFill>
              <w14:schemeClr w14:val="tx1"/>
            </w14:solidFill>
          </w14:textFill>
        </w:rPr>
        <w:t>邀请方式</w:t>
      </w:r>
      <w:bookmarkEnd w:id="24"/>
    </w:p>
    <w:p w14:paraId="25FE53A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本次采购通过以下方式邀请供应商：</w:t>
      </w:r>
    </w:p>
    <w:p w14:paraId="490C442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在</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门户</w:t>
      </w:r>
      <w:r>
        <w:rPr>
          <w:rFonts w:ascii="Times New Roman" w:hAnsi="Times New Roman" w:cs="Times New Roman"/>
          <w:bCs/>
          <w:color w:val="000000" w:themeColor="text1"/>
          <w:highlight w:val="none"/>
          <w:shd w:val="clear" w:color="auto" w:fill="auto"/>
          <w14:textFill>
            <w14:solidFill>
              <w14:schemeClr w14:val="tx1"/>
            </w14:solidFill>
          </w14:textFill>
        </w:rPr>
        <w:t>发布采购公告。</w:t>
      </w:r>
    </w:p>
    <w:p w14:paraId="1F1CF4B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25" w:name="_Hlk80294139"/>
      <w:r>
        <w:rPr>
          <w:rFonts w:ascii="Times New Roman" w:hAnsi="Times New Roman" w:cs="Times New Roman"/>
          <w:bCs/>
          <w:color w:val="000000" w:themeColor="text1"/>
          <w:highlight w:val="none"/>
          <w:shd w:val="clear" w:color="auto" w:fill="auto"/>
          <w14:textFill>
            <w14:solidFill>
              <w14:schemeClr w14:val="tx1"/>
            </w14:solidFill>
          </w14:textFill>
        </w:rPr>
        <w:t>□采购人和评审专家分别书面推荐。</w:t>
      </w:r>
    </w:p>
    <w:p w14:paraId="106CC41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bookmarkStart w:id="26" w:name="_Hlk76637621"/>
      <w:r>
        <w:rPr>
          <w:rFonts w:ascii="Times New Roman" w:hAnsi="Times New Roman" w:cs="Times New Roman"/>
          <w:bCs/>
          <w:color w:val="000000" w:themeColor="text1"/>
          <w:highlight w:val="none"/>
          <w:shd w:val="clear" w:color="auto" w:fill="auto"/>
          <w14:textFill>
            <w14:solidFill>
              <w14:schemeClr w14:val="tx1"/>
            </w14:solidFill>
          </w14:textFill>
        </w:rPr>
        <w:t>从四川省政府采购供应商库中随机抽取</w:t>
      </w:r>
      <w:bookmarkEnd w:id="26"/>
      <w:r>
        <w:rPr>
          <w:rFonts w:ascii="Times New Roman" w:hAnsi="Times New Roman" w:cs="Times New Roman"/>
          <w:bCs/>
          <w:color w:val="000000" w:themeColor="text1"/>
          <w:highlight w:val="none"/>
          <w:shd w:val="clear" w:color="auto" w:fill="auto"/>
          <w14:textFill>
            <w14:solidFill>
              <w14:schemeClr w14:val="tx1"/>
            </w14:solidFill>
          </w14:textFill>
        </w:rPr>
        <w:t>。</w:t>
      </w:r>
    </w:p>
    <w:bookmarkEnd w:id="25"/>
    <w:p w14:paraId="58E453E0">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27" w:name="_Toc80303103"/>
      <w:r>
        <w:rPr>
          <w:rFonts w:hint="eastAsia" w:ascii="Times New Roman" w:hAnsi="Times New Roman" w:cs="Times New Roman"/>
          <w:b/>
          <w:color w:val="000000" w:themeColor="text1"/>
          <w:highlight w:val="none"/>
          <w:shd w:val="clear" w:color="auto" w:fill="auto"/>
          <w14:textFill>
            <w14:solidFill>
              <w14:schemeClr w14:val="tx1"/>
            </w14:solidFill>
          </w14:textFill>
        </w:rPr>
        <w:t>七</w:t>
      </w:r>
      <w:r>
        <w:rPr>
          <w:rFonts w:ascii="Times New Roman" w:hAnsi="Times New Roman" w:cs="Times New Roman"/>
          <w:b/>
          <w:color w:val="000000" w:themeColor="text1"/>
          <w:highlight w:val="none"/>
          <w:shd w:val="clear" w:color="auto" w:fill="auto"/>
          <w14:textFill>
            <w14:solidFill>
              <w14:schemeClr w14:val="tx1"/>
            </w14:solidFill>
          </w14:textFill>
        </w:rPr>
        <w:t>、禁止参加本次采购活动的供应商</w:t>
      </w:r>
      <w:bookmarkEnd w:id="27"/>
    </w:p>
    <w:p w14:paraId="0A134DD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根据《关于在政府采购活动中查询及使用信用记录有关问题的通知》（财库〔2016〕125号）的要求，采购人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14:paraId="54C4D78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为采购项目提供整体设计、规范编制或者项目管理、监理、检测等服务的供应商，不得参加本采购项目。供应商为采购人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bookmarkEnd w:id="18"/>
    <w:p w14:paraId="4B5F41F9">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28" w:name="_Toc63423286"/>
      <w:bookmarkStart w:id="29" w:name="_Toc77273084"/>
      <w:bookmarkStart w:id="30" w:name="_Toc63012549"/>
      <w:bookmarkStart w:id="31" w:name="_Toc69936265"/>
      <w:bookmarkStart w:id="32" w:name="_Toc69651238"/>
      <w:bookmarkStart w:id="33" w:name="_Toc80303104"/>
      <w:r>
        <w:rPr>
          <w:rFonts w:hint="eastAsia" w:ascii="Times New Roman" w:hAnsi="Times New Roman" w:cs="Times New Roman"/>
          <w:b/>
          <w:color w:val="000000" w:themeColor="text1"/>
          <w:highlight w:val="none"/>
          <w:shd w:val="clear" w:color="auto" w:fill="auto"/>
          <w14:textFill>
            <w14:solidFill>
              <w14:schemeClr w14:val="tx1"/>
            </w14:solidFill>
          </w14:textFill>
        </w:rPr>
        <w:t>八</w:t>
      </w:r>
      <w:r>
        <w:rPr>
          <w:rFonts w:ascii="Times New Roman" w:hAnsi="Times New Roman" w:cs="Times New Roman"/>
          <w:b/>
          <w:color w:val="000000" w:themeColor="text1"/>
          <w:highlight w:val="none"/>
          <w:shd w:val="clear" w:color="auto" w:fill="auto"/>
          <w14:textFill>
            <w14:solidFill>
              <w14:schemeClr w14:val="tx1"/>
            </w14:solidFill>
          </w14:textFill>
        </w:rPr>
        <w:t>、磋商文件获取时间、</w:t>
      </w:r>
      <w:bookmarkEnd w:id="28"/>
      <w:bookmarkEnd w:id="29"/>
      <w:bookmarkEnd w:id="30"/>
      <w:bookmarkEnd w:id="31"/>
      <w:bookmarkEnd w:id="32"/>
      <w:r>
        <w:rPr>
          <w:rFonts w:ascii="Times New Roman" w:hAnsi="Times New Roman" w:cs="Times New Roman"/>
          <w:b/>
          <w:color w:val="000000" w:themeColor="text1"/>
          <w:highlight w:val="none"/>
          <w:shd w:val="clear" w:color="auto" w:fill="auto"/>
          <w14:textFill>
            <w14:solidFill>
              <w14:schemeClr w14:val="tx1"/>
            </w14:solidFill>
          </w14:textFill>
        </w:rPr>
        <w:t>方式</w:t>
      </w:r>
      <w:bookmarkEnd w:id="33"/>
    </w:p>
    <w:p w14:paraId="19DA62F5">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磋商文件获取时间：自</w:t>
      </w:r>
      <w:bookmarkStart w:id="34" w:name="_Hlk69458161"/>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2024</w:t>
      </w:r>
      <w:r>
        <w:rPr>
          <w:rFonts w:ascii="Times New Roman" w:hAnsi="Times New Roman" w:cs="Times New Roman"/>
          <w:color w:val="000000" w:themeColor="text1"/>
          <w:highlight w:val="none"/>
          <w:shd w:val="clear" w:color="auto" w:fill="auto"/>
          <w14:textFill>
            <w14:solidFill>
              <w14:schemeClr w14:val="tx1"/>
            </w14:solidFill>
          </w14:textFill>
        </w:rPr>
        <w:t>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8</w:t>
      </w:r>
      <w:r>
        <w:rPr>
          <w:rFonts w:ascii="Times New Roman" w:hAnsi="Times New Roman" w:cs="Times New Roman"/>
          <w:color w:val="000000" w:themeColor="text1"/>
          <w:highlight w:val="none"/>
          <w:shd w:val="clear" w:color="auto" w:fill="auto"/>
          <w14:textFill>
            <w14:solidFill>
              <w14:schemeClr w14:val="tx1"/>
            </w14:solidFill>
          </w14:textFill>
        </w:rPr>
        <w:t>月</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19</w:t>
      </w:r>
      <w:r>
        <w:rPr>
          <w:rFonts w:ascii="Times New Roman" w:hAnsi="Times New Roman" w:cs="Times New Roman"/>
          <w:color w:val="000000" w:themeColor="text1"/>
          <w:highlight w:val="none"/>
          <w:shd w:val="clear" w:color="auto" w:fill="auto"/>
          <w14:textFill>
            <w14:solidFill>
              <w14:schemeClr w14:val="tx1"/>
            </w14:solidFill>
          </w14:textFill>
        </w:rPr>
        <w:t>日</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10</w:t>
      </w:r>
      <w:r>
        <w:rPr>
          <w:rFonts w:ascii="Times New Roman" w:hAnsi="Times New Roman" w:cs="Times New Roman"/>
          <w:color w:val="000000" w:themeColor="text1"/>
          <w:highlight w:val="none"/>
          <w:shd w:val="clear" w:color="auto" w:fill="auto"/>
          <w14:textFill>
            <w14:solidFill>
              <w14:schemeClr w14:val="tx1"/>
            </w14:solidFill>
          </w14:textFill>
        </w:rPr>
        <w:t>时00分</w:t>
      </w:r>
      <w:bookmarkEnd w:id="34"/>
      <w:r>
        <w:rPr>
          <w:rFonts w:ascii="Times New Roman" w:hAnsi="Times New Roman" w:cs="Times New Roman"/>
          <w:color w:val="000000" w:themeColor="text1"/>
          <w:highlight w:val="none"/>
          <w:shd w:val="clear" w:color="auto" w:fill="auto"/>
          <w14:textFill>
            <w14:solidFill>
              <w14:schemeClr w14:val="tx1"/>
            </w14:solidFill>
          </w14:textFill>
        </w:rPr>
        <w:t>至</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2024</w:t>
      </w:r>
      <w:r>
        <w:rPr>
          <w:rFonts w:ascii="Times New Roman" w:hAnsi="Times New Roman" w:cs="Times New Roman"/>
          <w:color w:val="000000" w:themeColor="text1"/>
          <w:highlight w:val="none"/>
          <w:shd w:val="clear" w:color="auto" w:fill="auto"/>
          <w14:textFill>
            <w14:solidFill>
              <w14:schemeClr w14:val="tx1"/>
            </w14:solidFill>
          </w14:textFill>
        </w:rPr>
        <w:t>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8</w:t>
      </w:r>
      <w:r>
        <w:rPr>
          <w:rFonts w:ascii="Times New Roman" w:hAnsi="Times New Roman" w:cs="Times New Roman"/>
          <w:color w:val="000000" w:themeColor="text1"/>
          <w:highlight w:val="none"/>
          <w:shd w:val="clear" w:color="auto" w:fill="auto"/>
          <w14:textFill>
            <w14:solidFill>
              <w14:schemeClr w14:val="tx1"/>
            </w14:solidFill>
          </w14:textFill>
        </w:rPr>
        <w:t>月</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21</w:t>
      </w:r>
      <w:r>
        <w:rPr>
          <w:rFonts w:ascii="Times New Roman" w:hAnsi="Times New Roman" w:cs="Times New Roman"/>
          <w:color w:val="000000" w:themeColor="text1"/>
          <w:highlight w:val="none"/>
          <w:shd w:val="clear" w:color="auto" w:fill="auto"/>
          <w14:textFill>
            <w14:solidFill>
              <w14:schemeClr w14:val="tx1"/>
            </w14:solidFill>
          </w14:textFill>
        </w:rPr>
        <w:t>日17时00分（北京时间）。</w:t>
      </w:r>
      <w:bookmarkStart w:id="213" w:name="_GoBack"/>
      <w:bookmarkEnd w:id="213"/>
    </w:p>
    <w:p w14:paraId="281C8459">
      <w:pPr>
        <w:ind w:firstLine="480" w:firstLineChars="200"/>
        <w:rPr>
          <w:rFonts w:hint="eastAsia" w:ascii="Times New Roman" w:hAnsi="Times New Roman" w:eastAsia="仿宋" w:cs="Times New Roman"/>
          <w:color w:val="000000" w:themeColor="text1"/>
          <w:highlight w:val="none"/>
          <w:shd w:val="clear" w:color="auto" w:fill="auto"/>
          <w:lang w:eastAsia="zh-CN"/>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磋商文件获取方式：供应商</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在</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门户网站（http://www.spprec.com）上自行下载，</w:t>
      </w:r>
      <w:r>
        <w:rPr>
          <w:rFonts w:ascii="Times New Roman" w:hAnsi="Times New Roman" w:cs="Times New Roman"/>
          <w:color w:val="000000" w:themeColor="text1"/>
          <w:highlight w:val="none"/>
          <w:shd w:val="clear" w:color="auto" w:fill="auto"/>
          <w14:textFill>
            <w14:solidFill>
              <w14:schemeClr w14:val="tx1"/>
            </w14:solidFill>
          </w14:textFill>
        </w:rPr>
        <w:t>免费获取。</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在磋商响应文件递交截止时间前递交磋商文件均为有效投标。</w:t>
      </w:r>
    </w:p>
    <w:p w14:paraId="103093E4">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35" w:name="_Toc77273085"/>
      <w:bookmarkStart w:id="36" w:name="_Toc80303105"/>
      <w:bookmarkStart w:id="37" w:name="_Toc69936266"/>
      <w:bookmarkStart w:id="38" w:name="_Toc63423287"/>
      <w:bookmarkStart w:id="39" w:name="_Toc69651239"/>
      <w:bookmarkStart w:id="40" w:name="_Toc63012550"/>
      <w:r>
        <w:rPr>
          <w:rFonts w:hint="eastAsia" w:ascii="Times New Roman" w:hAnsi="Times New Roman" w:cs="Times New Roman"/>
          <w:b/>
          <w:color w:val="000000" w:themeColor="text1"/>
          <w:highlight w:val="none"/>
          <w:shd w:val="clear" w:color="auto" w:fill="auto"/>
          <w14:textFill>
            <w14:solidFill>
              <w14:schemeClr w14:val="tx1"/>
            </w14:solidFill>
          </w14:textFill>
        </w:rPr>
        <w:t>九</w:t>
      </w:r>
      <w:r>
        <w:rPr>
          <w:rFonts w:ascii="Times New Roman" w:hAnsi="Times New Roman" w:cs="Times New Roman"/>
          <w:b/>
          <w:color w:val="000000" w:themeColor="text1"/>
          <w:highlight w:val="none"/>
          <w:shd w:val="clear" w:color="auto" w:fill="auto"/>
          <w14:textFill>
            <w14:solidFill>
              <w14:schemeClr w14:val="tx1"/>
            </w14:solidFill>
          </w14:textFill>
        </w:rPr>
        <w:t>、响应文件的提交方式</w:t>
      </w:r>
      <w:r>
        <w:rPr>
          <w:rFonts w:hint="eastAsia" w:ascii="Times New Roman" w:hAnsi="Times New Roman" w:cs="Times New Roman"/>
          <w:b/>
          <w:color w:val="000000" w:themeColor="text1"/>
          <w:highlight w:val="none"/>
          <w:shd w:val="clear" w:color="auto" w:fill="auto"/>
          <w14:textFill>
            <w14:solidFill>
              <w14:schemeClr w14:val="tx1"/>
            </w14:solidFill>
          </w14:textFill>
        </w:rPr>
        <w:t>、</w:t>
      </w:r>
      <w:r>
        <w:rPr>
          <w:rFonts w:ascii="Times New Roman" w:hAnsi="Times New Roman" w:cs="Times New Roman"/>
          <w:b/>
          <w:color w:val="000000" w:themeColor="text1"/>
          <w:highlight w:val="none"/>
          <w:shd w:val="clear" w:color="auto" w:fill="auto"/>
          <w14:textFill>
            <w14:solidFill>
              <w14:schemeClr w14:val="tx1"/>
            </w14:solidFill>
          </w14:textFill>
        </w:rPr>
        <w:t>磋商时间</w:t>
      </w:r>
      <w:bookmarkEnd w:id="35"/>
      <w:bookmarkEnd w:id="36"/>
      <w:bookmarkEnd w:id="37"/>
      <w:bookmarkEnd w:id="38"/>
      <w:bookmarkEnd w:id="39"/>
      <w:bookmarkEnd w:id="40"/>
      <w:r>
        <w:rPr>
          <w:rFonts w:hint="eastAsia" w:ascii="Times New Roman" w:hAnsi="Times New Roman" w:cs="Times New Roman"/>
          <w:b/>
          <w:color w:val="000000" w:themeColor="text1"/>
          <w:highlight w:val="none"/>
          <w:shd w:val="clear" w:color="auto" w:fill="auto"/>
          <w14:textFill>
            <w14:solidFill>
              <w14:schemeClr w14:val="tx1"/>
            </w14:solidFill>
          </w14:textFill>
        </w:rPr>
        <w:t>及地点</w:t>
      </w:r>
    </w:p>
    <w:p w14:paraId="37B9E534">
      <w:pPr>
        <w:ind w:firstLine="480" w:firstLineChars="200"/>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提交方式：</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现场提交。</w:t>
      </w:r>
    </w:p>
    <w:p w14:paraId="2AA36141">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递交响应文件地址：成都市青羊区鼓楼南街</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101号</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（丰德成达中心7层）713-3室</w:t>
      </w:r>
      <w:r>
        <w:rPr>
          <w:rFonts w:ascii="Times New Roman" w:hAnsi="Times New Roman" w:cs="Times New Roman"/>
          <w:color w:val="000000" w:themeColor="text1"/>
          <w:highlight w:val="none"/>
          <w:shd w:val="clear" w:color="auto" w:fill="auto"/>
          <w14:textFill>
            <w14:solidFill>
              <w14:schemeClr w14:val="tx1"/>
            </w14:solidFill>
          </w14:textFill>
        </w:rPr>
        <w:t>。逾期提交或者不按规定提交的不予接收。本次磋商不接收其他方式提交的响应文件。</w:t>
      </w:r>
    </w:p>
    <w:p w14:paraId="46F1B501">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提交响应文件截止时间：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2024</w:t>
      </w:r>
      <w:r>
        <w:rPr>
          <w:rFonts w:ascii="Times New Roman" w:hAnsi="Times New Roman" w:cs="Times New Roman"/>
          <w:color w:val="000000" w:themeColor="text1"/>
          <w:highlight w:val="none"/>
          <w:shd w:val="clear" w:color="auto" w:fill="auto"/>
          <w14:textFill>
            <w14:solidFill>
              <w14:schemeClr w14:val="tx1"/>
            </w14:solidFill>
          </w14:textFill>
        </w:rPr>
        <w:t>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8</w:t>
      </w:r>
      <w:r>
        <w:rPr>
          <w:rFonts w:ascii="Times New Roman" w:hAnsi="Times New Roman" w:cs="Times New Roman"/>
          <w:color w:val="000000" w:themeColor="text1"/>
          <w:highlight w:val="none"/>
          <w:shd w:val="clear" w:color="auto" w:fill="auto"/>
          <w14:textFill>
            <w14:solidFill>
              <w14:schemeClr w14:val="tx1"/>
            </w14:solidFill>
          </w14:textFill>
        </w:rPr>
        <w:t>月</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22</w:t>
      </w:r>
      <w:r>
        <w:rPr>
          <w:rFonts w:ascii="Times New Roman" w:hAnsi="Times New Roman" w:cs="Times New Roman"/>
          <w:color w:val="000000" w:themeColor="text1"/>
          <w:highlight w:val="none"/>
          <w:shd w:val="clear" w:color="auto" w:fill="auto"/>
          <w14:textFill>
            <w14:solidFill>
              <w14:schemeClr w14:val="tx1"/>
            </w14:solidFill>
          </w14:textFill>
        </w:rPr>
        <w:t>日10时00分（北京时间）。</w:t>
      </w:r>
    </w:p>
    <w:p w14:paraId="077A793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供应商参加磋商时间：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2024</w:t>
      </w:r>
      <w:r>
        <w:rPr>
          <w:rFonts w:ascii="Times New Roman" w:hAnsi="Times New Roman" w:cs="Times New Roman"/>
          <w:color w:val="000000" w:themeColor="text1"/>
          <w:highlight w:val="none"/>
          <w:shd w:val="clear" w:color="auto" w:fill="auto"/>
          <w14:textFill>
            <w14:solidFill>
              <w14:schemeClr w14:val="tx1"/>
            </w14:solidFill>
          </w14:textFill>
        </w:rPr>
        <w:t>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8</w:t>
      </w:r>
      <w:r>
        <w:rPr>
          <w:rFonts w:ascii="Times New Roman" w:hAnsi="Times New Roman" w:cs="Times New Roman"/>
          <w:color w:val="000000" w:themeColor="text1"/>
          <w:highlight w:val="none"/>
          <w:shd w:val="clear" w:color="auto" w:fill="auto"/>
          <w14:textFill>
            <w14:solidFill>
              <w14:schemeClr w14:val="tx1"/>
            </w14:solidFill>
          </w14:textFill>
        </w:rPr>
        <w:t>月</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22</w:t>
      </w:r>
      <w:r>
        <w:rPr>
          <w:rFonts w:ascii="Times New Roman" w:hAnsi="Times New Roman" w:cs="Times New Roman"/>
          <w:color w:val="000000" w:themeColor="text1"/>
          <w:highlight w:val="none"/>
          <w:shd w:val="clear" w:color="auto" w:fill="auto"/>
          <w14:textFill>
            <w14:solidFill>
              <w14:schemeClr w14:val="tx1"/>
            </w14:solidFill>
          </w14:textFill>
        </w:rPr>
        <w:t>日</w:t>
      </w:r>
      <w:r>
        <w:rPr>
          <w:rFonts w:ascii="Times New Roman" w:hAnsi="Times New Roman" w:cs="Times New Roman"/>
          <w:bCs/>
          <w:color w:val="000000" w:themeColor="text1"/>
          <w:highlight w:val="none"/>
          <w:shd w:val="clear" w:color="auto" w:fill="auto"/>
          <w14:textFill>
            <w14:solidFill>
              <w14:schemeClr w14:val="tx1"/>
            </w14:solidFill>
          </w14:textFill>
        </w:rPr>
        <w:t>1</w:t>
      </w:r>
      <w:r>
        <w:rPr>
          <w:rFonts w:hint="default" w:ascii="Times New Roman" w:hAnsi="Times New Roman" w:cs="Times New Roman"/>
          <w:bCs/>
          <w:color w:val="000000" w:themeColor="text1"/>
          <w:highlight w:val="none"/>
          <w:shd w:val="clear" w:color="auto" w:fill="auto"/>
          <w14:textFill>
            <w14:solidFill>
              <w14:schemeClr w14:val="tx1"/>
            </w14:solidFill>
          </w14:textFill>
        </w:rPr>
        <w:t>0</w:t>
      </w:r>
      <w:r>
        <w:rPr>
          <w:rFonts w:ascii="Times New Roman" w:hAnsi="Times New Roman" w:cs="Times New Roman"/>
          <w:bCs/>
          <w:color w:val="000000" w:themeColor="text1"/>
          <w:highlight w:val="none"/>
          <w:shd w:val="clear" w:color="auto" w:fill="auto"/>
          <w14:textFill>
            <w14:solidFill>
              <w14:schemeClr w14:val="tx1"/>
            </w14:solidFill>
          </w14:textFill>
        </w:rPr>
        <w:t>时</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00</w:t>
      </w:r>
      <w:r>
        <w:rPr>
          <w:rFonts w:ascii="Times New Roman" w:hAnsi="Times New Roman" w:cs="Times New Roman"/>
          <w:bCs/>
          <w:color w:val="000000" w:themeColor="text1"/>
          <w:highlight w:val="none"/>
          <w:shd w:val="clear" w:color="auto" w:fill="auto"/>
          <w14:textFill>
            <w14:solidFill>
              <w14:schemeClr w14:val="tx1"/>
            </w14:solidFill>
          </w14:textFill>
        </w:rPr>
        <w:t>分（北京时间）。</w:t>
      </w:r>
    </w:p>
    <w:p w14:paraId="4A857055">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磋商地点：</w:t>
      </w:r>
      <w:r>
        <w:rPr>
          <w:rFonts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四川省政府政务服务和公共资源交易服务中心参加磋商活动；授权代表参加磋商的，应当在响应文件中提交授权书（格式详见第</w:t>
      </w:r>
      <w:r>
        <w:rPr>
          <w:rFonts w:hint="eastAsia" w:ascii="Times New Roman" w:hAnsi="Times New Roman" w:cs="Times New Roman"/>
          <w:bCs/>
          <w:color w:val="000000" w:themeColor="text1"/>
          <w:highlight w:val="none"/>
          <w:shd w:val="clear" w:color="auto" w:fill="auto"/>
          <w14:textFill>
            <w14:solidFill>
              <w14:schemeClr w14:val="tx1"/>
            </w14:solidFill>
          </w14:textFill>
        </w:rPr>
        <w:t>八</w:t>
      </w:r>
      <w:r>
        <w:rPr>
          <w:rFonts w:ascii="Times New Roman" w:hAnsi="Times New Roman" w:cs="Times New Roman"/>
          <w:bCs/>
          <w:color w:val="000000" w:themeColor="text1"/>
          <w:highlight w:val="none"/>
          <w:shd w:val="clear" w:color="auto" w:fill="auto"/>
          <w14:textFill>
            <w14:solidFill>
              <w14:schemeClr w14:val="tx1"/>
            </w14:solidFill>
          </w14:textFill>
        </w:rPr>
        <w:t>章）</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14:paraId="5EACCF22">
      <w:pPr>
        <w:ind w:firstLine="482" w:firstLineChars="200"/>
        <w:outlineLvl w:val="1"/>
        <w:rPr>
          <w:rFonts w:ascii="Times New Roman" w:hAnsi="Times New Roman" w:cs="Times New Roman"/>
          <w:color w:val="000000" w:themeColor="text1"/>
          <w:szCs w:val="24"/>
          <w:highlight w:val="none"/>
          <w:shd w:val="clear" w:color="auto" w:fill="auto"/>
          <w14:textFill>
            <w14:solidFill>
              <w14:schemeClr w14:val="tx1"/>
            </w14:solidFill>
          </w14:textFill>
        </w:rPr>
      </w:pPr>
      <w:bookmarkStart w:id="41" w:name="_Toc63012551"/>
      <w:bookmarkStart w:id="42" w:name="_Toc63423289"/>
      <w:bookmarkStart w:id="43" w:name="_Toc69936271"/>
      <w:bookmarkStart w:id="44" w:name="_Toc69651244"/>
      <w:bookmarkStart w:id="45" w:name="_Toc80303108"/>
      <w:bookmarkStart w:id="46" w:name="_Toc77273090"/>
      <w:r>
        <w:rPr>
          <w:rFonts w:ascii="Times New Roman" w:hAnsi="Times New Roman" w:cs="Times New Roman"/>
          <w:b/>
          <w:color w:val="000000" w:themeColor="text1"/>
          <w:highlight w:val="none"/>
          <w:shd w:val="clear" w:color="auto" w:fill="auto"/>
          <w14:textFill>
            <w14:solidFill>
              <w14:schemeClr w14:val="tx1"/>
            </w14:solidFill>
          </w14:textFill>
        </w:rPr>
        <w:t>十、本磋商邀请在</w:t>
      </w:r>
      <w:r>
        <w:rPr>
          <w:rFonts w:hint="eastAsia" w:ascii="Times New Roman" w:hAnsi="Times New Roman" w:cs="Times New Roman"/>
          <w:b/>
          <w:color w:val="000000" w:themeColor="text1"/>
          <w:highlight w:val="none"/>
          <w:shd w:val="clear" w:color="auto" w:fill="auto"/>
          <w14:textFill>
            <w14:solidFill>
              <w14:schemeClr w14:val="tx1"/>
            </w14:solidFill>
          </w14:textFill>
        </w:rPr>
        <w:t>四川省政府政务服务和公共资源交易服务中心门户网站（http://www.spprec.com）</w:t>
      </w:r>
      <w:r>
        <w:rPr>
          <w:rFonts w:ascii="Times New Roman" w:hAnsi="Times New Roman" w:cs="Times New Roman"/>
          <w:b/>
          <w:color w:val="000000" w:themeColor="text1"/>
          <w:highlight w:val="none"/>
          <w:shd w:val="clear" w:color="auto" w:fill="auto"/>
          <w14:textFill>
            <w14:solidFill>
              <w14:schemeClr w14:val="tx1"/>
            </w14:solidFill>
          </w14:textFill>
        </w:rPr>
        <w:t>发布</w:t>
      </w:r>
      <w:bookmarkEnd w:id="41"/>
      <w:bookmarkEnd w:id="42"/>
      <w:bookmarkEnd w:id="43"/>
      <w:bookmarkEnd w:id="44"/>
      <w:bookmarkEnd w:id="45"/>
      <w:bookmarkEnd w:id="46"/>
      <w:r>
        <w:rPr>
          <w:rFonts w:ascii="Times New Roman" w:hAnsi="Times New Roman" w:cs="Times New Roman"/>
          <w:b/>
          <w:color w:val="000000" w:themeColor="text1"/>
          <w:highlight w:val="none"/>
          <w:shd w:val="clear" w:color="auto" w:fill="auto"/>
          <w14:textFill>
            <w14:solidFill>
              <w14:schemeClr w14:val="tx1"/>
            </w14:solidFill>
          </w14:textFill>
        </w:rPr>
        <w:t>。</w:t>
      </w:r>
    </w:p>
    <w:p w14:paraId="49C0CB7D">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47" w:name="_Toc80303109"/>
    </w:p>
    <w:p w14:paraId="52E2721B">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第二章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磋商须知</w:t>
      </w:r>
      <w:bookmarkEnd w:id="47"/>
    </w:p>
    <w:p w14:paraId="54A221C6">
      <w:pPr>
        <w:ind w:firstLine="480" w:firstLineChars="200"/>
        <w:rPr>
          <w:rFonts w:ascii="Times New Roman" w:hAnsi="Times New Roman" w:eastAsia="仿宋_GB2312" w:cs="Times New Roman"/>
          <w:color w:val="000000" w:themeColor="text1"/>
          <w:szCs w:val="28"/>
          <w:highlight w:val="none"/>
          <w:shd w:val="clear" w:color="auto" w:fill="auto"/>
          <w14:textFill>
            <w14:solidFill>
              <w14:schemeClr w14:val="tx1"/>
            </w14:solidFill>
          </w14:textFill>
        </w:rPr>
      </w:pPr>
    </w:p>
    <w:p w14:paraId="17EBDE50">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48" w:name="_Toc77273093"/>
      <w:bookmarkStart w:id="49" w:name="_Toc69936274"/>
      <w:bookmarkStart w:id="50" w:name="_Toc63423292"/>
      <w:bookmarkStart w:id="51" w:name="_Toc69651247"/>
      <w:bookmarkStart w:id="52" w:name="_Toc63012554"/>
      <w:bookmarkStart w:id="53" w:name="_Toc80303110"/>
      <w:r>
        <w:rPr>
          <w:rFonts w:ascii="Times New Roman" w:hAnsi="Times New Roman" w:cs="Times New Roman"/>
          <w:b/>
          <w:color w:val="000000" w:themeColor="text1"/>
          <w:highlight w:val="none"/>
          <w:shd w:val="clear" w:color="auto" w:fill="auto"/>
          <w14:textFill>
            <w14:solidFill>
              <w14:schemeClr w14:val="tx1"/>
            </w14:solidFill>
          </w14:textFill>
        </w:rPr>
        <w:t>一、供应商须知附表</w:t>
      </w:r>
      <w:bookmarkEnd w:id="48"/>
      <w:bookmarkEnd w:id="49"/>
      <w:bookmarkEnd w:id="50"/>
      <w:bookmarkEnd w:id="51"/>
      <w:bookmarkEnd w:id="52"/>
      <w:bookmarkEnd w:id="53"/>
    </w:p>
    <w:tbl>
      <w:tblPr>
        <w:tblStyle w:val="12"/>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44"/>
        <w:gridCol w:w="1560"/>
        <w:gridCol w:w="6921"/>
      </w:tblGrid>
      <w:tr w14:paraId="7DFF92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544" w:type="dxa"/>
            <w:tcBorders>
              <w:top w:val="single" w:color="auto" w:sz="18" w:space="0"/>
            </w:tcBorders>
            <w:vAlign w:val="center"/>
          </w:tcPr>
          <w:p w14:paraId="42991C39">
            <w:pPr>
              <w:jc w:val="cente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序号</w:t>
            </w:r>
          </w:p>
        </w:tc>
        <w:tc>
          <w:tcPr>
            <w:tcW w:w="1560" w:type="dxa"/>
            <w:tcBorders>
              <w:top w:val="single" w:color="auto" w:sz="18" w:space="0"/>
            </w:tcBorders>
            <w:vAlign w:val="center"/>
          </w:tcPr>
          <w:p w14:paraId="16261ED3">
            <w:pPr>
              <w:jc w:val="cente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应知事项</w:t>
            </w:r>
          </w:p>
        </w:tc>
        <w:tc>
          <w:tcPr>
            <w:tcW w:w="6921" w:type="dxa"/>
            <w:tcBorders>
              <w:top w:val="single" w:color="auto" w:sz="18" w:space="0"/>
            </w:tcBorders>
            <w:vAlign w:val="center"/>
          </w:tcPr>
          <w:p w14:paraId="40A85869">
            <w:pPr>
              <w:jc w:val="cente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说明和要求</w:t>
            </w:r>
          </w:p>
        </w:tc>
      </w:tr>
      <w:tr w14:paraId="1CB3BC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31486715">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w:t>
            </w:r>
          </w:p>
        </w:tc>
        <w:tc>
          <w:tcPr>
            <w:tcW w:w="1560" w:type="dxa"/>
            <w:vAlign w:val="center"/>
          </w:tcPr>
          <w:p w14:paraId="187649C6">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采购人</w:t>
            </w:r>
          </w:p>
        </w:tc>
        <w:tc>
          <w:tcPr>
            <w:tcW w:w="6921" w:type="dxa"/>
            <w:vAlign w:val="center"/>
          </w:tcPr>
          <w:p w14:paraId="16211DF7">
            <w:pPr>
              <w:ind w:left="240" w:leftChars="100" w:firstLine="440" w:firstLineChars="200"/>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单位名称：</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四川省政府政务服务和公共资源交易服务中心</w:t>
            </w:r>
          </w:p>
          <w:p w14:paraId="366B571F">
            <w:pPr>
              <w:ind w:left="240" w:leftChars="100" w:firstLine="440" w:firstLineChars="200"/>
              <w:rPr>
                <w:rFonts w:hint="eastAsia" w:ascii="Times New Roman" w:hAnsi="Times New Roman" w:eastAsia="仿宋" w:cs="Times New Roman"/>
                <w:color w:val="000000" w:themeColor="text1"/>
                <w:sz w:val="22"/>
                <w:szCs w:val="24"/>
                <w:highlight w:val="none"/>
                <w:shd w:val="clear" w:color="auto" w:fill="auto"/>
                <w:lang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项目联系人：</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文</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老师</w:t>
            </w:r>
          </w:p>
          <w:p w14:paraId="34D62419">
            <w:pPr>
              <w:ind w:left="240" w:leftChars="100" w:firstLine="440" w:firstLineChars="200"/>
              <w:rPr>
                <w:rFonts w:hint="default" w:ascii="Times New Roman" w:hAnsi="Times New Roman" w:eastAsia="仿宋" w:cs="Times New Roman"/>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联系电话：</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028－86932592</w:t>
            </w:r>
          </w:p>
          <w:p w14:paraId="407EB298">
            <w:pPr>
              <w:ind w:left="240" w:leftChars="100" w:firstLine="440" w:firstLineChars="200"/>
              <w:rPr>
                <w:rFonts w:hint="default" w:ascii="Times New Roman" w:hAnsi="Times New Roman" w:eastAsia="仿宋" w:cs="Times New Roman"/>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地址：</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四川省成都市青羊区鼓楼南街101号</w:t>
            </w:r>
          </w:p>
        </w:tc>
      </w:tr>
      <w:tr w14:paraId="5083AE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55E1E1AF">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w:t>
            </w:r>
          </w:p>
        </w:tc>
        <w:tc>
          <w:tcPr>
            <w:tcW w:w="1560" w:type="dxa"/>
            <w:vAlign w:val="center"/>
          </w:tcPr>
          <w:p w14:paraId="3180A6A6">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采购代理机构</w:t>
            </w:r>
          </w:p>
        </w:tc>
        <w:tc>
          <w:tcPr>
            <w:tcW w:w="6921" w:type="dxa"/>
            <w:vAlign w:val="center"/>
          </w:tcPr>
          <w:p w14:paraId="3FF642DB">
            <w:pPr>
              <w:ind w:left="240" w:leftChars="100" w:firstLine="442" w:firstLineChars="200"/>
              <w:rPr>
                <w:rFonts w:hint="eastAsia" w:ascii="Times New Roman" w:hAnsi="Times New Roman" w:eastAsia="仿宋" w:cs="Times New Roman"/>
                <w:b/>
                <w:bCs/>
                <w:color w:val="000000" w:themeColor="text1"/>
                <w:sz w:val="22"/>
                <w:szCs w:val="24"/>
                <w:highlight w:val="none"/>
                <w:shd w:val="clear" w:color="auto" w:fill="auto"/>
                <w:lang w:eastAsia="zh-CN"/>
                <w14:textFill>
                  <w14:solidFill>
                    <w14:schemeClr w14:val="tx1"/>
                  </w14:solidFill>
                </w14:textFill>
              </w:rPr>
            </w:pPr>
            <w:r>
              <w:rPr>
                <w:rFonts w:hint="eastAsia" w:ascii="Times New Roman" w:hAnsi="Times New Roman" w:cs="Times New Roman"/>
                <w:b/>
                <w:bCs/>
                <w:color w:val="000000" w:themeColor="text1"/>
                <w:sz w:val="22"/>
                <w:szCs w:val="24"/>
                <w:highlight w:val="none"/>
                <w:shd w:val="clear" w:color="auto" w:fill="auto"/>
                <w:lang w:eastAsia="zh-CN"/>
                <w14:textFill>
                  <w14:solidFill>
                    <w14:schemeClr w14:val="tx1"/>
                  </w14:solidFill>
                </w14:textFill>
              </w:rPr>
              <w:t>无</w:t>
            </w:r>
          </w:p>
        </w:tc>
      </w:tr>
      <w:tr w14:paraId="36814D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44FCFD1E">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3</w:t>
            </w:r>
          </w:p>
        </w:tc>
        <w:tc>
          <w:tcPr>
            <w:tcW w:w="1560" w:type="dxa"/>
            <w:vAlign w:val="center"/>
          </w:tcPr>
          <w:p w14:paraId="62096AC9">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采购预算</w:t>
            </w:r>
          </w:p>
          <w:p w14:paraId="0027933C">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（实质性要求）</w:t>
            </w:r>
          </w:p>
        </w:tc>
        <w:tc>
          <w:tcPr>
            <w:tcW w:w="6921" w:type="dxa"/>
            <w:vAlign w:val="center"/>
          </w:tcPr>
          <w:p w14:paraId="5E6B8F53">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采购预算 15 万元/年</w:t>
            </w: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w:t>
            </w:r>
          </w:p>
          <w:p w14:paraId="57439DFE">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报价超过采购预算，其响应文件按无效处理。</w:t>
            </w:r>
          </w:p>
        </w:tc>
      </w:tr>
      <w:tr w14:paraId="659BE33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56FA1F09">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4</w:t>
            </w:r>
          </w:p>
        </w:tc>
        <w:tc>
          <w:tcPr>
            <w:tcW w:w="1560" w:type="dxa"/>
            <w:vAlign w:val="center"/>
          </w:tcPr>
          <w:p w14:paraId="5FEC9885">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最高限价</w:t>
            </w:r>
          </w:p>
          <w:p w14:paraId="7FAF9488">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（实质性要求）</w:t>
            </w:r>
          </w:p>
        </w:tc>
        <w:tc>
          <w:tcPr>
            <w:tcW w:w="6921" w:type="dxa"/>
            <w:vAlign w:val="center"/>
          </w:tcPr>
          <w:p w14:paraId="15CE6458">
            <w:pPr>
              <w:ind w:left="240" w:leftChars="100" w:firstLine="440" w:firstLineChars="200"/>
              <w:rPr>
                <w:rFonts w:hint="default" w:ascii="Times New Roman" w:hAnsi="Times New Roman" w:eastAsia="仿宋" w:cs="Times New Roman"/>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最高限价</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15 万元/年。</w:t>
            </w:r>
          </w:p>
          <w:p w14:paraId="24FBE209">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报价超过最高限价，其响应文件按无效处理。</w:t>
            </w:r>
          </w:p>
        </w:tc>
      </w:tr>
      <w:tr w14:paraId="097C9FE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75447F0B">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5</w:t>
            </w:r>
          </w:p>
        </w:tc>
        <w:tc>
          <w:tcPr>
            <w:tcW w:w="1560" w:type="dxa"/>
            <w:vAlign w:val="center"/>
          </w:tcPr>
          <w:p w14:paraId="7A4C5DB2">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是否接受联合体参与磋商</w:t>
            </w:r>
          </w:p>
        </w:tc>
        <w:tc>
          <w:tcPr>
            <w:tcW w:w="6921" w:type="dxa"/>
            <w:vAlign w:val="center"/>
          </w:tcPr>
          <w:p w14:paraId="6A394018">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否</w:t>
            </w:r>
          </w:p>
          <w:p w14:paraId="21C13882">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□是，参与联合体磋商的应满足以下条件：</w:t>
            </w:r>
          </w:p>
        </w:tc>
      </w:tr>
      <w:tr w14:paraId="6F35371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143A04B4">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6</w:t>
            </w:r>
          </w:p>
        </w:tc>
        <w:tc>
          <w:tcPr>
            <w:tcW w:w="1560" w:type="dxa"/>
            <w:vAlign w:val="center"/>
          </w:tcPr>
          <w:p w14:paraId="5AF4CF0E">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是否允许进口产品参与</w:t>
            </w:r>
          </w:p>
        </w:tc>
        <w:tc>
          <w:tcPr>
            <w:tcW w:w="6921" w:type="dxa"/>
            <w:vAlign w:val="center"/>
          </w:tcPr>
          <w:p w14:paraId="5421B04C">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否</w:t>
            </w:r>
          </w:p>
          <w:p w14:paraId="05335C30">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是，允许参与的进口产品：</w:t>
            </w:r>
          </w:p>
          <w:p w14:paraId="2BE0F5D4">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进口产品是指通过中国海关报关验放进入中国境内且产自关境外的产品。</w:t>
            </w:r>
          </w:p>
        </w:tc>
      </w:tr>
      <w:tr w14:paraId="4238E67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595842F1">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7</w:t>
            </w:r>
          </w:p>
        </w:tc>
        <w:tc>
          <w:tcPr>
            <w:tcW w:w="1560" w:type="dxa"/>
            <w:vAlign w:val="center"/>
          </w:tcPr>
          <w:p w14:paraId="16E6D890">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合同分包</w:t>
            </w:r>
          </w:p>
          <w:p w14:paraId="07CE5EE3">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（实质性要求）</w:t>
            </w:r>
          </w:p>
        </w:tc>
        <w:tc>
          <w:tcPr>
            <w:tcW w:w="6921" w:type="dxa"/>
            <w:vAlign w:val="center"/>
          </w:tcPr>
          <w:p w14:paraId="0599E0DC">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除为落实政府采购政策外，本项目：</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 xml:space="preserve">不接受合同分包 </w:t>
            </w: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接受合同分包。</w:t>
            </w:r>
          </w:p>
          <w:p w14:paraId="35E9BD60">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（若选择接受合同分包，自动获取以下内容）</w:t>
            </w:r>
          </w:p>
          <w:p w14:paraId="5BFEAE5E">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合同分包的具体要求如下：</w:t>
            </w:r>
          </w:p>
          <w:p w14:paraId="46A8270F">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1.供应商根据磋商文件的规定和采购项目的实际情况，拟在成交后将成交项目的非主体、非关键性工作分包的，应当在响应文件中载明分包承担主体，分包承担主体应当具备相应资质条件且不得再次分包。</w:t>
            </w:r>
          </w:p>
          <w:p w14:paraId="0BCE205B">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2.政府采购合同分包履行的，成交供应商就采购项目和分包项目向采购人负责，分包供应商就分包项目承担责任。</w:t>
            </w:r>
          </w:p>
        </w:tc>
      </w:tr>
      <w:tr w14:paraId="221F92D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4471A672">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8</w:t>
            </w:r>
          </w:p>
        </w:tc>
        <w:tc>
          <w:tcPr>
            <w:tcW w:w="1560" w:type="dxa"/>
            <w:vAlign w:val="center"/>
          </w:tcPr>
          <w:p w14:paraId="53625AD4">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现场考察、磋商前答疑会</w:t>
            </w:r>
          </w:p>
        </w:tc>
        <w:tc>
          <w:tcPr>
            <w:tcW w:w="6921" w:type="dxa"/>
            <w:vAlign w:val="center"/>
          </w:tcPr>
          <w:p w14:paraId="35FC3886">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 xml:space="preserve">本项目□举行 </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不举行现场考察</w:t>
            </w:r>
          </w:p>
          <w:p w14:paraId="79019D93">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 xml:space="preserve">本项目□举行 </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不举行磋商前答疑会</w:t>
            </w:r>
          </w:p>
          <w:p w14:paraId="47D8B892">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注：</w:t>
            </w:r>
          </w:p>
        </w:tc>
      </w:tr>
      <w:tr w14:paraId="637DDC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24835254">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9</w:t>
            </w:r>
          </w:p>
        </w:tc>
        <w:tc>
          <w:tcPr>
            <w:tcW w:w="1560" w:type="dxa"/>
            <w:vAlign w:val="center"/>
          </w:tcPr>
          <w:p w14:paraId="5380BED5">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现场演示</w:t>
            </w:r>
          </w:p>
        </w:tc>
        <w:tc>
          <w:tcPr>
            <w:tcW w:w="6921" w:type="dxa"/>
            <w:vAlign w:val="center"/>
          </w:tcPr>
          <w:p w14:paraId="3795C738">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无</w:t>
            </w:r>
          </w:p>
          <w:p w14:paraId="1E9A1B1D">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有，请供应商自行准备现场演示所需设备。</w:t>
            </w:r>
          </w:p>
        </w:tc>
      </w:tr>
      <w:tr w14:paraId="0F71247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31BB3E1E">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1</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0</w:t>
            </w:r>
          </w:p>
        </w:tc>
        <w:tc>
          <w:tcPr>
            <w:tcW w:w="1560" w:type="dxa"/>
            <w:vAlign w:val="center"/>
          </w:tcPr>
          <w:p w14:paraId="7E5DDC9E">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本项目是否提交样品</w:t>
            </w:r>
          </w:p>
        </w:tc>
        <w:tc>
          <w:tcPr>
            <w:tcW w:w="6921" w:type="dxa"/>
            <w:vAlign w:val="center"/>
          </w:tcPr>
          <w:p w14:paraId="6CD2AF8B">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否</w:t>
            </w:r>
          </w:p>
          <w:p w14:paraId="5957B887">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是，详见第</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五</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章。</w:t>
            </w:r>
          </w:p>
        </w:tc>
      </w:tr>
      <w:tr w14:paraId="3D1FF17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520396B7">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11</w:t>
            </w:r>
          </w:p>
        </w:tc>
        <w:tc>
          <w:tcPr>
            <w:tcW w:w="1560" w:type="dxa"/>
            <w:vAlign w:val="center"/>
          </w:tcPr>
          <w:p w14:paraId="12308139">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低于成本价不正当竞争预防措施</w:t>
            </w:r>
          </w:p>
          <w:p w14:paraId="657F761E">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（实质性要求）</w:t>
            </w:r>
          </w:p>
        </w:tc>
        <w:tc>
          <w:tcPr>
            <w:tcW w:w="6921" w:type="dxa"/>
            <w:vAlign w:val="center"/>
          </w:tcPr>
          <w:p w14:paraId="56E3EC12">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1.磋商小组认为供应商的最后报价明显低于</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成本价</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，有可能影响产品质量或者不能诚信履约的，应当要求其在评审现场合理的时间内提供书面说明，必要时提交相关证明材料；供应商不能证明其报价合理性的，磋商小组应当将其作为无效响应处理。</w:t>
            </w:r>
          </w:p>
          <w:p w14:paraId="0B30A88D">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供应商</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书面说明应当签章</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确认</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，否则无效。书面说明的签</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确认，</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供应商</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为法人的，由其法定代表人/负责人或者</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授权代表</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签</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确认；</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供应商</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为其他组织的，由其主要负责人或者</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授权代表</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签</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确认；</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供应商</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为自然人的，由其本人或者</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授权代表</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签</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确认。</w:t>
            </w:r>
          </w:p>
        </w:tc>
      </w:tr>
      <w:tr w14:paraId="759ECCF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64A7424A">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12</w:t>
            </w:r>
          </w:p>
        </w:tc>
        <w:tc>
          <w:tcPr>
            <w:tcW w:w="1560" w:type="dxa"/>
            <w:vAlign w:val="center"/>
          </w:tcPr>
          <w:p w14:paraId="1399E434">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小微企业（监狱企业、残疾人福利性单位视同小微企业）价格扣除（仅非预留份额的采购项目或者采购包适用）</w:t>
            </w:r>
          </w:p>
        </w:tc>
        <w:tc>
          <w:tcPr>
            <w:tcW w:w="6921" w:type="dxa"/>
            <w:vAlign w:val="center"/>
          </w:tcPr>
          <w:p w14:paraId="7E8954BE">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根据《政府采购促进中小企业发展管理办法》（财库〔2020〕46号）第九条的规定，按以下规则进行价格扣除：</w:t>
            </w:r>
          </w:p>
          <w:p w14:paraId="3866E4B8">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对于经主管预算单位统筹后未预留份额专门面向中小企业采购的采购项目，以及预留份额项目中的非预留部分采购包，对符合《政府采购促进中小企业发展管理办法》（财库〔2020〕46号）规定的小微企业报价给予10%的扣除，用扣除后的价格参加评审。</w:t>
            </w:r>
          </w:p>
          <w:p w14:paraId="42B995A9">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2.接受大中型企业与小微企业组成联合体的采购项目，对联合协议约定小微企业的合同份额占到合同总金额30%以上的，对联合体的报价给予3%的扣除，用扣除后的价格参加评审。</w:t>
            </w:r>
          </w:p>
          <w:p w14:paraId="0B4F7116">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3.允许大中型企业向一家或者多家小微企业分包的采购项目，对于分包意向协议约定小微企业的合同份额占到合同总金额30%以上的，对大中型企业的报价给予3%的扣除，用扣除后的价格参加评审。</w:t>
            </w:r>
          </w:p>
          <w:p w14:paraId="04511EC4">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注：1.参加政府采购活动的中小企业应当提供《中小企业声明函》</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原色扫描件并加盖公章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。监狱企业应当提供监狱企业证明</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原色扫描件并加盖公章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。残疾人福利性单位应当提供《残疾人福利性单位声明函》</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原色扫描件并加盖公章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。（格式详见第</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八</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章）未提供的，视为放弃享受小微企业价格扣除优惠政策。</w:t>
            </w:r>
          </w:p>
          <w:p w14:paraId="4C9CD1B0">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2.组成联合体或者接受分包的小微企业与联合体内其他企业、分包企业之间存在直接控股、管理关系的，不享受价格扣除优惠政策。</w:t>
            </w:r>
          </w:p>
          <w:p w14:paraId="32CEFF0A">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3.依据《政府采购促进中小企业发展管理办法》（财库〔2020〕46 号）规定享受扶持政策的小微企业，不得将合同分包给大中型企业。</w:t>
            </w:r>
          </w:p>
          <w:p w14:paraId="42A4F337">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4.本项目采购标的对应的中小企业划分标准所属行业：详见第</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五</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章。</w:t>
            </w:r>
          </w:p>
        </w:tc>
      </w:tr>
      <w:tr w14:paraId="7457B6F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29979904">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1</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3</w:t>
            </w:r>
          </w:p>
        </w:tc>
        <w:tc>
          <w:tcPr>
            <w:tcW w:w="1560" w:type="dxa"/>
            <w:vAlign w:val="center"/>
          </w:tcPr>
          <w:p w14:paraId="58D89335">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信息安全要求</w:t>
            </w:r>
          </w:p>
        </w:tc>
        <w:tc>
          <w:tcPr>
            <w:tcW w:w="6921" w:type="dxa"/>
            <w:vAlign w:val="center"/>
          </w:tcPr>
          <w:p w14:paraId="5899B97B">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参与磋商产品如为信息安全产品，需提供由中国信息安全认证中心按国家标准认证颁发的有效认证证书，产品应符合《关于信息安全产品实施政府采购的通知》（财库〔2010〕48 号）要求</w:t>
            </w:r>
          </w:p>
        </w:tc>
      </w:tr>
      <w:tr w14:paraId="142F1CF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52C28DD8">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14</w:t>
            </w:r>
          </w:p>
        </w:tc>
        <w:tc>
          <w:tcPr>
            <w:tcW w:w="1560" w:type="dxa"/>
            <w:vAlign w:val="center"/>
          </w:tcPr>
          <w:p w14:paraId="08DCEFD1">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节能、环保政府采购政策</w:t>
            </w:r>
          </w:p>
        </w:tc>
        <w:tc>
          <w:tcPr>
            <w:tcW w:w="6921" w:type="dxa"/>
            <w:vAlign w:val="center"/>
          </w:tcPr>
          <w:p w14:paraId="7E997E44">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严格执行《财政部 发展改革委 生态环境部 市场监管总局关于调</w:t>
            </w:r>
          </w:p>
          <w:p w14:paraId="22B3195C">
            <w:pPr>
              <w:ind w:left="240" w:leftChars="1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采购产品类别属于政府强制采购产品类别的，应当按照要求提供依据国家确定的认证机构出具的、处于有效期之内的节能产品认证证书，否则响应文件无效；属于政府优先采购产品类别的，应当按照要求提供依据国家确定的认证机构出具的、处于有效期之内的节能产品或环境标志产品认证证书，否则不予认定。</w:t>
            </w:r>
          </w:p>
        </w:tc>
      </w:tr>
      <w:tr w14:paraId="62FC7D7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78D1E189">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1</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5</w:t>
            </w:r>
          </w:p>
        </w:tc>
        <w:tc>
          <w:tcPr>
            <w:tcW w:w="1560" w:type="dxa"/>
            <w:vAlign w:val="center"/>
          </w:tcPr>
          <w:p w14:paraId="45C2AD46">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磋商情况公告</w:t>
            </w:r>
          </w:p>
        </w:tc>
        <w:tc>
          <w:tcPr>
            <w:tcW w:w="6921" w:type="dxa"/>
            <w:vAlign w:val="center"/>
          </w:tcPr>
          <w:p w14:paraId="73391FF1">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所有供应商响应文件</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资格审查、</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响应性审查情况、采用综合评分法时的总得分和分项汇总得分情况、磋商结果等在</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四川省政府政务服务和公共资源交易服务中心门户网站</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予以公告。</w:t>
            </w:r>
          </w:p>
        </w:tc>
      </w:tr>
      <w:tr w14:paraId="01F2C19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4164C65A">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1</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6</w:t>
            </w:r>
          </w:p>
        </w:tc>
        <w:tc>
          <w:tcPr>
            <w:tcW w:w="1560" w:type="dxa"/>
            <w:vAlign w:val="center"/>
          </w:tcPr>
          <w:p w14:paraId="1D8AA57F">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响应有效期</w:t>
            </w:r>
          </w:p>
          <w:p w14:paraId="539A9BFE">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（实质性要求）</w:t>
            </w:r>
          </w:p>
        </w:tc>
        <w:tc>
          <w:tcPr>
            <w:tcW w:w="6921" w:type="dxa"/>
            <w:vAlign w:val="center"/>
          </w:tcPr>
          <w:p w14:paraId="3A1CADBD">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从提交首次响应文件截止之日起，不得少于120日。</w:t>
            </w:r>
          </w:p>
          <w:p w14:paraId="43583203">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在响应文件有效期内，供应商不得撤销响应文件。供应商响应文件中应当载明响应文件有效期，响应文件中载明的响应文件有效期可以长于磋商文件规定的期限。响应文件载明的响应文件有效期不得短于磋商文件规定的期限，否则，其响应文件将作为无效处理。</w:t>
            </w:r>
          </w:p>
        </w:tc>
      </w:tr>
      <w:tr w14:paraId="0DD14EE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64964E42">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17</w:t>
            </w:r>
          </w:p>
        </w:tc>
        <w:tc>
          <w:tcPr>
            <w:tcW w:w="1560" w:type="dxa"/>
            <w:vAlign w:val="center"/>
          </w:tcPr>
          <w:p w14:paraId="0D5F02DE">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磋商保证金</w:t>
            </w:r>
          </w:p>
        </w:tc>
        <w:tc>
          <w:tcPr>
            <w:tcW w:w="6921" w:type="dxa"/>
            <w:vAlign w:val="center"/>
          </w:tcPr>
          <w:p w14:paraId="1A1691F2">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本项目不收取磋商保证金。</w:t>
            </w:r>
          </w:p>
        </w:tc>
      </w:tr>
      <w:tr w14:paraId="310D9A6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5DE8F2E1">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18</w:t>
            </w:r>
          </w:p>
        </w:tc>
        <w:tc>
          <w:tcPr>
            <w:tcW w:w="1560" w:type="dxa"/>
            <w:vAlign w:val="center"/>
          </w:tcPr>
          <w:p w14:paraId="17C08683">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履约保证金</w:t>
            </w:r>
          </w:p>
        </w:tc>
        <w:tc>
          <w:tcPr>
            <w:tcW w:w="6921" w:type="dxa"/>
            <w:vAlign w:val="center"/>
          </w:tcPr>
          <w:p w14:paraId="1216E093">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本项目</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不</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收取</w:t>
            </w:r>
            <w:r>
              <w:rPr>
                <w:rFonts w:hint="default"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履约保证金。</w:t>
            </w:r>
          </w:p>
        </w:tc>
      </w:tr>
      <w:tr w14:paraId="38257A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1903CB0C">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19</w:t>
            </w:r>
          </w:p>
        </w:tc>
        <w:tc>
          <w:tcPr>
            <w:tcW w:w="1560" w:type="dxa"/>
            <w:vAlign w:val="center"/>
          </w:tcPr>
          <w:p w14:paraId="2463C96D">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成交通知书获取</w:t>
            </w:r>
          </w:p>
        </w:tc>
        <w:tc>
          <w:tcPr>
            <w:tcW w:w="6921" w:type="dxa"/>
            <w:vAlign w:val="center"/>
          </w:tcPr>
          <w:p w14:paraId="7D66953D">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接通知后按要求领取</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w:t>
            </w:r>
          </w:p>
        </w:tc>
      </w:tr>
      <w:tr w14:paraId="64E12E4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0E9DBDF2">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20</w:t>
            </w:r>
          </w:p>
        </w:tc>
        <w:tc>
          <w:tcPr>
            <w:tcW w:w="1560" w:type="dxa"/>
            <w:vAlign w:val="center"/>
          </w:tcPr>
          <w:p w14:paraId="34606E1D">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供应商对磋商文件技术指标、参数，资质要求，评分办法以及其他采购需求提出</w:t>
            </w:r>
          </w:p>
          <w:p w14:paraId="2F5C78E3">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的询问和质疑</w:t>
            </w:r>
          </w:p>
        </w:tc>
        <w:tc>
          <w:tcPr>
            <w:tcW w:w="6921" w:type="dxa"/>
            <w:vAlign w:val="center"/>
          </w:tcPr>
          <w:p w14:paraId="48B88D75">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向采购单位提出，并由采购单位按相关规定作出答复。</w:t>
            </w:r>
          </w:p>
          <w:p w14:paraId="35EEBBCA">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询问方式：</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书面询问或口头询问</w:t>
            </w:r>
          </w:p>
          <w:p w14:paraId="5FFA7E5A">
            <w:pPr>
              <w:ind w:left="240" w:leftChars="100" w:firstLine="442"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质疑方式：</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书面质疑</w:t>
            </w:r>
          </w:p>
          <w:p w14:paraId="07FE9854">
            <w:pPr>
              <w:ind w:left="240" w:leftChars="100" w:firstLine="440" w:firstLineChars="200"/>
              <w:rPr>
                <w:rFonts w:hint="eastAsia" w:ascii="Times New Roman" w:hAnsi="Times New Roman" w:eastAsia="仿宋" w:cs="Times New Roman"/>
                <w:color w:val="000000" w:themeColor="text1"/>
                <w:sz w:val="22"/>
                <w:szCs w:val="24"/>
                <w:highlight w:val="none"/>
                <w:shd w:val="clear" w:color="auto" w:fill="auto"/>
                <w:lang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联</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 xml:space="preserve"> </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系</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 xml:space="preserve"> </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人：</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文</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老师</w:t>
            </w:r>
          </w:p>
          <w:p w14:paraId="3F2953CF">
            <w:pPr>
              <w:ind w:left="240" w:leftChars="100" w:firstLine="440" w:firstLineChars="200"/>
              <w:rPr>
                <w:rFonts w:hint="default" w:ascii="Times New Roman" w:hAnsi="Times New Roman" w:eastAsia="仿宋" w:cs="Times New Roman"/>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联系电话：</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028－86932592</w:t>
            </w:r>
          </w:p>
          <w:p w14:paraId="284372BC">
            <w:pPr>
              <w:ind w:left="240" w:leftChars="100" w:firstLine="442" w:firstLineChars="200"/>
              <w:rPr>
                <w:rFonts w:hint="default" w:ascii="Times New Roman" w:hAnsi="Times New Roman" w:eastAsia="仿宋" w:cs="Times New Roman"/>
                <w:b/>
                <w:bCs/>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地址：</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成都市青羊区鼓楼南街</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101号（丰德成达中心7层）713-3室</w:t>
            </w:r>
          </w:p>
          <w:p w14:paraId="33A2BE7B">
            <w:pPr>
              <w:ind w:left="240" w:leftChars="100" w:firstLine="442"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提出质疑时间：</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下载磋商文件成功并获取磋商文件之日起</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3</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个工作日内。</w:t>
            </w:r>
          </w:p>
          <w:p w14:paraId="1C44F0FE">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注：</w:t>
            </w:r>
          </w:p>
          <w:p w14:paraId="0D0C646D">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1.供应商应当在法定质疑期内一次性提出针对同一采购程序的质疑。</w:t>
            </w:r>
          </w:p>
          <w:p w14:paraId="78E893F5">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2.根据《中华人民共和国政府采购法》的规定，供应商质疑不得超出采购文件的范围。</w:t>
            </w:r>
          </w:p>
          <w:p w14:paraId="2EA165A7">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3.质疑函标准文本见第</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十一</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章。</w:t>
            </w:r>
          </w:p>
        </w:tc>
      </w:tr>
      <w:tr w14:paraId="2762C48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42BFD4C7">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21</w:t>
            </w:r>
          </w:p>
        </w:tc>
        <w:tc>
          <w:tcPr>
            <w:tcW w:w="1560" w:type="dxa"/>
            <w:vAlign w:val="center"/>
          </w:tcPr>
          <w:p w14:paraId="51B67639">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对采购过程和采购结果的询问和质疑</w:t>
            </w:r>
          </w:p>
        </w:tc>
        <w:tc>
          <w:tcPr>
            <w:tcW w:w="6921" w:type="dxa"/>
            <w:vAlign w:val="center"/>
          </w:tcPr>
          <w:p w14:paraId="6888B334">
            <w:pPr>
              <w:ind w:left="240" w:leftChars="100" w:firstLine="442" w:firstLineChars="200"/>
              <w:rPr>
                <w:rFonts w:hint="eastAsia" w:ascii="Times New Roman" w:hAnsi="Times New Roman" w:eastAsia="仿宋" w:cs="Times New Roman"/>
                <w:color w:val="000000" w:themeColor="text1"/>
                <w:sz w:val="22"/>
                <w:szCs w:val="24"/>
                <w:highlight w:val="none"/>
                <w:shd w:val="clear" w:color="auto" w:fill="auto"/>
                <w:lang w:eastAsia="zh-CN"/>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受理单位：</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四川省政府政务服务和公共资源交易服务中心</w:t>
            </w:r>
          </w:p>
          <w:p w14:paraId="74E70EB2">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询问方式：</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书面询问或口头询问</w:t>
            </w:r>
          </w:p>
          <w:p w14:paraId="39E3A372">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质疑方式：</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书面质疑</w:t>
            </w:r>
          </w:p>
          <w:p w14:paraId="20286999">
            <w:pPr>
              <w:ind w:left="240" w:leftChars="100" w:firstLine="442" w:firstLineChars="200"/>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联系电话：</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028－86932592</w:t>
            </w:r>
          </w:p>
          <w:p w14:paraId="6403B35F">
            <w:pPr>
              <w:ind w:left="240" w:leftChars="100" w:firstLine="442"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地址：</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成都市青羊区鼓楼南街</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101号（丰德成达中心7层）713-3室</w:t>
            </w:r>
          </w:p>
          <w:p w14:paraId="79172776">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邮编：</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610031</w:t>
            </w:r>
          </w:p>
          <w:p w14:paraId="55863D92">
            <w:pPr>
              <w:ind w:left="240" w:leftChars="100" w:firstLine="442"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对采购过程提出质疑时间：</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为各采购程序环节结束之日起</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3</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个工作日内。</w:t>
            </w:r>
          </w:p>
          <w:p w14:paraId="3CBF3334">
            <w:pPr>
              <w:ind w:left="240" w:leftChars="100" w:firstLine="442"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对采购结果提出质疑时间：</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为采购结果公告发布次日后7个工作日内。</w:t>
            </w:r>
          </w:p>
          <w:p w14:paraId="207CEA3F">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注：</w:t>
            </w:r>
          </w:p>
          <w:p w14:paraId="18420B7F">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1.采购单位无正当理由不按照依法推荐的成交候选供应商顺序确定成交供应商，或者在磋商小组依法推荐的成交候选供应商以外确定成交供应商的质疑由采购单位受理。</w:t>
            </w:r>
          </w:p>
          <w:p w14:paraId="74E934C0">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2.根据《中华人民共和国政府采购法》的规定，供应商质疑不得超出采购过程、采购结果的范围。</w:t>
            </w:r>
          </w:p>
          <w:p w14:paraId="27DA4C81">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3.供应商应当在法定质疑期内一次性提出针对同一采购程序的质疑。</w:t>
            </w:r>
          </w:p>
          <w:p w14:paraId="4F975D04">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4.质疑函标准文本见第</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十一</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章。</w:t>
            </w:r>
          </w:p>
        </w:tc>
      </w:tr>
      <w:tr w14:paraId="084555C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61831893">
            <w:pPr>
              <w:jc w:val="cente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2</w:t>
            </w:r>
          </w:p>
        </w:tc>
        <w:tc>
          <w:tcPr>
            <w:tcW w:w="1560" w:type="dxa"/>
            <w:vAlign w:val="center"/>
          </w:tcPr>
          <w:p w14:paraId="5F9C8320">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政府采购合同公告备案</w:t>
            </w:r>
          </w:p>
        </w:tc>
        <w:tc>
          <w:tcPr>
            <w:tcW w:w="6921" w:type="dxa"/>
            <w:vAlign w:val="center"/>
          </w:tcPr>
          <w:p w14:paraId="5CD85D57">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本项目为本单位自行采购项目，合同无需在财政部门公告备案</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w:t>
            </w:r>
          </w:p>
        </w:tc>
      </w:tr>
      <w:tr w14:paraId="071DA5B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12E047A0">
            <w:pPr>
              <w:jc w:val="cente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3</w:t>
            </w:r>
          </w:p>
        </w:tc>
        <w:tc>
          <w:tcPr>
            <w:tcW w:w="1560" w:type="dxa"/>
            <w:vAlign w:val="center"/>
          </w:tcPr>
          <w:p w14:paraId="1305E379">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预付款条款</w:t>
            </w:r>
          </w:p>
        </w:tc>
        <w:tc>
          <w:tcPr>
            <w:tcW w:w="6921" w:type="dxa"/>
            <w:vAlign w:val="center"/>
          </w:tcPr>
          <w:p w14:paraId="2B685B29">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采购人在本合同签订生效之日起可向成交供应商支付一定金额的预付款，详见第五章。</w:t>
            </w:r>
          </w:p>
        </w:tc>
      </w:tr>
      <w:tr w14:paraId="66DA686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62A6AD8C">
            <w:pPr>
              <w:jc w:val="cente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4</w:t>
            </w:r>
          </w:p>
        </w:tc>
        <w:tc>
          <w:tcPr>
            <w:tcW w:w="1560" w:type="dxa"/>
            <w:vAlign w:val="center"/>
          </w:tcPr>
          <w:p w14:paraId="153C305B">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信用记录查询及使用</w:t>
            </w:r>
          </w:p>
        </w:tc>
        <w:tc>
          <w:tcPr>
            <w:tcW w:w="6921" w:type="dxa"/>
            <w:vAlign w:val="center"/>
          </w:tcPr>
          <w:p w14:paraId="4A6031FA">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采购人在供应商提交响应文件时间截止后，应当通过“信用中国”网站（www.creditchina.gov.cn）、“中国政府采购网”网站（www.ccgp.gov.cn）“中国执行信息公开”网站（http://zxgk.court.gov.cn）、“国家税务总局”网站（http://www.chinatax.gov.cn）等渠道查询提交了响应文件的供应商的信用记录并保存信用记录结果网页截图。截至响应文件提交截止日，列入政府采购严重违法失信行为记录名单、失信被执行人名单、重大税收违法失信案件当事人名单的供应商，不得参与本项目政府采购活动。以联合体形式参加本项目采购活动，联合体成员被列入政府采购严重违法失信行为记录名单、失信被执行人名单、重大税收违法失信案件当事人名单存在不良信用记录的，视同联合体存在前述情形，不得参与本项目政府采购活动。</w:t>
            </w:r>
          </w:p>
        </w:tc>
      </w:tr>
      <w:tr w14:paraId="2D33895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14:paraId="2E302F41">
            <w:pPr>
              <w:jc w:val="cente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5</w:t>
            </w:r>
          </w:p>
        </w:tc>
        <w:tc>
          <w:tcPr>
            <w:tcW w:w="1560" w:type="dxa"/>
            <w:vAlign w:val="center"/>
          </w:tcPr>
          <w:p w14:paraId="52BA749D">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政采贷</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融资</w:t>
            </w:r>
          </w:p>
        </w:tc>
        <w:tc>
          <w:tcPr>
            <w:tcW w:w="6921" w:type="dxa"/>
            <w:vAlign w:val="center"/>
          </w:tcPr>
          <w:p w14:paraId="16750604">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本项目为本单位自行采购项目</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w:t>
            </w:r>
          </w:p>
        </w:tc>
      </w:tr>
      <w:tr w14:paraId="538E2D1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tcBorders>
              <w:bottom w:val="single" w:color="auto" w:sz="18" w:space="0"/>
            </w:tcBorders>
            <w:vAlign w:val="center"/>
          </w:tcPr>
          <w:p w14:paraId="7FA7BD03">
            <w:pPr>
              <w:jc w:val="cente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6</w:t>
            </w:r>
          </w:p>
        </w:tc>
        <w:tc>
          <w:tcPr>
            <w:tcW w:w="1560" w:type="dxa"/>
            <w:tcBorders>
              <w:bottom w:val="single" w:color="auto" w:sz="18" w:space="0"/>
            </w:tcBorders>
            <w:vAlign w:val="center"/>
          </w:tcPr>
          <w:p w14:paraId="2E50655A">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其他</w:t>
            </w:r>
          </w:p>
        </w:tc>
        <w:tc>
          <w:tcPr>
            <w:tcW w:w="6921" w:type="dxa"/>
            <w:tcBorders>
              <w:bottom w:val="single" w:color="auto" w:sz="18" w:space="0"/>
            </w:tcBorders>
            <w:vAlign w:val="center"/>
          </w:tcPr>
          <w:p w14:paraId="544F1815">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无</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w:t>
            </w:r>
          </w:p>
        </w:tc>
      </w:tr>
    </w:tbl>
    <w:p w14:paraId="18DE40D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11227D89">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54" w:name="_Toc69936275"/>
      <w:bookmarkStart w:id="55" w:name="_Toc80303111"/>
      <w:bookmarkStart w:id="56" w:name="_Toc77273094"/>
      <w:bookmarkStart w:id="57" w:name="_Toc69651248"/>
      <w:bookmarkStart w:id="58" w:name="_Toc63012556"/>
      <w:bookmarkStart w:id="59" w:name="_Toc63423294"/>
      <w:r>
        <w:rPr>
          <w:rFonts w:ascii="Times New Roman" w:hAnsi="Times New Roman" w:cs="Times New Roman"/>
          <w:b/>
          <w:color w:val="000000" w:themeColor="text1"/>
          <w:highlight w:val="none"/>
          <w:shd w:val="clear" w:color="auto" w:fill="auto"/>
          <w14:textFill>
            <w14:solidFill>
              <w14:schemeClr w14:val="tx1"/>
            </w14:solidFill>
          </w14:textFill>
        </w:rPr>
        <w:t>二、总则</w:t>
      </w:r>
      <w:bookmarkEnd w:id="54"/>
      <w:bookmarkEnd w:id="55"/>
      <w:bookmarkEnd w:id="56"/>
    </w:p>
    <w:p w14:paraId="3A37D3A3">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w:t>
      </w:r>
      <w:r>
        <w:rPr>
          <w:rFonts w:hint="eastAsia" w:ascii="Times New Roman" w:hAnsi="Times New Roman" w:cs="Times New Roman"/>
          <w:b/>
          <w:color w:val="000000" w:themeColor="text1"/>
          <w:highlight w:val="none"/>
          <w:shd w:val="clear" w:color="auto" w:fill="auto"/>
          <w14:textFill>
            <w14:solidFill>
              <w14:schemeClr w14:val="tx1"/>
            </w14:solidFill>
          </w14:textFill>
        </w:rPr>
        <w:t>适用范围</w:t>
      </w:r>
    </w:p>
    <w:p w14:paraId="0A7E4C6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1.1 本文件仅适用于本次竞争性磋商所叙述的</w:t>
      </w:r>
      <w:bookmarkStart w:id="60" w:name="_Hlk77837982"/>
      <w:r>
        <w:rPr>
          <w:rFonts w:ascii="Times New Roman" w:hAnsi="Times New Roman" w:cs="Times New Roman"/>
          <w:bCs/>
          <w:color w:val="000000" w:themeColor="text1"/>
          <w:highlight w:val="none"/>
          <w:shd w:val="clear" w:color="auto" w:fill="auto"/>
          <w14:textFill>
            <w14:solidFill>
              <w14:schemeClr w14:val="tx1"/>
            </w14:solidFill>
          </w14:textFill>
        </w:rPr>
        <w:t>服务</w:t>
      </w:r>
      <w:bookmarkEnd w:id="60"/>
      <w:r>
        <w:rPr>
          <w:rFonts w:ascii="Times New Roman" w:hAnsi="Times New Roman" w:cs="Times New Roman"/>
          <w:bCs/>
          <w:color w:val="000000" w:themeColor="text1"/>
          <w:highlight w:val="none"/>
          <w:shd w:val="clear" w:color="auto" w:fill="auto"/>
          <w14:textFill>
            <w14:solidFill>
              <w14:schemeClr w14:val="tx1"/>
            </w14:solidFill>
          </w14:textFill>
        </w:rPr>
        <w:t>采购。</w:t>
      </w:r>
    </w:p>
    <w:p w14:paraId="131282F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1.2 本文件的解释权归采购人所有。</w:t>
      </w:r>
    </w:p>
    <w:p w14:paraId="66717F0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1.3 本文件所称的“以上”、“以下”、“内”、“以内”，包括本数；所称的“不足”，不包括本数。</w:t>
      </w:r>
    </w:p>
    <w:p w14:paraId="0810969F">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2.</w:t>
      </w:r>
      <w:r>
        <w:rPr>
          <w:rFonts w:hint="eastAsia" w:ascii="Times New Roman" w:hAnsi="Times New Roman" w:cs="Times New Roman"/>
          <w:b/>
          <w:color w:val="000000" w:themeColor="text1"/>
          <w:highlight w:val="none"/>
          <w:shd w:val="clear" w:color="auto" w:fill="auto"/>
          <w14:textFill>
            <w14:solidFill>
              <w14:schemeClr w14:val="tx1"/>
            </w14:solidFill>
          </w14:textFill>
        </w:rPr>
        <w:t>采购主体</w:t>
      </w:r>
    </w:p>
    <w:p w14:paraId="44EC362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本次采购项目的采购人是</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四川省政府政务服务和公共资源交易服务中心</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6ABA25A6">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3.合格的供应商</w:t>
      </w:r>
      <w:r>
        <w:rPr>
          <w:rFonts w:hint="eastAsia" w:ascii="Times New Roman" w:hAnsi="Times New Roman" w:cs="Times New Roman"/>
          <w:b/>
          <w:color w:val="000000" w:themeColor="text1"/>
          <w:highlight w:val="none"/>
          <w:shd w:val="clear" w:color="auto" w:fill="auto"/>
          <w14:textFill>
            <w14:solidFill>
              <w14:schemeClr w14:val="tx1"/>
            </w14:solidFill>
          </w14:textFill>
        </w:rPr>
        <w:t>（实质性要求）</w:t>
      </w:r>
    </w:p>
    <w:p w14:paraId="49A67B5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3.1 具备法律法规规定和本采购文件规定的资格条件。</w:t>
      </w:r>
    </w:p>
    <w:p w14:paraId="7F65E8D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3.2 不属于禁止参加本项目政府采购活动的供应商。</w:t>
      </w:r>
    </w:p>
    <w:p w14:paraId="283F96C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3.3 按规定获取了竞争性磋商文件。</w:t>
      </w:r>
    </w:p>
    <w:p w14:paraId="15980F1C">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4.参加采购活动的费用</w:t>
      </w:r>
    </w:p>
    <w:p w14:paraId="64A7CC6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供应商自行承担参加采购活动的一切费用。</w:t>
      </w:r>
    </w:p>
    <w:p w14:paraId="4CB355EE">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bookmarkStart w:id="61" w:name="_Hlk80186209"/>
      <w:r>
        <w:rPr>
          <w:rFonts w:ascii="Times New Roman" w:hAnsi="Times New Roman" w:cs="Times New Roman"/>
          <w:b/>
          <w:color w:val="000000" w:themeColor="text1"/>
          <w:highlight w:val="none"/>
          <w:shd w:val="clear" w:color="auto" w:fill="auto"/>
          <w14:textFill>
            <w14:solidFill>
              <w14:schemeClr w14:val="tx1"/>
            </w14:solidFill>
          </w14:textFill>
        </w:rPr>
        <w:t>5.充分</w:t>
      </w:r>
      <w:r>
        <w:rPr>
          <w:rFonts w:hint="eastAsia" w:ascii="Times New Roman" w:hAnsi="Times New Roman" w:cs="Times New Roman"/>
          <w:b/>
          <w:color w:val="000000" w:themeColor="text1"/>
          <w:highlight w:val="none"/>
          <w:shd w:val="clear" w:color="auto" w:fill="auto"/>
          <w14:textFill>
            <w14:solidFill>
              <w14:schemeClr w14:val="tx1"/>
            </w14:solidFill>
          </w14:textFill>
        </w:rPr>
        <w:t>、</w:t>
      </w:r>
      <w:r>
        <w:rPr>
          <w:rFonts w:ascii="Times New Roman" w:hAnsi="Times New Roman" w:cs="Times New Roman"/>
          <w:b/>
          <w:color w:val="000000" w:themeColor="text1"/>
          <w:highlight w:val="none"/>
          <w:shd w:val="clear" w:color="auto" w:fill="auto"/>
          <w14:textFill>
            <w14:solidFill>
              <w14:schemeClr w14:val="tx1"/>
            </w14:solidFill>
          </w14:textFill>
        </w:rPr>
        <w:t>公平</w:t>
      </w:r>
      <w:r>
        <w:rPr>
          <w:rFonts w:hint="eastAsia" w:ascii="Times New Roman" w:hAnsi="Times New Roman" w:cs="Times New Roman"/>
          <w:b/>
          <w:color w:val="000000" w:themeColor="text1"/>
          <w:highlight w:val="none"/>
          <w:shd w:val="clear" w:color="auto" w:fill="auto"/>
          <w14:textFill>
            <w14:solidFill>
              <w14:schemeClr w14:val="tx1"/>
            </w14:solidFill>
          </w14:textFill>
        </w:rPr>
        <w:t>竞争</w:t>
      </w:r>
      <w:r>
        <w:rPr>
          <w:rFonts w:ascii="Times New Roman" w:hAnsi="Times New Roman" w:cs="Times New Roman"/>
          <w:b/>
          <w:color w:val="000000" w:themeColor="text1"/>
          <w:highlight w:val="none"/>
          <w:shd w:val="clear" w:color="auto" w:fill="auto"/>
          <w14:textFill>
            <w14:solidFill>
              <w14:schemeClr w14:val="tx1"/>
            </w14:solidFill>
          </w14:textFill>
        </w:rPr>
        <w:t>保障措施</w:t>
      </w:r>
    </w:p>
    <w:p w14:paraId="04347BE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5.1 利害关系供应商处理。单</w:t>
      </w:r>
      <w:r>
        <w:rPr>
          <w:rFonts w:ascii="Times New Roman" w:hAnsi="Times New Roman" w:cs="Times New Roman"/>
          <w:bCs/>
          <w:color w:val="000000" w:themeColor="text1"/>
          <w:highlight w:val="none"/>
          <w:shd w:val="clear" w:color="auto" w:fill="auto"/>
          <w14:textFill>
            <w14:solidFill>
              <w14:schemeClr w14:val="tx1"/>
            </w14:solidFill>
          </w14:textFill>
        </w:rPr>
        <w:t>位负责人为同一人或者存在直接控股、管理关系的不同供应商不得参加同一合同项下的采购活动。</w:t>
      </w:r>
    </w:p>
    <w:p w14:paraId="6A734A4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5.2 利害关系代理人处理。不同供应商不得在同一合同项下的采购项目中，委托同一个自然人、同一单位的人员编制响应文件。不同供应商不得在同一合同项下的采购项目中，委托同一个自然人、同一单位的人员办理磋商响应事宜。不同供应商的响应文件载明的项目管理成员或者联系人员不得为同一人。</w:t>
      </w:r>
    </w:p>
    <w:p w14:paraId="7972266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5.3 前期参与供应商处理。</w:t>
      </w:r>
      <w:r>
        <w:rPr>
          <w:rFonts w:ascii="Times New Roman" w:hAnsi="Times New Roman" w:cs="Times New Roman"/>
          <w:bCs/>
          <w:color w:val="000000" w:themeColor="text1"/>
          <w:highlight w:val="none"/>
          <w:shd w:val="clear" w:color="auto" w:fill="auto"/>
          <w14:textFill>
            <w14:solidFill>
              <w14:schemeClr w14:val="tx1"/>
            </w14:solidFill>
          </w14:textFill>
        </w:rPr>
        <w:t>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14:paraId="436B35A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□本项目属于</w:t>
      </w:r>
      <w:r>
        <w:rPr>
          <w:rFonts w:hint="eastAsia" w:ascii="Times New Roman" w:hAnsi="Times New Roman" w:cs="Times New Roman"/>
          <w:bCs/>
          <w:color w:val="000000" w:themeColor="text1"/>
          <w:highlight w:val="none"/>
          <w:shd w:val="clear" w:color="auto" w:fill="auto"/>
          <w14:textFill>
            <w14:solidFill>
              <w14:schemeClr w14:val="tx1"/>
            </w14:solidFill>
          </w14:textFill>
        </w:rPr>
        <w:t>5</w:t>
      </w:r>
      <w:r>
        <w:rPr>
          <w:rFonts w:ascii="Times New Roman" w:hAnsi="Times New Roman" w:cs="Times New Roman"/>
          <w:bCs/>
          <w:color w:val="000000" w:themeColor="text1"/>
          <w:highlight w:val="none"/>
          <w:shd w:val="clear" w:color="auto" w:fill="auto"/>
          <w14:textFill>
            <w14:solidFill>
              <w14:schemeClr w14:val="tx1"/>
            </w14:solidFill>
          </w14:textFill>
        </w:rPr>
        <w:t>.3规定的供应商是：XXX。</w:t>
      </w:r>
    </w:p>
    <w:p w14:paraId="5DE984E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本项目</w:t>
      </w:r>
      <w:r>
        <w:rPr>
          <w:rFonts w:hint="eastAsia" w:ascii="Times New Roman" w:hAnsi="Times New Roman" w:cs="Times New Roman"/>
          <w:bCs/>
          <w:color w:val="000000" w:themeColor="text1"/>
          <w:highlight w:val="none"/>
          <w:shd w:val="clear" w:color="auto" w:fill="auto"/>
          <w14:textFill>
            <w14:solidFill>
              <w14:schemeClr w14:val="tx1"/>
            </w14:solidFill>
          </w14:textFill>
        </w:rPr>
        <w:t>无5</w:t>
      </w:r>
      <w:r>
        <w:rPr>
          <w:rFonts w:ascii="Times New Roman" w:hAnsi="Times New Roman" w:cs="Times New Roman"/>
          <w:bCs/>
          <w:color w:val="000000" w:themeColor="text1"/>
          <w:highlight w:val="none"/>
          <w:shd w:val="clear" w:color="auto" w:fill="auto"/>
          <w14:textFill>
            <w14:solidFill>
              <w14:schemeClr w14:val="tx1"/>
            </w14:solidFill>
          </w14:textFill>
        </w:rPr>
        <w:t>.3</w:t>
      </w:r>
      <w:r>
        <w:rPr>
          <w:rFonts w:hint="eastAsia" w:ascii="Times New Roman" w:hAnsi="Times New Roman" w:cs="Times New Roman"/>
          <w:bCs/>
          <w:color w:val="000000" w:themeColor="text1"/>
          <w:highlight w:val="none"/>
          <w:shd w:val="clear" w:color="auto" w:fill="auto"/>
          <w14:textFill>
            <w14:solidFill>
              <w14:schemeClr w14:val="tx1"/>
            </w14:solidFill>
          </w14:textFill>
        </w:rPr>
        <w:t>所</w:t>
      </w:r>
      <w:r>
        <w:rPr>
          <w:rFonts w:ascii="Times New Roman" w:hAnsi="Times New Roman" w:cs="Times New Roman"/>
          <w:bCs/>
          <w:color w:val="000000" w:themeColor="text1"/>
          <w:highlight w:val="none"/>
          <w:shd w:val="clear" w:color="auto" w:fill="auto"/>
          <w14:textFill>
            <w14:solidFill>
              <w14:schemeClr w14:val="tx1"/>
            </w14:solidFill>
          </w14:textFill>
        </w:rPr>
        <w:t>述情形。</w:t>
      </w:r>
    </w:p>
    <w:p w14:paraId="6F713A5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5.4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供应商。</w:t>
      </w:r>
    </w:p>
    <w:p w14:paraId="6091710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非单一产品采购项目中，多家供应商提供的部分或所有核心产品品牌相同的，视为提供相同品牌产品。本采购项目核心产品为：</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无</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14:paraId="32E5C8C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5.5 不同供应商的响应文件不得相互混装。</w:t>
      </w:r>
    </w:p>
    <w:p w14:paraId="6C8C24E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5.6 本项目采购代理及其分支机构不得作为供应商参加本项目政府采购活动。</w:t>
      </w:r>
    </w:p>
    <w:p w14:paraId="237A662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5.7 回避。政府采购活动中，采购人员及相关人员与供应商有下列利害关系之一的，应当回避：</w:t>
      </w:r>
    </w:p>
    <w:p w14:paraId="078A601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1）参加采购活动前3年内与供应商存在劳动关系；</w:t>
      </w:r>
    </w:p>
    <w:p w14:paraId="2A2BA64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2）参加采购活动前3年内担任供应商的董事、监事；</w:t>
      </w:r>
    </w:p>
    <w:p w14:paraId="38ABE14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3）参加采购活动前3年内是供应商的控股股东或者实际控制人；</w:t>
      </w:r>
    </w:p>
    <w:p w14:paraId="5F499C5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4）与供应商的法定代表人或者负责人有夫妻、直系血亲、三代以内旁系血亲或者近姻亲关系；</w:t>
      </w:r>
    </w:p>
    <w:p w14:paraId="69ACA11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5）与供应商有其他可能影响政府采购活动公平、公正进行的关系。</w:t>
      </w:r>
    </w:p>
    <w:p w14:paraId="29C57FF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供应商认为采购人员及相关人员与其他供应商有利害关系的，可以向省中心书面提出回避申请，并说明理由。省中心将及时询问被申请回避人员，有利害关系的被申请回避人员应当回避。</w:t>
      </w:r>
    </w:p>
    <w:bookmarkEnd w:id="61"/>
    <w:p w14:paraId="78D51DAD">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6.联合体</w:t>
      </w:r>
      <w:bookmarkStart w:id="62" w:name="_Hlk80345386"/>
      <w:r>
        <w:rPr>
          <w:rFonts w:hint="eastAsia" w:ascii="Times New Roman" w:hAnsi="Times New Roman" w:cs="Times New Roman"/>
          <w:b/>
          <w:color w:val="000000" w:themeColor="text1"/>
          <w:highlight w:val="none"/>
          <w:shd w:val="clear" w:color="auto" w:fill="auto"/>
          <w14:textFill>
            <w14:solidFill>
              <w14:schemeClr w14:val="tx1"/>
            </w14:solidFill>
          </w14:textFill>
        </w:rPr>
        <w:t>竞争性磋商</w:t>
      </w:r>
      <w:bookmarkEnd w:id="62"/>
      <w:r>
        <w:rPr>
          <w:rFonts w:ascii="Times New Roman" w:hAnsi="Times New Roman" w:cs="Times New Roman"/>
          <w:b/>
          <w:color w:val="000000" w:themeColor="text1"/>
          <w:highlight w:val="none"/>
          <w:shd w:val="clear" w:color="auto" w:fill="auto"/>
          <w14:textFill>
            <w14:solidFill>
              <w14:schemeClr w14:val="tx1"/>
            </w14:solidFill>
          </w14:textFill>
        </w:rPr>
        <w:t>（适用于接受联合体参加的项目）</w:t>
      </w:r>
    </w:p>
    <w:p w14:paraId="2B733C5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6.1 两个以上供应商可以组成一个联合体，以一个</w:t>
      </w:r>
      <w:r>
        <w:rPr>
          <w:rFonts w:hint="eastAsia" w:ascii="Times New Roman" w:hAnsi="Times New Roman" w:cs="Times New Roman"/>
          <w:bCs/>
          <w:color w:val="000000" w:themeColor="text1"/>
          <w:highlight w:val="none"/>
          <w:shd w:val="clear" w:color="auto" w:fill="auto"/>
          <w14:textFill>
            <w14:solidFill>
              <w14:schemeClr w14:val="tx1"/>
            </w14:solidFill>
          </w14:textFill>
        </w:rPr>
        <w:t>供应商</w:t>
      </w:r>
      <w:r>
        <w:rPr>
          <w:rFonts w:ascii="Times New Roman" w:hAnsi="Times New Roman" w:cs="Times New Roman"/>
          <w:bCs/>
          <w:color w:val="000000" w:themeColor="text1"/>
          <w:highlight w:val="none"/>
          <w:shd w:val="clear" w:color="auto" w:fill="auto"/>
          <w14:textFill>
            <w14:solidFill>
              <w14:schemeClr w14:val="tx1"/>
            </w14:solidFill>
          </w14:textFill>
        </w:rPr>
        <w:t>的身份</w:t>
      </w:r>
      <w:r>
        <w:rPr>
          <w:rFonts w:hint="eastAsia" w:ascii="Times New Roman" w:hAnsi="Times New Roman" w:cs="Times New Roman"/>
          <w:bCs/>
          <w:color w:val="000000" w:themeColor="text1"/>
          <w:highlight w:val="none"/>
          <w:shd w:val="clear" w:color="auto" w:fill="auto"/>
          <w14:textFill>
            <w14:solidFill>
              <w14:schemeClr w14:val="tx1"/>
            </w14:solidFill>
          </w14:textFill>
        </w:rPr>
        <w:t>参加竞争性磋商</w:t>
      </w:r>
      <w:r>
        <w:rPr>
          <w:rFonts w:ascii="Times New Roman" w:hAnsi="Times New Roman" w:cs="Times New Roman"/>
          <w:bCs/>
          <w:color w:val="000000" w:themeColor="text1"/>
          <w:highlight w:val="none"/>
          <w:shd w:val="clear" w:color="auto" w:fill="auto"/>
          <w14:textFill>
            <w14:solidFill>
              <w14:schemeClr w14:val="tx1"/>
            </w14:solidFill>
          </w14:textFill>
        </w:rPr>
        <w:t>。以联合体形式参加</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的，联合体各方均应当符合《政府采购法》第二十二条第一款规定的条件。采购人根据采购项目的特殊要求规定</w:t>
      </w:r>
      <w:r>
        <w:rPr>
          <w:rFonts w:hint="eastAsia" w:ascii="Times New Roman" w:hAnsi="Times New Roman" w:cs="Times New Roman"/>
          <w:bCs/>
          <w:color w:val="000000" w:themeColor="text1"/>
          <w:highlight w:val="none"/>
          <w:shd w:val="clear" w:color="auto" w:fill="auto"/>
          <w14:textFill>
            <w14:solidFill>
              <w14:schemeClr w14:val="tx1"/>
            </w14:solidFill>
          </w14:textFill>
        </w:rPr>
        <w:t>供应商</w:t>
      </w:r>
      <w:r>
        <w:rPr>
          <w:rFonts w:ascii="Times New Roman" w:hAnsi="Times New Roman" w:cs="Times New Roman"/>
          <w:bCs/>
          <w:color w:val="000000" w:themeColor="text1"/>
          <w:highlight w:val="none"/>
          <w:shd w:val="clear" w:color="auto" w:fill="auto"/>
          <w14:textFill>
            <w14:solidFill>
              <w14:schemeClr w14:val="tx1"/>
            </w14:solidFill>
          </w14:textFill>
        </w:rPr>
        <w:t>特定条件的，联合体各方中至少应当有一方符合采购人规定的特定条件。</w:t>
      </w:r>
    </w:p>
    <w:p w14:paraId="2CEB4D4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6.2 联合体各方之间应当签订联合协议，明确约定联合体各方承担的工作和相应的责任，并将共同联合协议连同</w:t>
      </w:r>
      <w:r>
        <w:rPr>
          <w:rFonts w:hint="eastAsia" w:ascii="Times New Roman" w:hAnsi="Times New Roman" w:cs="Times New Roman"/>
          <w:bCs/>
          <w:color w:val="000000" w:themeColor="text1"/>
          <w:highlight w:val="none"/>
          <w:shd w:val="clear" w:color="auto" w:fill="auto"/>
          <w14:textFill>
            <w14:solidFill>
              <w14:schemeClr w14:val="tx1"/>
            </w14:solidFill>
          </w14:textFill>
        </w:rPr>
        <w:t>响应</w:t>
      </w:r>
      <w:r>
        <w:rPr>
          <w:rFonts w:ascii="Times New Roman" w:hAnsi="Times New Roman" w:cs="Times New Roman"/>
          <w:bCs/>
          <w:color w:val="000000" w:themeColor="text1"/>
          <w:highlight w:val="none"/>
          <w:shd w:val="clear" w:color="auto" w:fill="auto"/>
          <w14:textFill>
            <w14:solidFill>
              <w14:schemeClr w14:val="tx1"/>
            </w14:solidFill>
          </w14:textFill>
        </w:rPr>
        <w:t>文件一并提交</w:t>
      </w:r>
      <w:r>
        <w:rPr>
          <w:rFonts w:hint="eastAsia" w:ascii="Times New Roman" w:hAnsi="Times New Roman" w:cs="Times New Roman"/>
          <w:bCs/>
          <w:color w:val="000000" w:themeColor="text1"/>
          <w:highlight w:val="none"/>
          <w:shd w:val="clear" w:color="auto" w:fill="auto"/>
          <w14:textFill>
            <w14:solidFill>
              <w14:schemeClr w14:val="tx1"/>
            </w14:solidFill>
          </w14:textFill>
        </w:rPr>
        <w:t>采购人</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0E06E66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6.3 联合体应当确定其中一个单位为</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的全权代表，负责参加</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的一切事务，并承担</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及履约中应承担的全部责任与义务。</w:t>
      </w:r>
    </w:p>
    <w:p w14:paraId="2E84A4A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6.4 联合体各方应当共同与采购人签订采购合同，就采购合同约定的事项对采购人承担连带责任。</w:t>
      </w:r>
    </w:p>
    <w:p w14:paraId="5ABD6C3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6.5 联合体中有同类资质的供应商按照联合体分工承担相同工作的，应当按照资质等级较低的供应商确定资质等级。</w:t>
      </w:r>
    </w:p>
    <w:p w14:paraId="7C04C9F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6.6 以联合体形式参加政府采购活动的，联合体各方不得再单独参加或者与其他供应商另外组成联合体参加同一合同项下的政府采购活动</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14:paraId="28E1D2DF">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7</w:t>
      </w:r>
      <w:r>
        <w:rPr>
          <w:rFonts w:ascii="Times New Roman" w:hAnsi="Times New Roman" w:cs="Times New Roman"/>
          <w:b/>
          <w:color w:val="000000" w:themeColor="text1"/>
          <w:highlight w:val="none"/>
          <w:shd w:val="clear" w:color="auto" w:fill="auto"/>
          <w14:textFill>
            <w14:solidFill>
              <w14:schemeClr w14:val="tx1"/>
            </w14:solidFill>
          </w14:textFill>
        </w:rPr>
        <w:t>.知识产权</w:t>
      </w:r>
    </w:p>
    <w:p w14:paraId="2EED001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7.1 供应商在本项目中使用的任何产品和服务（包括部分使用），不得产生因第三方提出侵犯其专利权、商标权或其它知识产权而引起的法律和经济纠纷，如因专利权、商标权或其它知识产权而引起法律和经济纠纷，由供应商承担所有相关责任。</w:t>
      </w:r>
    </w:p>
    <w:p w14:paraId="26CEDE5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7.2 除非</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文件特别规定，采购人享有本项目实施过程中产生的知识成果及知识产权。</w:t>
      </w:r>
    </w:p>
    <w:p w14:paraId="63D8ADD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7.3 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608359F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7.4 如采用供应商所不拥有的知识产权，则在报价中必须包括合法获取该知识产权的相关费用。</w:t>
      </w:r>
    </w:p>
    <w:p w14:paraId="10680F4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3A8A2A7B">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63" w:name="_Toc80303112"/>
      <w:bookmarkStart w:id="64" w:name="_Toc69936276"/>
      <w:bookmarkStart w:id="65" w:name="_Toc77273095"/>
      <w:r>
        <w:rPr>
          <w:rFonts w:ascii="Times New Roman" w:hAnsi="Times New Roman" w:cs="Times New Roman"/>
          <w:b/>
          <w:color w:val="000000" w:themeColor="text1"/>
          <w:highlight w:val="none"/>
          <w:shd w:val="clear" w:color="auto" w:fill="auto"/>
          <w14:textFill>
            <w14:solidFill>
              <w14:schemeClr w14:val="tx1"/>
            </w14:solidFill>
          </w14:textFill>
        </w:rPr>
        <w:t>三、磋商文件</w:t>
      </w:r>
      <w:bookmarkEnd w:id="57"/>
      <w:bookmarkEnd w:id="58"/>
      <w:bookmarkEnd w:id="59"/>
      <w:bookmarkEnd w:id="63"/>
      <w:bookmarkEnd w:id="64"/>
      <w:bookmarkEnd w:id="65"/>
    </w:p>
    <w:p w14:paraId="720E4D8C">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1.磋商文件的构成</w:t>
      </w:r>
    </w:p>
    <w:p w14:paraId="00B2955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1.1 磋商文件是供应商准备响应文件和参加磋商的依据，同时也是磋商的重要依据。磋商文件用以阐明磋商项目所需的资质、技术、服务及报价等要求、磋商程序、有关规定和注意事项以及合同主要条款等。</w:t>
      </w:r>
    </w:p>
    <w:p w14:paraId="32BBAFB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071F7DFF">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2.磋商文件的澄清和修改</w:t>
      </w:r>
    </w:p>
    <w:p w14:paraId="525E5EB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2.1 提交首次响应文件截止时间前，采购人可以对磋商文件进行澄清或者修改。</w:t>
      </w:r>
    </w:p>
    <w:p w14:paraId="325B41B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2.2 采购人对已发出的磋商文件进行澄清或者修改，应当在</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门户</w:t>
      </w:r>
      <w:r>
        <w:rPr>
          <w:rFonts w:ascii="Times New Roman" w:hAnsi="Times New Roman" w:cs="Times New Roman"/>
          <w:bCs/>
          <w:color w:val="000000" w:themeColor="text1"/>
          <w:highlight w:val="none"/>
          <w:shd w:val="clear" w:color="auto" w:fill="auto"/>
          <w14:textFill>
            <w14:solidFill>
              <w14:schemeClr w14:val="tx1"/>
            </w14:solidFill>
          </w14:textFill>
        </w:rPr>
        <w:t>网</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站</w:t>
      </w:r>
      <w:r>
        <w:rPr>
          <w:rFonts w:ascii="Times New Roman" w:hAnsi="Times New Roman" w:cs="Times New Roman"/>
          <w:bCs/>
          <w:color w:val="000000" w:themeColor="text1"/>
          <w:highlight w:val="none"/>
          <w:shd w:val="clear" w:color="auto" w:fill="auto"/>
          <w14:textFill>
            <w14:solidFill>
              <w14:schemeClr w14:val="tx1"/>
            </w14:solidFill>
          </w14:textFill>
        </w:rPr>
        <w:t>上发布更正公告（以“采购人和评审专家分别书面推荐”或“从四川省政府采购供应商库中随机抽取”方式邀请供应商</w:t>
      </w:r>
      <w:r>
        <w:rPr>
          <w:rFonts w:hint="eastAsia" w:ascii="Times New Roman" w:hAnsi="Times New Roman" w:cs="Times New Roman"/>
          <w:bCs/>
          <w:color w:val="000000" w:themeColor="text1"/>
          <w:highlight w:val="none"/>
          <w:shd w:val="clear" w:color="auto" w:fill="auto"/>
          <w14:textFill>
            <w14:solidFill>
              <w14:schemeClr w14:val="tx1"/>
            </w14:solidFill>
          </w14:textFill>
        </w:rPr>
        <w:t>的</w:t>
      </w:r>
      <w:r>
        <w:rPr>
          <w:rFonts w:ascii="Times New Roman" w:hAnsi="Times New Roman" w:cs="Times New Roman"/>
          <w:bCs/>
          <w:color w:val="000000" w:themeColor="text1"/>
          <w:highlight w:val="none"/>
          <w:shd w:val="clear" w:color="auto" w:fill="auto"/>
          <w14:textFill>
            <w14:solidFill>
              <w14:schemeClr w14:val="tx1"/>
            </w14:solidFill>
          </w14:textFill>
        </w:rPr>
        <w:t>除外）。该澄清或者修改的内容为磋商文件的组成部分，澄清或者修改的内容可能影响响应文件编制的，采购人发布澄清公告并通知成功获取磋商文件的供应商的时间，应当在提交首次响应文件截止之日5日前；不足上述时间的，应当顺延提交响应文件截止时间。</w:t>
      </w:r>
    </w:p>
    <w:p w14:paraId="2344CF1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2.3 供应商应于提交响应文件截止时间前，及时关注在</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门户</w:t>
      </w:r>
      <w:r>
        <w:rPr>
          <w:rFonts w:ascii="Times New Roman" w:hAnsi="Times New Roman" w:cs="Times New Roman"/>
          <w:bCs/>
          <w:color w:val="000000" w:themeColor="text1"/>
          <w:highlight w:val="none"/>
          <w:shd w:val="clear" w:color="auto" w:fill="auto"/>
          <w14:textFill>
            <w14:solidFill>
              <w14:schemeClr w14:val="tx1"/>
            </w14:solidFill>
          </w14:textFill>
        </w:rPr>
        <w:t>网</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站</w:t>
      </w:r>
      <w:r>
        <w:rPr>
          <w:rFonts w:ascii="Times New Roman" w:hAnsi="Times New Roman" w:cs="Times New Roman"/>
          <w:bCs/>
          <w:color w:val="000000" w:themeColor="text1"/>
          <w:highlight w:val="none"/>
          <w:shd w:val="clear" w:color="auto" w:fill="auto"/>
          <w14:textFill>
            <w14:solidFill>
              <w14:schemeClr w14:val="tx1"/>
            </w14:solidFill>
          </w14:textFill>
        </w:rPr>
        <w:t>发布的本项目更正公告，以保证对磋商文件做出正确的响应。</w:t>
      </w:r>
      <w:bookmarkStart w:id="66" w:name="_Hlk80659579"/>
      <w:r>
        <w:rPr>
          <w:rFonts w:ascii="Times New Roman" w:hAnsi="Times New Roman" w:cs="Times New Roman"/>
          <w:bCs/>
          <w:color w:val="000000" w:themeColor="text1"/>
          <w:highlight w:val="none"/>
          <w:shd w:val="clear" w:color="auto" w:fill="auto"/>
          <w14:textFill>
            <w14:solidFill>
              <w14:schemeClr w14:val="tx1"/>
            </w14:solidFill>
          </w14:textFill>
        </w:rPr>
        <w:t>供应商</w:t>
      </w:r>
      <w:r>
        <w:rPr>
          <w:rFonts w:hint="eastAsia" w:ascii="Times New Roman" w:hAnsi="Times New Roman" w:cs="Times New Roman"/>
          <w:bCs/>
          <w:color w:val="000000" w:themeColor="text1"/>
          <w:highlight w:val="none"/>
          <w:shd w:val="clear" w:color="auto" w:fill="auto"/>
          <w14:textFill>
            <w14:solidFill>
              <w14:schemeClr w14:val="tx1"/>
            </w14:solidFill>
          </w14:textFill>
        </w:rPr>
        <w:t>自行承担</w:t>
      </w:r>
      <w:r>
        <w:rPr>
          <w:rFonts w:ascii="Times New Roman" w:hAnsi="Times New Roman" w:cs="Times New Roman"/>
          <w:bCs/>
          <w:color w:val="000000" w:themeColor="text1"/>
          <w:highlight w:val="none"/>
          <w:shd w:val="clear" w:color="auto" w:fill="auto"/>
          <w14:textFill>
            <w14:solidFill>
              <w14:schemeClr w14:val="tx1"/>
            </w14:solidFill>
          </w14:textFill>
        </w:rPr>
        <w:t>未及时关注相关信息所造成的不利后果</w:t>
      </w:r>
      <w:bookmarkEnd w:id="66"/>
      <w:r>
        <w:rPr>
          <w:rFonts w:ascii="Times New Roman" w:hAnsi="Times New Roman" w:cs="Times New Roman"/>
          <w:bCs/>
          <w:color w:val="000000" w:themeColor="text1"/>
          <w:highlight w:val="none"/>
          <w:shd w:val="clear" w:color="auto" w:fill="auto"/>
          <w14:textFill>
            <w14:solidFill>
              <w14:schemeClr w14:val="tx1"/>
            </w14:solidFill>
          </w14:textFill>
        </w:rPr>
        <w:t>。</w:t>
      </w:r>
    </w:p>
    <w:p w14:paraId="2A88DD1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67" w:name="_Hlk80870269"/>
      <w:r>
        <w:rPr>
          <w:rFonts w:ascii="Times New Roman" w:hAnsi="Times New Roman" w:cs="Times New Roman"/>
          <w:bCs/>
          <w:color w:val="000000" w:themeColor="text1"/>
          <w:highlight w:val="none"/>
          <w:shd w:val="clear" w:color="auto" w:fill="auto"/>
          <w14:textFill>
            <w14:solidFill>
              <w14:schemeClr w14:val="tx1"/>
            </w14:solidFill>
          </w14:textFill>
        </w:rPr>
        <w:t>2</w:t>
      </w:r>
      <w:r>
        <w:rPr>
          <w:rFonts w:hint="eastAsia" w:ascii="Times New Roman" w:hAnsi="Times New Roman" w:cs="Times New Roman"/>
          <w:bCs/>
          <w:color w:val="000000" w:themeColor="text1"/>
          <w:highlight w:val="none"/>
          <w:shd w:val="clear" w:color="auto" w:fill="auto"/>
          <w14:textFill>
            <w14:solidFill>
              <w14:schemeClr w14:val="tx1"/>
            </w14:solidFill>
          </w14:textFill>
        </w:rPr>
        <w:t>.4供应商认为需要对磋商文件进行澄清或者修改的，可以在响应文件提交截止时间3日前以书面形式向采购人提出申请，由采购人决定是否采纳供应商的申请事项。</w:t>
      </w:r>
    </w:p>
    <w:bookmarkEnd w:id="67"/>
    <w:p w14:paraId="591ED3D5">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3.答疑会和现场考察</w:t>
      </w:r>
    </w:p>
    <w:p w14:paraId="425BE4E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不组织</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5638CD6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5E2BFE88">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68" w:name="_Toc63012557"/>
      <w:bookmarkStart w:id="69" w:name="_Toc63423295"/>
      <w:bookmarkStart w:id="70" w:name="_Toc69936277"/>
      <w:bookmarkStart w:id="71" w:name="_Toc80303113"/>
      <w:bookmarkStart w:id="72" w:name="_Toc69651249"/>
      <w:bookmarkStart w:id="73" w:name="_Toc77273096"/>
    </w:p>
    <w:p w14:paraId="6EF4E111">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四、响应文件</w:t>
      </w:r>
      <w:bookmarkEnd w:id="68"/>
      <w:bookmarkEnd w:id="69"/>
      <w:bookmarkEnd w:id="70"/>
      <w:bookmarkEnd w:id="71"/>
      <w:bookmarkEnd w:id="72"/>
      <w:bookmarkEnd w:id="73"/>
    </w:p>
    <w:p w14:paraId="27CF4C60">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1.响应文件的组成（实质性要求）</w:t>
      </w:r>
    </w:p>
    <w:p w14:paraId="386A75C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供应商应按照磋商文件的规定和要求编制响应文件。供应商在成交后将成交项目的非主体、非关键性工作分包他人完成的，应当在响应文件中载明或磋商过程中澄清。</w:t>
      </w:r>
    </w:p>
    <w:p w14:paraId="4E8D187A">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2.响应文件的语言（实质性要求）</w:t>
      </w:r>
    </w:p>
    <w:p w14:paraId="410F2E5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 xml:space="preserve">2.1 </w:t>
      </w:r>
      <w:bookmarkStart w:id="74" w:name="_Hlk80186346"/>
      <w:r>
        <w:rPr>
          <w:rFonts w:ascii="Times New Roman" w:hAnsi="Times New Roman" w:cs="Times New Roman"/>
          <w:bCs/>
          <w:color w:val="000000" w:themeColor="text1"/>
          <w:highlight w:val="none"/>
          <w:shd w:val="clear" w:color="auto" w:fill="auto"/>
          <w14:textFill>
            <w14:solidFill>
              <w14:schemeClr w14:val="tx1"/>
            </w14:solidFill>
          </w14:textFill>
        </w:rPr>
        <w:t>供应商提交的响应文件以及供应商与采购人就有关磋商的所有来往书面文件均须使用中文。响应文件中如附有外文资料，必须逐一对应翻译成中文附在相关外文资料后面，否则，所提供的外文资料将被视为无效材料。（说明：供应商的法定代表人/负责人为外籍人士的，法定代表人/负责人的签字和护照除外）</w:t>
      </w:r>
      <w:bookmarkEnd w:id="74"/>
    </w:p>
    <w:p w14:paraId="564AB54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2.2 翻译的中文资料与外文资料如果出现差异和矛盾时，以中文为准。涉嫌提供虚假材料的按照相关法律法规处理。</w:t>
      </w:r>
    </w:p>
    <w:p w14:paraId="2A0F951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2.3 如因未翻译而造成对供应商的不利后果，由供应商承担。</w:t>
      </w:r>
    </w:p>
    <w:p w14:paraId="295783AC">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3.计量单位（实质性要求）</w:t>
      </w:r>
    </w:p>
    <w:p w14:paraId="04F3282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除磋商文件中另有规定外，本次采购项目所有合同项下的报价均采用国家法定的计量单位。</w:t>
      </w:r>
    </w:p>
    <w:p w14:paraId="4AEF8698">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bookmarkStart w:id="75" w:name="_Hlk63326875"/>
      <w:r>
        <w:rPr>
          <w:rFonts w:ascii="Times New Roman" w:hAnsi="Times New Roman" w:cs="Times New Roman"/>
          <w:b/>
          <w:color w:val="000000" w:themeColor="text1"/>
          <w:highlight w:val="none"/>
          <w:shd w:val="clear" w:color="auto" w:fill="auto"/>
          <w14:textFill>
            <w14:solidFill>
              <w14:schemeClr w14:val="tx1"/>
            </w14:solidFill>
          </w14:textFill>
        </w:rPr>
        <w:t>4.报价</w:t>
      </w:r>
      <w:bookmarkEnd w:id="75"/>
      <w:r>
        <w:rPr>
          <w:rFonts w:hint="eastAsia" w:ascii="Times New Roman" w:hAnsi="Times New Roman" w:cs="Times New Roman"/>
          <w:b/>
          <w:color w:val="000000" w:themeColor="text1"/>
          <w:highlight w:val="none"/>
          <w:shd w:val="clear" w:color="auto" w:fill="auto"/>
          <w14:textFill>
            <w14:solidFill>
              <w14:schemeClr w14:val="tx1"/>
            </w14:solidFill>
          </w14:textFill>
        </w:rPr>
        <w:t>货币</w:t>
      </w:r>
      <w:r>
        <w:rPr>
          <w:rFonts w:ascii="Times New Roman" w:hAnsi="Times New Roman" w:cs="Times New Roman"/>
          <w:b/>
          <w:color w:val="000000" w:themeColor="text1"/>
          <w:highlight w:val="none"/>
          <w:shd w:val="clear" w:color="auto" w:fill="auto"/>
          <w14:textFill>
            <w14:solidFill>
              <w14:schemeClr w14:val="tx1"/>
            </w14:solidFill>
          </w14:textFill>
        </w:rPr>
        <w:t>（实质性要求）</w:t>
      </w:r>
    </w:p>
    <w:p w14:paraId="51F4969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本次磋商项目的报价货币为人民币，报价以磋商文件规定为准。</w:t>
      </w:r>
    </w:p>
    <w:p w14:paraId="30F99982">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5.响应文件的格式</w:t>
      </w:r>
    </w:p>
    <w:p w14:paraId="52EB7EC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5.1 供应商应执行磋商文件第</w:t>
      </w:r>
      <w:r>
        <w:rPr>
          <w:rFonts w:hint="eastAsia" w:ascii="Times New Roman" w:hAnsi="Times New Roman" w:cs="Times New Roman"/>
          <w:bCs/>
          <w:color w:val="000000" w:themeColor="text1"/>
          <w:highlight w:val="none"/>
          <w:shd w:val="clear" w:color="auto" w:fill="auto"/>
          <w14:textFill>
            <w14:solidFill>
              <w14:schemeClr w14:val="tx1"/>
            </w14:solidFill>
          </w14:textFill>
        </w:rPr>
        <w:t>八</w:t>
      </w:r>
      <w:r>
        <w:rPr>
          <w:rFonts w:ascii="Times New Roman" w:hAnsi="Times New Roman" w:cs="Times New Roman"/>
          <w:bCs/>
          <w:color w:val="000000" w:themeColor="text1"/>
          <w:highlight w:val="none"/>
          <w:shd w:val="clear" w:color="auto" w:fill="auto"/>
          <w14:textFill>
            <w14:solidFill>
              <w14:schemeClr w14:val="tx1"/>
            </w14:solidFill>
          </w14:textFill>
        </w:rPr>
        <w:t>章规定的要求。</w:t>
      </w:r>
    </w:p>
    <w:p w14:paraId="2CB6DBB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5.2 对于磋商文件没有格式要求的由供应商自行编写。</w:t>
      </w:r>
    </w:p>
    <w:p w14:paraId="52B1267B">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6.响应文件的编制和签署</w:t>
      </w:r>
    </w:p>
    <w:p w14:paraId="1B7BD35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76" w:name="_Hlk62752724"/>
      <w:r>
        <w:rPr>
          <w:rFonts w:ascii="Times New Roman" w:hAnsi="Times New Roman" w:cs="Times New Roman"/>
          <w:bCs/>
          <w:color w:val="000000" w:themeColor="text1"/>
          <w:highlight w:val="none"/>
          <w:shd w:val="clear" w:color="auto" w:fill="auto"/>
          <w14:textFill>
            <w14:solidFill>
              <w14:schemeClr w14:val="tx1"/>
            </w14:solidFill>
          </w14:textFill>
        </w:rPr>
        <w:t>6.1 供应商应当认真阅读和充分理解磋商文件中所有的事项、格式条款和规范要求。</w:t>
      </w:r>
    </w:p>
    <w:p w14:paraId="758567E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6.2 供应商响应文件中提供的各种材料（包括提供第三方出具的材料）、声明和承诺等所有内容应当真实有效，供应商自行承担出现无效、虚假等内容所带来的不利后果。</w:t>
      </w:r>
    </w:p>
    <w:p w14:paraId="46A9C58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6.3 供应商应当按照磋商文件规定编制响应文件，并对其提交的响应文件的真实性、合法性承担法律责任。</w:t>
      </w:r>
    </w:p>
    <w:p w14:paraId="03363FF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6.4 响应文件中的附件或者图片的内容信息应当清晰可辨，否则供应商自行承担不利后果。</w:t>
      </w:r>
    </w:p>
    <w:p w14:paraId="483192D4">
      <w:pPr>
        <w:ind w:firstLine="482"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6.5 （实质性要求）</w:t>
      </w:r>
      <w:bookmarkStart w:id="77" w:name="_Hlk80186402"/>
      <w:r>
        <w:rPr>
          <w:rFonts w:ascii="Times New Roman" w:hAnsi="Times New Roman" w:cs="Times New Roman"/>
          <w:b/>
          <w:color w:val="000000" w:themeColor="text1"/>
          <w:highlight w:val="none"/>
          <w:shd w:val="clear" w:color="auto" w:fill="auto"/>
          <w14:textFill>
            <w14:solidFill>
              <w14:schemeClr w14:val="tx1"/>
            </w14:solidFill>
          </w14:textFill>
        </w:rPr>
        <w:t>本项目磋商文件及其“响应文件格式”中规定需要签章的，供应商应按要求在相应签章位置进行签章。磋商过程中供应商提交的响应文件（包括澄清、说明、报价等）应当由供应商的法定代表人/负责人或授权代表签章确认</w:t>
      </w:r>
      <w:bookmarkEnd w:id="77"/>
      <w:r>
        <w:rPr>
          <w:rFonts w:ascii="Times New Roman" w:hAnsi="Times New Roman" w:cs="Times New Roman"/>
          <w:bCs/>
          <w:color w:val="000000" w:themeColor="text1"/>
          <w:highlight w:val="none"/>
          <w:shd w:val="clear" w:color="auto" w:fill="auto"/>
          <w14:textFill>
            <w14:solidFill>
              <w14:schemeClr w14:val="tx1"/>
            </w14:solidFill>
          </w14:textFill>
        </w:rPr>
        <w:t>。</w:t>
      </w:r>
    </w:p>
    <w:p w14:paraId="14CB85C4">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7</w:t>
      </w:r>
      <w:r>
        <w:rPr>
          <w:rFonts w:ascii="Times New Roman" w:hAnsi="Times New Roman" w:cs="Times New Roman"/>
          <w:b/>
          <w:color w:val="000000" w:themeColor="text1"/>
          <w:highlight w:val="none"/>
          <w:shd w:val="clear" w:color="auto" w:fill="auto"/>
          <w14:textFill>
            <w14:solidFill>
              <w14:schemeClr w14:val="tx1"/>
            </w14:solidFill>
          </w14:textFill>
        </w:rPr>
        <w:t>.响应文件的拒收、补充、修改和撤回</w:t>
      </w:r>
    </w:p>
    <w:p w14:paraId="25A3BC9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7</w:t>
      </w: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1</w:t>
      </w:r>
      <w:r>
        <w:rPr>
          <w:rFonts w:ascii="Times New Roman" w:hAnsi="Times New Roman" w:cs="Times New Roman"/>
          <w:bCs/>
          <w:color w:val="000000" w:themeColor="text1"/>
          <w:highlight w:val="none"/>
          <w:shd w:val="clear" w:color="auto" w:fill="auto"/>
          <w14:textFill>
            <w14:solidFill>
              <w14:schemeClr w14:val="tx1"/>
            </w14:solidFill>
          </w14:textFill>
        </w:rPr>
        <w:t>供应商应当按照磋商文件规定提交截止时间前提交</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响应文件</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235A3F0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7</w:t>
      </w:r>
      <w:r>
        <w:rPr>
          <w:rFonts w:ascii="Times New Roman" w:hAnsi="Times New Roman" w:cs="Times New Roman"/>
          <w:bCs/>
          <w:color w:val="000000" w:themeColor="text1"/>
          <w:highlight w:val="none"/>
          <w:shd w:val="clear" w:color="auto" w:fill="auto"/>
          <w14:textFill>
            <w14:solidFill>
              <w14:schemeClr w14:val="tx1"/>
            </w14:solidFill>
          </w14:textFill>
        </w:rPr>
        <w:t>.2响应文件提交截止时间前，成功提交响应文件的供应商，可以补充、修改或者撤回已提交的响应文件；进行补充、修改的，应当先行撤回已提交的响应文件，补充、修改的后重新提交。</w:t>
      </w:r>
    </w:p>
    <w:p w14:paraId="34C5B32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1E60A531">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78" w:name="_Toc69936278"/>
      <w:bookmarkStart w:id="79" w:name="_Toc80303114"/>
      <w:bookmarkStart w:id="80" w:name="_Toc77273097"/>
      <w:bookmarkStart w:id="81" w:name="_Toc69651250"/>
      <w:r>
        <w:rPr>
          <w:rFonts w:ascii="Times New Roman" w:hAnsi="Times New Roman" w:cs="Times New Roman"/>
          <w:b/>
          <w:color w:val="000000" w:themeColor="text1"/>
          <w:highlight w:val="none"/>
          <w:shd w:val="clear" w:color="auto" w:fill="auto"/>
          <w14:textFill>
            <w14:solidFill>
              <w14:schemeClr w14:val="tx1"/>
            </w14:solidFill>
          </w14:textFill>
        </w:rPr>
        <w:t>五、评审</w:t>
      </w:r>
      <w:bookmarkEnd w:id="78"/>
      <w:bookmarkEnd w:id="79"/>
      <w:bookmarkEnd w:id="80"/>
      <w:bookmarkEnd w:id="81"/>
    </w:p>
    <w:p w14:paraId="521DECF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1.评审工作在</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ascii="Times New Roman" w:hAnsi="Times New Roman" w:cs="Times New Roman"/>
          <w:bCs/>
          <w:color w:val="000000" w:themeColor="text1"/>
          <w:highlight w:val="none"/>
          <w:shd w:val="clear" w:color="auto" w:fill="auto"/>
          <w14:textFill>
            <w14:solidFill>
              <w14:schemeClr w14:val="tx1"/>
            </w14:solidFill>
          </w14:textFill>
        </w:rPr>
        <w:t>开展评审所需的澄清、说明、磋商和报价等活动。因供应商自身准备不足所造成的不利后果，由其自行承担。</w:t>
      </w:r>
    </w:p>
    <w:p w14:paraId="3F1DA3F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2.采购人委派的监督人员负责评审现场的监督工作。</w:t>
      </w:r>
    </w:p>
    <w:p w14:paraId="1F7CAFC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32CEB6F7">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82" w:name="_Toc80303115"/>
      <w:bookmarkStart w:id="83" w:name="_Toc77273098"/>
      <w:bookmarkStart w:id="84" w:name="_Toc69936279"/>
      <w:bookmarkStart w:id="85" w:name="_Toc69651251"/>
      <w:r>
        <w:rPr>
          <w:rFonts w:ascii="Times New Roman" w:hAnsi="Times New Roman" w:cs="Times New Roman"/>
          <w:b/>
          <w:color w:val="000000" w:themeColor="text1"/>
          <w:highlight w:val="none"/>
          <w:shd w:val="clear" w:color="auto" w:fill="auto"/>
          <w14:textFill>
            <w14:solidFill>
              <w14:schemeClr w14:val="tx1"/>
            </w14:solidFill>
          </w14:textFill>
        </w:rPr>
        <w:t>六、成交事项</w:t>
      </w:r>
      <w:bookmarkEnd w:id="82"/>
      <w:bookmarkEnd w:id="83"/>
      <w:bookmarkEnd w:id="84"/>
      <w:bookmarkEnd w:id="85"/>
    </w:p>
    <w:p w14:paraId="620FB743">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1.确定成交供应商</w:t>
      </w:r>
    </w:p>
    <w:p w14:paraId="7CE70B6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（选定后，仅获取该情形所对应的内容）</w:t>
      </w:r>
    </w:p>
    <w:p w14:paraId="455B37F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
          <w:color w:val="000000" w:themeColor="text1"/>
          <w:highlight w:val="none"/>
          <w:shd w:val="clear" w:color="auto" w:fill="auto"/>
          <w14:textFill>
            <w14:solidFill>
              <w14:schemeClr w14:val="tx1"/>
            </w14:solidFill>
          </w14:textFill>
        </w:rPr>
        <w:t>第一种情形：</w:t>
      </w:r>
      <w:r>
        <w:rPr>
          <w:rFonts w:ascii="Times New Roman" w:hAnsi="Times New Roman" w:cs="Times New Roman"/>
          <w:bCs/>
          <w:color w:val="000000" w:themeColor="text1"/>
          <w:highlight w:val="none"/>
          <w:shd w:val="clear" w:color="auto" w:fill="auto"/>
          <w14:textFill>
            <w14:solidFill>
              <w14:schemeClr w14:val="tx1"/>
            </w14:solidFill>
          </w14:textFill>
        </w:rPr>
        <w:t>本项目采购人书面授权磋商小组确定成交供应商。磋商小组按照推荐的候选成交供应商顺序确定成交供应商，成交候选供应商并列的，由磋商小组随机抽签确定成交供应商。</w:t>
      </w:r>
    </w:p>
    <w:p w14:paraId="101E39D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
          <w:color w:val="000000" w:themeColor="text1"/>
          <w:highlight w:val="none"/>
          <w:shd w:val="clear" w:color="auto" w:fill="auto"/>
          <w14:textFill>
            <w14:solidFill>
              <w14:schemeClr w14:val="tx1"/>
            </w14:solidFill>
          </w14:textFill>
        </w:rPr>
        <w:t>第二种情形：</w:t>
      </w:r>
      <w:r>
        <w:rPr>
          <w:rFonts w:ascii="Times New Roman" w:hAnsi="Times New Roman" w:cs="Times New Roman"/>
          <w:bCs/>
          <w:color w:val="000000" w:themeColor="text1"/>
          <w:highlight w:val="none"/>
          <w:shd w:val="clear" w:color="auto" w:fill="auto"/>
          <w14:textFill>
            <w14:solidFill>
              <w14:schemeClr w14:val="tx1"/>
            </w14:solidFill>
          </w14:textFill>
        </w:rPr>
        <w:t>本项目采购人将按磋商小组推荐的成交候选供应商顺序确定成交供应商。</w:t>
      </w:r>
    </w:p>
    <w:p w14:paraId="30EFD9C6">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bookmarkStart w:id="86" w:name="_Hlk80346325"/>
      <w:r>
        <w:rPr>
          <w:rFonts w:ascii="Times New Roman" w:hAnsi="Times New Roman" w:cs="Times New Roman"/>
          <w:b/>
          <w:color w:val="000000" w:themeColor="text1"/>
          <w:highlight w:val="none"/>
          <w:shd w:val="clear" w:color="auto" w:fill="auto"/>
          <w14:textFill>
            <w14:solidFill>
              <w14:schemeClr w14:val="tx1"/>
            </w14:solidFill>
          </w14:textFill>
        </w:rPr>
        <w:t>2.采购人确定成交供应商过程中，发现成交候选供应商有下列情形之一的，应当不予确定其为成交供应商：</w:t>
      </w:r>
    </w:p>
    <w:p w14:paraId="68B50CC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1）发现成交候选供应商存在禁止参加本项目采购活动的违法行为的；</w:t>
      </w:r>
    </w:p>
    <w:p w14:paraId="6584BB2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2）成交候选供应商因不可抗力，不能继续参加政府采购活动；</w:t>
      </w:r>
    </w:p>
    <w:p w14:paraId="218E310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3）成交候选供应商无偿赠与或者低于成本价竞争；</w:t>
      </w:r>
    </w:p>
    <w:p w14:paraId="5EB0C02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4）成交候选供应商提供虚假材料；</w:t>
      </w:r>
    </w:p>
    <w:p w14:paraId="1AE73CC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5）成交候选供应商恶意串通。</w:t>
      </w:r>
    </w:p>
    <w:p w14:paraId="643E1F1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成交候选供应商有本条情形之一的，采购人可以确定后一位成交候选供应商为成交供应商，依次类推。无法确定成交供应商的，应当重新组织采购。</w:t>
      </w:r>
    </w:p>
    <w:bookmarkEnd w:id="86"/>
    <w:p w14:paraId="04F8BF68">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3</w:t>
      </w:r>
      <w:r>
        <w:rPr>
          <w:rFonts w:hint="eastAsia" w:ascii="Times New Roman" w:hAnsi="Times New Roman" w:cs="Times New Roman"/>
          <w:b/>
          <w:color w:val="000000" w:themeColor="text1"/>
          <w:highlight w:val="none"/>
          <w:shd w:val="clear" w:color="auto" w:fill="auto"/>
          <w14:textFill>
            <w14:solidFill>
              <w14:schemeClr w14:val="tx1"/>
            </w14:solidFill>
          </w14:textFill>
        </w:rPr>
        <w:t>.行贿犯罪档案查询</w:t>
      </w:r>
    </w:p>
    <w:p w14:paraId="66801ED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3.1根据《最高人民检察院关于行贿犯罪档案查询工作的规定》和《关于在政府采购活动中全面开展行贿犯罪档案查询的通知》（川检会〔2016〕5号）的要求，采购人确定成交供应商期间，采购人可通过中国裁判文书网（</w:t>
      </w:r>
      <w:r>
        <w:rPr>
          <w:rFonts w:ascii="Times New Roman" w:hAnsi="Times New Roman" w:cs="Times New Roman"/>
          <w:bCs/>
          <w:color w:val="000000" w:themeColor="text1"/>
          <w:highlight w:val="none"/>
          <w:shd w:val="clear" w:color="auto" w:fill="auto"/>
          <w14:textFill>
            <w14:solidFill>
              <w14:schemeClr w14:val="tx1"/>
            </w14:solidFill>
          </w14:textFill>
        </w:rPr>
        <w:t>https://wenshu.court.gov.cn/</w:t>
      </w:r>
      <w:r>
        <w:rPr>
          <w:rFonts w:hint="eastAsia" w:ascii="Times New Roman" w:hAnsi="Times New Roman" w:cs="Times New Roman"/>
          <w:bCs/>
          <w:color w:val="000000" w:themeColor="text1"/>
          <w:highlight w:val="none"/>
          <w:shd w:val="clear" w:color="auto" w:fill="auto"/>
          <w14:textFill>
            <w14:solidFill>
              <w14:schemeClr w14:val="tx1"/>
            </w14:solidFill>
          </w14:textFill>
        </w:rPr>
        <w:t>）等查询成交候选供应商单位及其现任法定代表人、主要负责人是否存在行贿犯罪记录。</w:t>
      </w:r>
    </w:p>
    <w:p w14:paraId="17B2E95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3.2</w:t>
      </w:r>
      <w:r>
        <w:rPr>
          <w:rFonts w:ascii="Times New Roman" w:hAnsi="Times New Roman" w:cs="Times New Roman"/>
          <w:bCs/>
          <w:color w:val="000000" w:themeColor="text1"/>
          <w:highlight w:val="none"/>
          <w:shd w:val="clear" w:color="auto" w:fill="auto"/>
          <w14:textFill>
            <w14:solidFill>
              <w14:schemeClr w14:val="tx1"/>
            </w14:solidFill>
          </w14:textFill>
        </w:rPr>
        <w:t xml:space="preserve"> </w:t>
      </w:r>
      <w:r>
        <w:rPr>
          <w:rFonts w:hint="eastAsia" w:ascii="Times New Roman" w:hAnsi="Times New Roman" w:cs="Times New Roman"/>
          <w:bCs/>
          <w:color w:val="000000" w:themeColor="text1"/>
          <w:highlight w:val="none"/>
          <w:shd w:val="clear" w:color="auto" w:fill="auto"/>
          <w14:textFill>
            <w14:solidFill>
              <w14:schemeClr w14:val="tx1"/>
            </w14:solidFill>
          </w14:textFill>
        </w:rPr>
        <w:t>成交候选供应商应按相关要求及时向采购人提供查询所需资料。</w:t>
      </w:r>
    </w:p>
    <w:p w14:paraId="3A1178A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3.3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65287C34">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4.成交结果</w:t>
      </w:r>
    </w:p>
    <w:p w14:paraId="17428D1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 xml:space="preserve">4.1 </w:t>
      </w:r>
      <w:r>
        <w:rPr>
          <w:rFonts w:hint="eastAsia" w:ascii="Times New Roman" w:hAnsi="Times New Roman" w:cs="Times New Roman"/>
          <w:bCs/>
          <w:color w:val="000000" w:themeColor="text1"/>
          <w:highlight w:val="none"/>
          <w:shd w:val="clear" w:color="auto" w:fill="auto"/>
          <w14:textFill>
            <w14:solidFill>
              <w14:schemeClr w14:val="tx1"/>
            </w14:solidFill>
          </w14:textFill>
        </w:rPr>
        <w:t>采购人确定</w:t>
      </w:r>
      <w:r>
        <w:rPr>
          <w:rFonts w:ascii="Times New Roman" w:hAnsi="Times New Roman" w:cs="Times New Roman"/>
          <w:bCs/>
          <w:color w:val="000000" w:themeColor="text1"/>
          <w:highlight w:val="none"/>
          <w:shd w:val="clear" w:color="auto" w:fill="auto"/>
          <w14:textFill>
            <w14:solidFill>
              <w14:schemeClr w14:val="tx1"/>
            </w14:solidFill>
          </w14:textFill>
        </w:rPr>
        <w:t>成交供应商</w:t>
      </w:r>
      <w:r>
        <w:rPr>
          <w:rFonts w:hint="eastAsia" w:ascii="Times New Roman" w:hAnsi="Times New Roman" w:cs="Times New Roman"/>
          <w:bCs/>
          <w:color w:val="000000" w:themeColor="text1"/>
          <w:highlight w:val="none"/>
          <w:shd w:val="clear" w:color="auto" w:fill="auto"/>
          <w14:textFill>
            <w14:solidFill>
              <w14:schemeClr w14:val="tx1"/>
            </w14:solidFill>
          </w14:textFill>
        </w:rPr>
        <w:t>后，</w:t>
      </w:r>
      <w:r>
        <w:rPr>
          <w:rFonts w:ascii="Times New Roman" w:hAnsi="Times New Roman" w:cs="Times New Roman"/>
          <w:bCs/>
          <w:color w:val="000000" w:themeColor="text1"/>
          <w:highlight w:val="none"/>
          <w:shd w:val="clear" w:color="auto" w:fill="auto"/>
          <w14:textFill>
            <w14:solidFill>
              <w14:schemeClr w14:val="tx1"/>
            </w14:solidFill>
          </w14:textFill>
        </w:rPr>
        <w:t>向成交供应商发出成交通知书</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14:paraId="0C5F381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4.2 成交通知书为签订政府采购合同的依据之一，是合同的有效组成部分。</w:t>
      </w:r>
    </w:p>
    <w:p w14:paraId="3B467FD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4.3 成交通知书对采购人和成交供应商均具有法律效力。成交通知书发出后，采购人改变成交结果，或者成交供应商无正当理由放弃成交的，应当承担相应的法律责任。</w:t>
      </w:r>
    </w:p>
    <w:p w14:paraId="0A3D291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4.4 成交供应商的</w:t>
      </w:r>
      <w:r>
        <w:rPr>
          <w:rFonts w:hint="eastAsia" w:ascii="Times New Roman" w:hAnsi="Times New Roman" w:cs="Times New Roman"/>
          <w:bCs/>
          <w:color w:val="000000" w:themeColor="text1"/>
          <w:highlight w:val="none"/>
          <w:shd w:val="clear" w:color="auto" w:fill="auto"/>
          <w14:textFill>
            <w14:solidFill>
              <w14:schemeClr w14:val="tx1"/>
            </w14:solidFill>
          </w14:textFill>
        </w:rPr>
        <w:t>响应</w:t>
      </w:r>
      <w:r>
        <w:rPr>
          <w:rFonts w:ascii="Times New Roman" w:hAnsi="Times New Roman" w:cs="Times New Roman"/>
          <w:bCs/>
          <w:color w:val="000000" w:themeColor="text1"/>
          <w:highlight w:val="none"/>
          <w:shd w:val="clear" w:color="auto" w:fill="auto"/>
          <w14:textFill>
            <w14:solidFill>
              <w14:schemeClr w14:val="tx1"/>
            </w14:solidFill>
          </w14:textFill>
        </w:rPr>
        <w:t>文件本应作为无效</w:t>
      </w:r>
      <w:r>
        <w:rPr>
          <w:rFonts w:hint="eastAsia" w:ascii="Times New Roman" w:hAnsi="Times New Roman" w:cs="Times New Roman"/>
          <w:bCs/>
          <w:color w:val="000000" w:themeColor="text1"/>
          <w:highlight w:val="none"/>
          <w:shd w:val="clear" w:color="auto" w:fill="auto"/>
          <w14:textFill>
            <w14:solidFill>
              <w14:schemeClr w14:val="tx1"/>
            </w14:solidFill>
          </w14:textFill>
        </w:rPr>
        <w:t>响应</w:t>
      </w:r>
      <w:r>
        <w:rPr>
          <w:rFonts w:ascii="Times New Roman" w:hAnsi="Times New Roman" w:cs="Times New Roman"/>
          <w:bCs/>
          <w:color w:val="000000" w:themeColor="text1"/>
          <w:highlight w:val="none"/>
          <w:shd w:val="clear" w:color="auto" w:fill="auto"/>
          <w14:textFill>
            <w14:solidFill>
              <w14:schemeClr w14:val="tx1"/>
            </w14:solidFill>
          </w14:textFill>
        </w:rPr>
        <w:t>处理或者有政府采购法律法规规章制度规定的成交无效情形的，</w:t>
      </w:r>
      <w:r>
        <w:rPr>
          <w:rFonts w:hint="eastAsia" w:ascii="Times New Roman" w:hAnsi="Times New Roman" w:cs="Times New Roman"/>
          <w:bCs/>
          <w:color w:val="000000" w:themeColor="text1"/>
          <w:highlight w:val="none"/>
          <w:shd w:val="clear" w:color="auto" w:fill="auto"/>
          <w14:textFill>
            <w14:solidFill>
              <w14:schemeClr w14:val="tx1"/>
            </w14:solidFill>
          </w14:textFill>
        </w:rPr>
        <w:t>采购组织</w:t>
      </w:r>
      <w:r>
        <w:rPr>
          <w:rFonts w:ascii="Times New Roman" w:hAnsi="Times New Roman" w:cs="Times New Roman"/>
          <w:bCs/>
          <w:color w:val="000000" w:themeColor="text1"/>
          <w:highlight w:val="none"/>
          <w:shd w:val="clear" w:color="auto" w:fill="auto"/>
          <w14:textFill>
            <w14:solidFill>
              <w14:schemeClr w14:val="tx1"/>
            </w14:solidFill>
          </w14:textFill>
        </w:rPr>
        <w:t>单位在取得有权主体的认定以后，依法重新确定成交供应商或者重新开展采购活动。</w:t>
      </w:r>
    </w:p>
    <w:p w14:paraId="275BFE3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4.5 成交公告在</w:t>
      </w:r>
      <w:r>
        <w:rPr>
          <w:rFonts w:hint="eastAsia" w:ascii="Times New Roman" w:hAnsi="Times New Roman" w:cs="Times New Roman"/>
          <w:bCs/>
          <w:color w:val="000000" w:themeColor="text1"/>
          <w:highlight w:val="none"/>
          <w:shd w:val="clear" w:color="auto" w:fill="auto"/>
          <w14:textFill>
            <w14:solidFill>
              <w14:schemeClr w14:val="tx1"/>
            </w14:solidFill>
          </w14:textFill>
        </w:rPr>
        <w:t>在四川省政府政务服务和公共资源交易服务中心门户网站</w:t>
      </w:r>
      <w:r>
        <w:rPr>
          <w:rFonts w:ascii="Times New Roman" w:hAnsi="Times New Roman" w:cs="Times New Roman"/>
          <w:bCs/>
          <w:color w:val="000000" w:themeColor="text1"/>
          <w:highlight w:val="none"/>
          <w:shd w:val="clear" w:color="auto" w:fill="auto"/>
          <w14:textFill>
            <w14:solidFill>
              <w14:schemeClr w14:val="tx1"/>
            </w14:solidFill>
          </w14:textFill>
        </w:rPr>
        <w:t>公告。</w:t>
      </w:r>
    </w:p>
    <w:p w14:paraId="3AADDA7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4.6 成交通知书发出后，采购人不得违法改变成交结果，成交供应商无正当理由不得放弃成交。</w:t>
      </w:r>
    </w:p>
    <w:p w14:paraId="2595D5A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23E8022A">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87" w:name="_Toc80303116"/>
      <w:bookmarkStart w:id="88" w:name="_Hlk80186497"/>
      <w:r>
        <w:rPr>
          <w:rFonts w:ascii="Times New Roman" w:hAnsi="Times New Roman" w:cs="Times New Roman"/>
          <w:b/>
          <w:color w:val="000000" w:themeColor="text1"/>
          <w:highlight w:val="none"/>
          <w:shd w:val="clear" w:color="auto" w:fill="auto"/>
          <w14:textFill>
            <w14:solidFill>
              <w14:schemeClr w14:val="tx1"/>
            </w14:solidFill>
          </w14:textFill>
        </w:rPr>
        <w:t>七、履约保证金（适用于收取履约保证金的情形）</w:t>
      </w:r>
      <w:bookmarkEnd w:id="87"/>
    </w:p>
    <w:p w14:paraId="64DCDCC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1.成交供应商应在合同签订之前交纳采购文件规定数额的履约保证金。</w:t>
      </w:r>
    </w:p>
    <w:p w14:paraId="79CBB7A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2.如果成交供应商在规定的合同签订时间内，没有按照磋商文件的规定交纳履约保证金，且又无正当理由的，将视为放弃成交。</w:t>
      </w:r>
    </w:p>
    <w:p w14:paraId="5CBC76F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3.本项目履约保证金采购单位是否收取详见</w:t>
      </w:r>
      <w:r>
        <w:rPr>
          <w:rFonts w:hint="eastAsia" w:ascii="Times New Roman" w:hAnsi="Times New Roman" w:cs="Times New Roman"/>
          <w:bCs/>
          <w:color w:val="000000" w:themeColor="text1"/>
          <w:highlight w:val="none"/>
          <w:shd w:val="clear" w:color="auto" w:fill="auto"/>
          <w14:textFill>
            <w14:solidFill>
              <w14:schemeClr w14:val="tx1"/>
            </w14:solidFill>
          </w14:textFill>
        </w:rPr>
        <w:t>本章</w:t>
      </w:r>
      <w:r>
        <w:rPr>
          <w:rFonts w:ascii="Times New Roman" w:hAnsi="Times New Roman" w:cs="Times New Roman"/>
          <w:bCs/>
          <w:color w:val="000000" w:themeColor="text1"/>
          <w:highlight w:val="none"/>
          <w:shd w:val="clear" w:color="auto" w:fill="auto"/>
          <w14:textFill>
            <w14:solidFill>
              <w14:schemeClr w14:val="tx1"/>
            </w14:solidFill>
          </w14:textFill>
        </w:rPr>
        <w:t>供应商须知附表</w:t>
      </w:r>
      <w:r>
        <w:rPr>
          <w:rFonts w:hint="eastAsia" w:ascii="Times New Roman" w:hAnsi="Times New Roman" w:cs="Times New Roman"/>
          <w:bCs/>
          <w:color w:val="000000" w:themeColor="text1"/>
          <w:highlight w:val="none"/>
          <w:shd w:val="clear" w:color="auto" w:fill="auto"/>
          <w14:textFill>
            <w14:solidFill>
              <w14:schemeClr w14:val="tx1"/>
            </w14:solidFill>
          </w14:textFill>
        </w:rPr>
        <w:t>第</w:t>
      </w:r>
      <w:r>
        <w:rPr>
          <w:rFonts w:ascii="Times New Roman" w:hAnsi="Times New Roman" w:cs="Times New Roman"/>
          <w:bCs/>
          <w:color w:val="000000" w:themeColor="text1"/>
          <w:highlight w:val="none"/>
          <w:shd w:val="clear" w:color="auto" w:fill="auto"/>
          <w14:textFill>
            <w14:solidFill>
              <w14:schemeClr w14:val="tx1"/>
            </w14:solidFill>
          </w14:textFill>
        </w:rPr>
        <w:t>18</w:t>
      </w:r>
      <w:r>
        <w:rPr>
          <w:rFonts w:hint="eastAsia" w:ascii="Times New Roman" w:hAnsi="Times New Roman" w:cs="Times New Roman"/>
          <w:bCs/>
          <w:color w:val="000000" w:themeColor="text1"/>
          <w:highlight w:val="none"/>
          <w:shd w:val="clear" w:color="auto" w:fill="auto"/>
          <w14:textFill>
            <w14:solidFill>
              <w14:schemeClr w14:val="tx1"/>
            </w14:solidFill>
          </w14:textFill>
        </w:rPr>
        <w:t>条</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74C39A9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bookmarkEnd w:id="88"/>
    <w:p w14:paraId="6AD8852A">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89" w:name="_Toc69651252"/>
      <w:bookmarkStart w:id="90" w:name="_Toc69936280"/>
      <w:bookmarkStart w:id="91" w:name="_Toc80303117"/>
      <w:bookmarkStart w:id="92" w:name="_Toc77273099"/>
      <w:r>
        <w:rPr>
          <w:rFonts w:ascii="Times New Roman" w:hAnsi="Times New Roman" w:cs="Times New Roman"/>
          <w:b/>
          <w:color w:val="000000" w:themeColor="text1"/>
          <w:highlight w:val="none"/>
          <w:shd w:val="clear" w:color="auto" w:fill="auto"/>
          <w14:textFill>
            <w14:solidFill>
              <w14:schemeClr w14:val="tx1"/>
            </w14:solidFill>
          </w14:textFill>
        </w:rPr>
        <w:t>八、合同事项</w:t>
      </w:r>
      <w:bookmarkEnd w:id="89"/>
      <w:bookmarkEnd w:id="90"/>
      <w:bookmarkEnd w:id="91"/>
      <w:bookmarkEnd w:id="92"/>
    </w:p>
    <w:p w14:paraId="15CC71C9">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1.签订合同</w:t>
      </w:r>
    </w:p>
    <w:p w14:paraId="049875B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1.1 成交供应商应在成交通知书发出之日起</w:t>
      </w:r>
      <w:r>
        <w:rPr>
          <w:rFonts w:hint="eastAsia" w:ascii="Times New Roman" w:hAnsi="Times New Roman" w:cs="Times New Roman"/>
          <w:bCs/>
          <w:color w:val="000000" w:themeColor="text1"/>
          <w:highlight w:val="none"/>
          <w:shd w:val="clear" w:color="auto" w:fill="auto"/>
          <w14:textFill>
            <w14:solidFill>
              <w14:schemeClr w14:val="tx1"/>
            </w14:solidFill>
          </w14:textFill>
        </w:rPr>
        <w:t>3</w:t>
      </w:r>
      <w:r>
        <w:rPr>
          <w:rFonts w:ascii="Times New Roman" w:hAnsi="Times New Roman" w:cs="Times New Roman"/>
          <w:bCs/>
          <w:color w:val="000000" w:themeColor="text1"/>
          <w:highlight w:val="none"/>
          <w:shd w:val="clear" w:color="auto" w:fill="auto"/>
          <w14:textFill>
            <w14:solidFill>
              <w14:schemeClr w14:val="tx1"/>
            </w14:solidFill>
          </w14:textFill>
        </w:rPr>
        <w:t>0日内与采购人签订采购合同。由于成交供应商的原因逾期未与采购人签订采购合同的，将视为放弃成交，取消其成交资格并将按相关规定进行处理。</w:t>
      </w:r>
    </w:p>
    <w:p w14:paraId="58E9F63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1.2 磋商文件、成交供应商的响应文件及双方确认的澄清文件等，均为有法律约束力的合同组成部分。</w:t>
      </w:r>
    </w:p>
    <w:p w14:paraId="6F16A38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1.3 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257A318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1.4 成交供应商因不可抗力原因不能履行采购合同或放弃成交的，采购人可以与排在成交供应商之后第一位的成交候选供应商签订采购合同，以此类推。</w:t>
      </w:r>
    </w:p>
    <w:p w14:paraId="0543431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1.5竞争性磋商文件、成交供应商提交的响应文件、磋商中的最后报价、成交供应商承诺书、成交通知书等均称为有法律约束力的合同组成内容</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14:paraId="23969E85">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2.合同分包（实质性要求）</w:t>
      </w:r>
    </w:p>
    <w:p w14:paraId="5B2891D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2.1 除落实政府采购政策外，本项目合同接受分包与否，以</w:t>
      </w:r>
      <w:r>
        <w:rPr>
          <w:rFonts w:hint="eastAsia" w:ascii="Times New Roman" w:hAnsi="Times New Roman" w:cs="Times New Roman"/>
          <w:bCs/>
          <w:color w:val="000000" w:themeColor="text1"/>
          <w:highlight w:val="none"/>
          <w:shd w:val="clear" w:color="auto" w:fill="auto"/>
          <w14:textFill>
            <w14:solidFill>
              <w14:schemeClr w14:val="tx1"/>
            </w14:solidFill>
          </w14:textFill>
        </w:rPr>
        <w:t>本章</w:t>
      </w:r>
      <w:r>
        <w:rPr>
          <w:rFonts w:ascii="Times New Roman" w:hAnsi="Times New Roman" w:cs="Times New Roman"/>
          <w:bCs/>
          <w:color w:val="000000" w:themeColor="text1"/>
          <w:highlight w:val="none"/>
          <w:shd w:val="clear" w:color="auto" w:fill="auto"/>
          <w14:textFill>
            <w14:solidFill>
              <w14:schemeClr w14:val="tx1"/>
            </w14:solidFill>
          </w14:textFill>
        </w:rPr>
        <w:t>供应商须知附表</w:t>
      </w:r>
      <w:r>
        <w:rPr>
          <w:rFonts w:hint="eastAsia" w:ascii="Times New Roman" w:hAnsi="Times New Roman" w:cs="Times New Roman"/>
          <w:bCs/>
          <w:color w:val="000000" w:themeColor="text1"/>
          <w:highlight w:val="none"/>
          <w:shd w:val="clear" w:color="auto" w:fill="auto"/>
          <w14:textFill>
            <w14:solidFill>
              <w14:schemeClr w14:val="tx1"/>
            </w14:solidFill>
          </w14:textFill>
        </w:rPr>
        <w:t>第</w:t>
      </w:r>
      <w:r>
        <w:rPr>
          <w:rFonts w:ascii="Times New Roman" w:hAnsi="Times New Roman" w:cs="Times New Roman"/>
          <w:bCs/>
          <w:color w:val="000000" w:themeColor="text1"/>
          <w:highlight w:val="none"/>
          <w:shd w:val="clear" w:color="auto" w:fill="auto"/>
          <w14:textFill>
            <w14:solidFill>
              <w14:schemeClr w14:val="tx1"/>
            </w14:solidFill>
          </w14:textFill>
        </w:rPr>
        <w:t>7</w:t>
      </w:r>
      <w:r>
        <w:rPr>
          <w:rFonts w:hint="eastAsia" w:ascii="Times New Roman" w:hAnsi="Times New Roman" w:cs="Times New Roman"/>
          <w:bCs/>
          <w:color w:val="000000" w:themeColor="text1"/>
          <w:highlight w:val="none"/>
          <w:shd w:val="clear" w:color="auto" w:fill="auto"/>
          <w14:textFill>
            <w14:solidFill>
              <w14:schemeClr w14:val="tx1"/>
            </w14:solidFill>
          </w14:textFill>
        </w:rPr>
        <w:t>条</w:t>
      </w:r>
      <w:r>
        <w:rPr>
          <w:rFonts w:ascii="Times New Roman" w:hAnsi="Times New Roman" w:cs="Times New Roman"/>
          <w:bCs/>
          <w:color w:val="000000" w:themeColor="text1"/>
          <w:highlight w:val="none"/>
          <w:shd w:val="clear" w:color="auto" w:fill="auto"/>
          <w14:textFill>
            <w14:solidFill>
              <w14:schemeClr w14:val="tx1"/>
            </w14:solidFill>
          </w14:textFill>
        </w:rPr>
        <w:t>的记载为准。</w:t>
      </w:r>
    </w:p>
    <w:p w14:paraId="454EC2C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2.2 采购合同实行分包履行的，成交供应商就采购项目和分包项目向采购人负责，分包供应商就分包项目承担责任，履行分包项目事项应当具备法定资质规定要求的，分包供应商应当具备相应资质。</w:t>
      </w:r>
    </w:p>
    <w:p w14:paraId="516F1D2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2.3 中小企业依据《政府采购促进中小企业发展管理办法》（财库〔2020〕46号）规定的政策获取政府采购合同后，小型、微型企业不得分包或转包给大型、中型企业，中型企业不得分包或转包给大型企业。</w:t>
      </w:r>
    </w:p>
    <w:p w14:paraId="448EFE3E">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3.合同转包（实质性要求）</w:t>
      </w:r>
    </w:p>
    <w:p w14:paraId="7911BC7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采购项目严禁成交供应商将任何政府采购合同转包。本项目所称转包，是指成交供应商将政府采购合同义务转让给第三人，并退出现有政府采购合同当事人双方的权利义务关系，受让人（即第三人）成为政府采购合同的另一方当事人的行为。</w:t>
      </w:r>
    </w:p>
    <w:p w14:paraId="007E99B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成交供应商转包的，视同拒绝履行政府采购合同义务，将依法追究法律责任。</w:t>
      </w:r>
    </w:p>
    <w:p w14:paraId="79439041">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4.补充合同</w:t>
      </w:r>
    </w:p>
    <w:p w14:paraId="6F1730B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应当与原政府采购合同一致。</w:t>
      </w:r>
    </w:p>
    <w:p w14:paraId="573D366B">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b/>
          <w:color w:val="000000" w:themeColor="text1"/>
          <w:highlight w:val="none"/>
          <w:shd w:val="clear" w:color="auto" w:fill="auto"/>
          <w14:textFill>
            <w14:solidFill>
              <w14:schemeClr w14:val="tx1"/>
            </w14:solidFill>
          </w14:textFill>
        </w:rPr>
        <w:t>.履行合同</w:t>
      </w:r>
    </w:p>
    <w:p w14:paraId="2147115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bCs/>
          <w:color w:val="000000" w:themeColor="text1"/>
          <w:highlight w:val="none"/>
          <w:shd w:val="clear" w:color="auto" w:fill="auto"/>
          <w14:textFill>
            <w14:solidFill>
              <w14:schemeClr w14:val="tx1"/>
            </w14:solidFill>
          </w14:textFill>
        </w:rPr>
        <w:t>.1 成交供应商与采购人签订合同后，合同双方应严格执行合同条款，履行合同规定的义务，保证合同的顺利完成。</w:t>
      </w:r>
    </w:p>
    <w:p w14:paraId="59F6131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bCs/>
          <w:color w:val="000000" w:themeColor="text1"/>
          <w:highlight w:val="none"/>
          <w:shd w:val="clear" w:color="auto" w:fill="auto"/>
          <w14:textFill>
            <w14:solidFill>
              <w14:schemeClr w14:val="tx1"/>
            </w14:solidFill>
          </w14:textFill>
        </w:rPr>
        <w:t>.2 在合同履行过程中，如发生合同纠纷，合同双方应按照合同约定及《中华人民共和国民法典》的有关规定进行处理。</w:t>
      </w:r>
    </w:p>
    <w:p w14:paraId="796E6484">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
          <w:color w:val="000000" w:themeColor="text1"/>
          <w:highlight w:val="none"/>
          <w:shd w:val="clear" w:color="auto" w:fill="auto"/>
          <w14:textFill>
            <w14:solidFill>
              <w14:schemeClr w14:val="tx1"/>
            </w14:solidFill>
          </w14:textFill>
        </w:rPr>
        <w:t>.验收</w:t>
      </w:r>
    </w:p>
    <w:p w14:paraId="1411CB1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Cs/>
          <w:color w:val="000000" w:themeColor="text1"/>
          <w:highlight w:val="none"/>
          <w:shd w:val="clear" w:color="auto" w:fill="auto"/>
          <w14:textFill>
            <w14:solidFill>
              <w14:schemeClr w14:val="tx1"/>
            </w14:solidFill>
          </w14:textFill>
        </w:rPr>
        <w:t>.1 本项目采购人或其委托的采购代理机构将按照合同约定，依据政府采购相关法律法规、《财政部关于进一步加强政府采购需求和履约验收管理的指导意见》（财库〔2016〕205号）、《政府采购需求管理办法》（财库〔2021〕22号）的要求及国家行业主管部门规定的标准、方法和内容组织验收。</w:t>
      </w:r>
    </w:p>
    <w:p w14:paraId="1D66EF8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93" w:name="_Hlk77840566"/>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Cs/>
          <w:color w:val="000000" w:themeColor="text1"/>
          <w:highlight w:val="none"/>
          <w:shd w:val="clear" w:color="auto" w:fill="auto"/>
          <w14:textFill>
            <w14:solidFill>
              <w14:schemeClr w14:val="tx1"/>
            </w14:solidFill>
          </w14:textFill>
        </w:rPr>
        <w:t>.2 验收结果合格的，采购人应向成交供应商出具履约验收报告，成交供应商凭验收报告办理相关手续。</w:t>
      </w:r>
    </w:p>
    <w:bookmarkEnd w:id="93"/>
    <w:p w14:paraId="51B606D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Cs/>
          <w:color w:val="000000" w:themeColor="text1"/>
          <w:highlight w:val="none"/>
          <w:shd w:val="clear" w:color="auto" w:fill="auto"/>
          <w14:textFill>
            <w14:solidFill>
              <w14:schemeClr w14:val="tx1"/>
            </w14:solidFill>
          </w14:textFill>
        </w:rPr>
        <w:t>.3 验收结果不合格的，履约保证金将不予退还，给采购人造成的损失超过履约保证金数额的，应当对超过部分予以赔偿；没有提交履约保证金的，应当对采购人的损失承担赔偿责任。</w:t>
      </w:r>
    </w:p>
    <w:p w14:paraId="05982F4C">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7</w:t>
      </w:r>
      <w:r>
        <w:rPr>
          <w:rFonts w:ascii="Times New Roman" w:hAnsi="Times New Roman" w:cs="Times New Roman"/>
          <w:b/>
          <w:color w:val="000000" w:themeColor="text1"/>
          <w:highlight w:val="none"/>
          <w:shd w:val="clear" w:color="auto" w:fill="auto"/>
          <w14:textFill>
            <w14:solidFill>
              <w14:schemeClr w14:val="tx1"/>
            </w14:solidFill>
          </w14:textFill>
        </w:rPr>
        <w:t>.资金支付</w:t>
      </w:r>
    </w:p>
    <w:p w14:paraId="3E9A6F1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采购人将按政府采购合同规定，及时向成交供应商支付采购资金。本项目采购资金付款详见第</w:t>
      </w:r>
      <w:r>
        <w:rPr>
          <w:rFonts w:hint="eastAsia" w:ascii="Times New Roman" w:hAnsi="Times New Roman" w:cs="Times New Roman"/>
          <w:bCs/>
          <w:color w:val="000000" w:themeColor="text1"/>
          <w:highlight w:val="none"/>
          <w:shd w:val="clear" w:color="auto" w:fill="auto"/>
          <w14:textFill>
            <w14:solidFill>
              <w14:schemeClr w14:val="tx1"/>
            </w14:solidFill>
          </w14:textFill>
        </w:rPr>
        <w:t>五</w:t>
      </w:r>
      <w:r>
        <w:rPr>
          <w:rFonts w:ascii="Times New Roman" w:hAnsi="Times New Roman" w:cs="Times New Roman"/>
          <w:bCs/>
          <w:color w:val="000000" w:themeColor="text1"/>
          <w:highlight w:val="none"/>
          <w:shd w:val="clear" w:color="auto" w:fill="auto"/>
          <w14:textFill>
            <w14:solidFill>
              <w14:schemeClr w14:val="tx1"/>
            </w14:solidFill>
          </w14:textFill>
        </w:rPr>
        <w:t>章规定的付款方式。</w:t>
      </w:r>
    </w:p>
    <w:p w14:paraId="5157740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对中小企业在资金支付期限、预付款比例等方面的优惠措施：详见第</w:t>
      </w:r>
      <w:r>
        <w:rPr>
          <w:rFonts w:hint="eastAsia" w:ascii="Times New Roman" w:hAnsi="Times New Roman" w:cs="Times New Roman"/>
          <w:bCs/>
          <w:color w:val="000000" w:themeColor="text1"/>
          <w:highlight w:val="none"/>
          <w:shd w:val="clear" w:color="auto" w:fill="auto"/>
          <w14:textFill>
            <w14:solidFill>
              <w14:schemeClr w14:val="tx1"/>
            </w14:solidFill>
          </w14:textFill>
        </w:rPr>
        <w:t>五</w:t>
      </w:r>
      <w:r>
        <w:rPr>
          <w:rFonts w:ascii="Times New Roman" w:hAnsi="Times New Roman" w:cs="Times New Roman"/>
          <w:bCs/>
          <w:color w:val="000000" w:themeColor="text1"/>
          <w:highlight w:val="none"/>
          <w:shd w:val="clear" w:color="auto" w:fill="auto"/>
          <w14:textFill>
            <w14:solidFill>
              <w14:schemeClr w14:val="tx1"/>
            </w14:solidFill>
          </w14:textFill>
        </w:rPr>
        <w:t>章。</w:t>
      </w:r>
    </w:p>
    <w:p w14:paraId="6E83BE63">
      <w:pPr>
        <w:rPr>
          <w:rFonts w:ascii="Times New Roman" w:hAnsi="Times New Roman" w:cs="Times New Roman"/>
          <w:bCs/>
          <w:color w:val="000000" w:themeColor="text1"/>
          <w:highlight w:val="none"/>
          <w:shd w:val="clear" w:color="auto" w:fill="auto"/>
          <w14:textFill>
            <w14:solidFill>
              <w14:schemeClr w14:val="tx1"/>
            </w14:solidFill>
          </w14:textFill>
        </w:rPr>
      </w:pPr>
    </w:p>
    <w:p w14:paraId="03131E62">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94" w:name="_Toc80303119"/>
      <w:bookmarkStart w:id="95" w:name="_Toc69936282"/>
      <w:bookmarkStart w:id="96" w:name="_Toc77273101"/>
      <w:bookmarkStart w:id="97" w:name="_Toc69651254"/>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九</w:t>
      </w:r>
      <w:r>
        <w:rPr>
          <w:rFonts w:ascii="Times New Roman" w:hAnsi="Times New Roman" w:cs="Times New Roman"/>
          <w:b/>
          <w:color w:val="000000" w:themeColor="text1"/>
          <w:highlight w:val="none"/>
          <w:shd w:val="clear" w:color="auto" w:fill="auto"/>
          <w14:textFill>
            <w14:solidFill>
              <w14:schemeClr w14:val="tx1"/>
            </w14:solidFill>
          </w14:textFill>
        </w:rPr>
        <w:t>、纪律要求</w:t>
      </w:r>
      <w:bookmarkEnd w:id="94"/>
      <w:bookmarkEnd w:id="95"/>
      <w:bookmarkEnd w:id="96"/>
      <w:bookmarkEnd w:id="97"/>
    </w:p>
    <w:p w14:paraId="0AAAC75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采购人应保证磋商活动在严格保密的情况下进行，采购人、供应商和磋商小组成员应当严格遵守政府采购法律法规规定和本项目磋商文件以及省中心现场管理规定，接受采购人委派的监督人员的监督，任何单位和个人不得非法干预和影响磋商过程和结果。</w:t>
      </w:r>
    </w:p>
    <w:p w14:paraId="622F9DC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2.供应商参加本项目磋商不得有下列情形：</w:t>
      </w:r>
    </w:p>
    <w:p w14:paraId="2CAC769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（1）提供虚假材料谋取成交；</w:t>
      </w:r>
    </w:p>
    <w:p w14:paraId="1F49D80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（2）采取不正当手段诋毁、排挤其他供应商；</w:t>
      </w:r>
    </w:p>
    <w:p w14:paraId="58EA962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（3）与采购人、或其他供应商恶意串通；</w:t>
      </w:r>
    </w:p>
    <w:p w14:paraId="33B1DDA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（4）向采购人、磋商小组成员行贿或者提供其他不正当利益；</w:t>
      </w:r>
    </w:p>
    <w:p w14:paraId="2580A71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（5）在磋商过程中与采购人进行协商；</w:t>
      </w:r>
    </w:p>
    <w:p w14:paraId="648F3BF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（6）成交后无正当理由拒不与采购人签订政府采购合同；</w:t>
      </w:r>
    </w:p>
    <w:p w14:paraId="35C731C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（7）未按照磋商文件确定的事项签订政府采购合同；</w:t>
      </w:r>
    </w:p>
    <w:p w14:paraId="59ABA64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（8）将政府采购合同转包或者违规分包；</w:t>
      </w:r>
    </w:p>
    <w:p w14:paraId="0C2A10D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（9）提供假冒伪劣产品；</w:t>
      </w:r>
    </w:p>
    <w:p w14:paraId="6D3FEF8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（10）擅自变更、中止或者终止政府采购合同；</w:t>
      </w:r>
    </w:p>
    <w:p w14:paraId="673307E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（11）拒绝有关部门的监督检查或者向监督检查部门提供虚假情况；</w:t>
      </w:r>
    </w:p>
    <w:p w14:paraId="63C13FB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（12）法律法规规定的其他情形。</w:t>
      </w:r>
    </w:p>
    <w:p w14:paraId="05185DE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供应商有上述情形的，按照规定追究法律责任，具备（1）-（10）项情形之一的，同时将取消被确认为成交供应商的资格或者认定成交无效。</w:t>
      </w:r>
    </w:p>
    <w:p w14:paraId="2545A9B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3.在磋商过程中，供应商不得以任何形式对磋商小组成员进行旨在影响磋商结果的私下接触，否则将取消其参与磋商的资格。</w:t>
      </w:r>
    </w:p>
    <w:p w14:paraId="4233C90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4.对各供应商的商业秘密，磋商小组成员应予以保密，不得泄露给其他供应商。</w:t>
      </w:r>
    </w:p>
    <w:p w14:paraId="72AA7C6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027164CB">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98" w:name="_Toc69651255"/>
      <w:bookmarkStart w:id="99" w:name="_Toc77273102"/>
      <w:bookmarkStart w:id="100" w:name="_Toc80303120"/>
      <w:bookmarkStart w:id="101" w:name="_Toc69936283"/>
      <w:r>
        <w:rPr>
          <w:rFonts w:ascii="Times New Roman" w:hAnsi="Times New Roman" w:cs="Times New Roman"/>
          <w:b/>
          <w:color w:val="000000" w:themeColor="text1"/>
          <w:highlight w:val="none"/>
          <w:shd w:val="clear" w:color="auto" w:fill="auto"/>
          <w14:textFill>
            <w14:solidFill>
              <w14:schemeClr w14:val="tx1"/>
            </w14:solidFill>
          </w14:textFill>
        </w:rPr>
        <w:t>十、询问、质疑和投诉</w:t>
      </w:r>
      <w:bookmarkEnd w:id="98"/>
      <w:bookmarkEnd w:id="99"/>
      <w:bookmarkEnd w:id="100"/>
      <w:bookmarkEnd w:id="101"/>
    </w:p>
    <w:p w14:paraId="36F9B31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询问、质疑、投诉的提出将严格按照《中华人民共和国政府采购法》、《中华人民共和国政府采购法实施条例》和财政部《政府采购质疑和投诉办法》（财政部令第94号）的规定执行。</w:t>
      </w:r>
    </w:p>
    <w:p w14:paraId="54258A4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6B6F41E8">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02" w:name="_Toc77273103"/>
      <w:bookmarkStart w:id="103" w:name="_Toc69651256"/>
      <w:bookmarkStart w:id="104" w:name="_Toc69936284"/>
      <w:bookmarkStart w:id="105" w:name="_Toc80303121"/>
      <w:r>
        <w:rPr>
          <w:rFonts w:ascii="Times New Roman" w:hAnsi="Times New Roman" w:cs="Times New Roman"/>
          <w:b/>
          <w:color w:val="000000" w:themeColor="text1"/>
          <w:highlight w:val="none"/>
          <w:shd w:val="clear" w:color="auto" w:fill="auto"/>
          <w14:textFill>
            <w14:solidFill>
              <w14:schemeClr w14:val="tx1"/>
            </w14:solidFill>
          </w14:textFill>
        </w:rPr>
        <w:t>十</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一</w:t>
      </w:r>
      <w:r>
        <w:rPr>
          <w:rFonts w:ascii="Times New Roman" w:hAnsi="Times New Roman" w:cs="Times New Roman"/>
          <w:b/>
          <w:color w:val="000000" w:themeColor="text1"/>
          <w:highlight w:val="none"/>
          <w:shd w:val="clear" w:color="auto" w:fill="auto"/>
          <w14:textFill>
            <w14:solidFill>
              <w14:schemeClr w14:val="tx1"/>
            </w14:solidFill>
          </w14:textFill>
        </w:rPr>
        <w:t>、其他</w:t>
      </w:r>
      <w:bookmarkEnd w:id="102"/>
      <w:bookmarkEnd w:id="103"/>
      <w:bookmarkEnd w:id="104"/>
      <w:bookmarkEnd w:id="105"/>
    </w:p>
    <w:p w14:paraId="6406A80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本磋商文件中所引相关法律制度规定，在政府采购中有变化的，按照变化后的相关法律制度规定执行。本章规定的内容条款，在本项目响应文件提交截止时间届满后，因相关法律制度规定的变化导致不符合相关法律制度规定的，直接按照变化后的相关法律制度规定执行，本磋商文件不再做调整。</w:t>
      </w:r>
    </w:p>
    <w:p w14:paraId="68E802B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2.国家或行业主管部门对供应商和采购产品的技术标准、质量标准和资格资质条件等有强制性规定的，应当符合其要求。</w:t>
      </w:r>
    </w:p>
    <w:bookmarkEnd w:id="76"/>
    <w:p w14:paraId="5128C06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br w:type="page"/>
      </w:r>
    </w:p>
    <w:p w14:paraId="3B9A54DE">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06" w:name="_Toc80303122"/>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第三章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供应商</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和报价产品的资格、资质性及其他类似效力要求</w:t>
      </w:r>
      <w:bookmarkEnd w:id="106"/>
    </w:p>
    <w:p w14:paraId="0DFCA27A">
      <w:pPr>
        <w:ind w:firstLine="480" w:firstLineChars="200"/>
        <w:jc w:val="left"/>
        <w:rPr>
          <w:rFonts w:ascii="Times New Roman" w:hAnsi="Times New Roman" w:cs="Times New Roman"/>
          <w:bCs/>
          <w:color w:val="000000" w:themeColor="text1"/>
          <w:highlight w:val="none"/>
          <w:shd w:val="clear" w:color="auto" w:fill="auto"/>
          <w14:textFill>
            <w14:solidFill>
              <w14:schemeClr w14:val="tx1"/>
            </w14:solidFill>
          </w14:textFill>
        </w:rPr>
      </w:pPr>
    </w:p>
    <w:p w14:paraId="267F5D9F">
      <w:pPr>
        <w:ind w:firstLine="482" w:firstLineChars="200"/>
        <w:outlineLvl w:val="1"/>
        <w:rPr>
          <w:rFonts w:ascii="Times New Roman" w:hAnsi="Times New Roman" w:cs="Times New Roman"/>
          <w:b/>
          <w:bCs/>
          <w:color w:val="000000" w:themeColor="text1"/>
          <w:highlight w:val="none"/>
          <w:shd w:val="clear" w:color="auto" w:fill="auto"/>
          <w14:textFill>
            <w14:solidFill>
              <w14:schemeClr w14:val="tx1"/>
            </w14:solidFill>
          </w14:textFill>
        </w:rPr>
      </w:pPr>
      <w:bookmarkStart w:id="107" w:name="_Toc80303123"/>
      <w:bookmarkStart w:id="108" w:name="_Toc79071333"/>
      <w:bookmarkStart w:id="109" w:name="_Hlk79072306"/>
      <w:r>
        <w:rPr>
          <w:rFonts w:ascii="Times New Roman" w:hAnsi="Times New Roman" w:cs="Times New Roman"/>
          <w:b/>
          <w:bCs/>
          <w:color w:val="000000" w:themeColor="text1"/>
          <w:highlight w:val="none"/>
          <w:shd w:val="clear" w:color="auto" w:fill="auto"/>
          <w14:textFill>
            <w14:solidFill>
              <w14:schemeClr w14:val="tx1"/>
            </w14:solidFill>
          </w14:textFill>
        </w:rPr>
        <w:t>一、</w:t>
      </w:r>
      <w:r>
        <w:rPr>
          <w:rFonts w:hint="eastAsia" w:ascii="Times New Roman" w:hAnsi="Times New Roman" w:cs="Times New Roman"/>
          <w:b/>
          <w:bCs/>
          <w:color w:val="000000" w:themeColor="text1"/>
          <w:highlight w:val="none"/>
          <w:shd w:val="clear" w:color="auto" w:fill="auto"/>
          <w14:textFill>
            <w14:solidFill>
              <w14:schemeClr w14:val="tx1"/>
            </w14:solidFill>
          </w14:textFill>
        </w:rPr>
        <w:t>供应商</w:t>
      </w:r>
      <w:r>
        <w:rPr>
          <w:rFonts w:ascii="Times New Roman" w:hAnsi="Times New Roman" w:cs="Times New Roman"/>
          <w:b/>
          <w:bCs/>
          <w:color w:val="000000" w:themeColor="text1"/>
          <w:highlight w:val="none"/>
          <w:shd w:val="clear" w:color="auto" w:fill="auto"/>
          <w14:textFill>
            <w14:solidFill>
              <w14:schemeClr w14:val="tx1"/>
            </w14:solidFill>
          </w14:textFill>
        </w:rPr>
        <w:t>资格、</w:t>
      </w:r>
      <w:r>
        <w:rPr>
          <w:rFonts w:ascii="Times New Roman" w:hAnsi="Times New Roman" w:cs="Times New Roman"/>
          <w:b/>
          <w:color w:val="000000" w:themeColor="text1"/>
          <w:highlight w:val="none"/>
          <w:shd w:val="clear" w:color="auto" w:fill="auto"/>
          <w14:textFill>
            <w14:solidFill>
              <w14:schemeClr w14:val="tx1"/>
            </w14:solidFill>
          </w14:textFill>
        </w:rPr>
        <w:t>资质</w:t>
      </w:r>
      <w:r>
        <w:rPr>
          <w:rFonts w:ascii="Times New Roman" w:hAnsi="Times New Roman" w:cs="Times New Roman"/>
          <w:b/>
          <w:bCs/>
          <w:color w:val="000000" w:themeColor="text1"/>
          <w:highlight w:val="none"/>
          <w:shd w:val="clear" w:color="auto" w:fill="auto"/>
          <w14:textFill>
            <w14:solidFill>
              <w14:schemeClr w14:val="tx1"/>
            </w14:solidFill>
          </w14:textFill>
        </w:rPr>
        <w:t>性及其他类似效力要求</w:t>
      </w:r>
      <w:bookmarkEnd w:id="107"/>
      <w:bookmarkEnd w:id="108"/>
    </w:p>
    <w:bookmarkEnd w:id="109"/>
    <w:p w14:paraId="571D60E4">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（一）《中华人民共和国政府采购法》第二十二条规定的条件</w:t>
      </w:r>
    </w:p>
    <w:p w14:paraId="552D1E1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1.具有独立承担民事责任的能力；</w:t>
      </w:r>
    </w:p>
    <w:p w14:paraId="1155486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2.具有良好的商业信誉和健全的财务会计制度；</w:t>
      </w:r>
    </w:p>
    <w:p w14:paraId="5A452C7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3.具有履行合同所必需的设备和专业技术能力；</w:t>
      </w:r>
    </w:p>
    <w:p w14:paraId="4329BE3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4.有依法缴纳税收和社会保障资金的良好记录；</w:t>
      </w:r>
    </w:p>
    <w:p w14:paraId="1B8CF19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5.参加本次政府采购活动前三年内，在经营活动中没有重大违法记录</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14:paraId="20C175A9">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w:t>
      </w:r>
      <w:r>
        <w:rPr>
          <w:rFonts w:hint="eastAsia" w:ascii="Times New Roman" w:hAnsi="Times New Roman" w:cs="Times New Roman"/>
          <w:b/>
          <w:bCs/>
          <w:color w:val="000000" w:themeColor="text1"/>
          <w:highlight w:val="none"/>
          <w:shd w:val="clear" w:color="auto" w:fill="auto"/>
          <w:lang w:eastAsia="zh-CN"/>
          <w14:textFill>
            <w14:solidFill>
              <w14:schemeClr w14:val="tx1"/>
            </w14:solidFill>
          </w14:textFill>
        </w:rPr>
        <w:t>二</w:t>
      </w:r>
      <w:r>
        <w:rPr>
          <w:rFonts w:ascii="Times New Roman" w:hAnsi="Times New Roman" w:cs="Times New Roman"/>
          <w:b/>
          <w:bCs/>
          <w:color w:val="000000" w:themeColor="text1"/>
          <w:highlight w:val="none"/>
          <w:shd w:val="clear" w:color="auto" w:fill="auto"/>
          <w14:textFill>
            <w14:solidFill>
              <w14:schemeClr w14:val="tx1"/>
            </w14:solidFill>
          </w14:textFill>
        </w:rPr>
        <w:t>）本项目特定资格要求</w:t>
      </w:r>
    </w:p>
    <w:p w14:paraId="2A0C636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潜在供应商的项目负责人应熟悉招标采购工作，了解招标投标市场现状，对围标串标情形有深入研究。【</w:t>
      </w:r>
      <w:r>
        <w:rPr>
          <w:rFonts w:hint="eastAsia" w:ascii="楷体" w:hAnsi="楷体" w:eastAsia="楷体" w:cs="楷体"/>
          <w:i w:val="0"/>
          <w:iCs w:val="0"/>
          <w:caps w:val="0"/>
          <w:color w:val="000000" w:themeColor="text1"/>
          <w:spacing w:val="0"/>
          <w:kern w:val="0"/>
          <w:sz w:val="32"/>
          <w:szCs w:val="32"/>
          <w:shd w:val="clear" w:fill="FFFFFF"/>
          <w:lang w:val="en-US" w:eastAsia="zh-CN" w:bidi="ar"/>
          <w14:textFill>
            <w14:solidFill>
              <w14:schemeClr w14:val="tx1"/>
            </w14:solidFill>
          </w14:textFill>
        </w:rPr>
        <w:t>提供承诺函，格式自拟</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p>
    <w:p w14:paraId="4E2FA51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2517481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注：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32893DE1">
      <w:pPr>
        <w:widowControl/>
        <w:spacing w:line="240" w:lineRule="auto"/>
        <w:jc w:val="left"/>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br w:type="page"/>
      </w:r>
    </w:p>
    <w:p w14:paraId="34C66576">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10" w:name="_Toc80303125"/>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四</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供应商应当提供的资格、资质性及其他类似效力要求的相关证明材料</w:t>
      </w:r>
      <w:bookmarkEnd w:id="110"/>
    </w:p>
    <w:p w14:paraId="4CCD523A">
      <w:pPr>
        <w:ind w:firstLine="480" w:firstLineChars="200"/>
        <w:jc w:val="left"/>
        <w:rPr>
          <w:rFonts w:ascii="Times New Roman" w:hAnsi="Times New Roman" w:cs="Times New Roman"/>
          <w:bCs/>
          <w:color w:val="000000" w:themeColor="text1"/>
          <w:highlight w:val="none"/>
          <w:shd w:val="clear" w:color="auto" w:fill="auto"/>
          <w14:textFill>
            <w14:solidFill>
              <w14:schemeClr w14:val="tx1"/>
            </w14:solidFill>
          </w14:textFill>
        </w:rPr>
      </w:pPr>
    </w:p>
    <w:p w14:paraId="4DC16E8B">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11" w:name="_Toc80303126"/>
      <w:bookmarkStart w:id="112" w:name="_Toc77273105"/>
      <w:bookmarkStart w:id="113" w:name="_Toc69936286"/>
      <w:r>
        <w:rPr>
          <w:rFonts w:ascii="Times New Roman" w:hAnsi="Times New Roman" w:cs="Times New Roman"/>
          <w:b/>
          <w:color w:val="000000" w:themeColor="text1"/>
          <w:highlight w:val="none"/>
          <w:shd w:val="clear" w:color="auto" w:fill="auto"/>
          <w14:textFill>
            <w14:solidFill>
              <w14:schemeClr w14:val="tx1"/>
            </w14:solidFill>
          </w14:textFill>
        </w:rPr>
        <w:t>一、供应商应当提供的资格、资质性及其他类似效力要求的相关证明材料</w:t>
      </w:r>
      <w:bookmarkEnd w:id="111"/>
      <w:bookmarkEnd w:id="112"/>
      <w:bookmarkEnd w:id="113"/>
    </w:p>
    <w:p w14:paraId="4ED74FE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1.本磋商文件第</w:t>
      </w:r>
      <w:r>
        <w:rPr>
          <w:rFonts w:hint="eastAsia" w:ascii="Times New Roman" w:hAnsi="Times New Roman" w:cs="Times New Roman"/>
          <w:bCs/>
          <w:color w:val="000000" w:themeColor="text1"/>
          <w:highlight w:val="none"/>
          <w:shd w:val="clear" w:color="auto" w:fill="auto"/>
          <w14:textFill>
            <w14:solidFill>
              <w14:schemeClr w14:val="tx1"/>
            </w14:solidFill>
          </w14:textFill>
        </w:rPr>
        <w:t>八</w:t>
      </w:r>
      <w:r>
        <w:rPr>
          <w:rFonts w:ascii="Times New Roman" w:hAnsi="Times New Roman" w:cs="Times New Roman"/>
          <w:bCs/>
          <w:color w:val="000000" w:themeColor="text1"/>
          <w:highlight w:val="none"/>
          <w:shd w:val="clear" w:color="auto" w:fill="auto"/>
          <w14:textFill>
            <w14:solidFill>
              <w14:schemeClr w14:val="tx1"/>
            </w14:solidFill>
          </w14:textFill>
        </w:rPr>
        <w:t>章“响应文件相关文书格式”中“格式3：三、承诺函”</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盖章原</w:t>
      </w:r>
      <w:r>
        <w:rPr>
          <w:rFonts w:ascii="Times New Roman" w:hAnsi="Times New Roman" w:cs="Times New Roman"/>
          <w:bCs/>
          <w:color w:val="000000" w:themeColor="text1"/>
          <w:highlight w:val="none"/>
          <w:shd w:val="clear" w:color="auto" w:fill="auto"/>
          <w14:textFill>
            <w14:solidFill>
              <w14:schemeClr w14:val="tx1"/>
            </w14:solidFill>
          </w14:textFill>
        </w:rPr>
        <w:t>件。</w:t>
      </w:r>
    </w:p>
    <w:p w14:paraId="423A18C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2.具有独立承担民事责任的能力：</w:t>
      </w:r>
    </w:p>
    <w:p w14:paraId="4B0981F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（1）供应商若为企业法人：提供“统一社会信用代码营业执照”原色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；未换证的提供“营业执照、税务登记证、组织机构代码证或三证合一的营业执照原色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5D8A960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（2）供应商若为事业法人：提供“统一社会信用代码法人登记证书”原色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；未换证的提供“事业法人登记证书、组织机构代码证”原色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577098F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（3）供应商若为其他组织：提供“对应主管部门颁发的准许执业证明文件或营业执照”原色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4506623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14" w:name="_Hlk79770026"/>
      <w:r>
        <w:rPr>
          <w:rFonts w:ascii="Times New Roman" w:hAnsi="Times New Roman" w:cs="Times New Roman"/>
          <w:bCs/>
          <w:color w:val="000000" w:themeColor="text1"/>
          <w:highlight w:val="none"/>
          <w:shd w:val="clear" w:color="auto" w:fill="auto"/>
          <w14:textFill>
            <w14:solidFill>
              <w14:schemeClr w14:val="tx1"/>
            </w14:solidFill>
          </w14:textFill>
        </w:rPr>
        <w:t>3.法定代表人/负责人参加政府采购活动的需提供本人身份证原色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505DF55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4.非法定代表人/负责人参加政府采购活动的需提供法定代表人/负责人授权书及被授权人身份证原色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544D5B6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5.财务状况报告</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以下任选其一</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7DC9260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15" w:name="_Hlk79772930"/>
      <w:r>
        <w:rPr>
          <w:rFonts w:ascii="Times New Roman" w:hAnsi="Times New Roman" w:cs="Times New Roman"/>
          <w:bCs/>
          <w:color w:val="000000" w:themeColor="text1"/>
          <w:highlight w:val="none"/>
          <w:shd w:val="clear" w:color="auto" w:fill="auto"/>
          <w14:textFill>
            <w14:solidFill>
              <w14:schemeClr w14:val="tx1"/>
            </w14:solidFill>
          </w14:textFill>
        </w:rPr>
        <w:t>（1）可提供</w:t>
      </w:r>
      <w:bookmarkStart w:id="116" w:name="_Hlk79757614"/>
      <w:r>
        <w:rPr>
          <w:rFonts w:ascii="Times New Roman" w:hAnsi="Times New Roman" w:cs="Times New Roman"/>
          <w:bCs/>
          <w:color w:val="000000" w:themeColor="text1"/>
          <w:highlight w:val="none"/>
          <w:shd w:val="clear" w:color="auto" w:fill="auto"/>
          <w14:textFill>
            <w14:solidFill>
              <w14:schemeClr w14:val="tx1"/>
            </w14:solidFill>
          </w14:textFill>
        </w:rPr>
        <w:t>近两年任一年度</w:t>
      </w:r>
      <w:bookmarkEnd w:id="116"/>
      <w:r>
        <w:rPr>
          <w:rFonts w:ascii="Times New Roman" w:hAnsi="Times New Roman" w:cs="Times New Roman"/>
          <w:bCs/>
          <w:color w:val="000000" w:themeColor="text1"/>
          <w:highlight w:val="none"/>
          <w:shd w:val="clear" w:color="auto" w:fill="auto"/>
          <w14:textFill>
            <w14:solidFill>
              <w14:schemeClr w14:val="tx1"/>
            </w14:solidFill>
          </w14:textFill>
        </w:rPr>
        <w:t>经审计的财务报告（包含审计报告和审计报告中所涉及的财务报表和报表附注）原色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5A12DCF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（2）可提供近两年任一年度供应商完整的全套财务报表（应当包括资产负债表、利润表、现金流量表）原色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3E3722B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（3）可提供截至</w:t>
      </w:r>
      <w:bookmarkStart w:id="117" w:name="_Hlk79770093"/>
      <w:r>
        <w:rPr>
          <w:rFonts w:ascii="Times New Roman" w:hAnsi="Times New Roman" w:cs="Times New Roman"/>
          <w:bCs/>
          <w:color w:val="000000" w:themeColor="text1"/>
          <w:highlight w:val="none"/>
          <w:shd w:val="clear" w:color="auto" w:fill="auto"/>
          <w14:textFill>
            <w14:solidFill>
              <w14:schemeClr w14:val="tx1"/>
            </w14:solidFill>
          </w14:textFill>
        </w:rPr>
        <w:t>响应文件</w:t>
      </w:r>
      <w:bookmarkEnd w:id="117"/>
      <w:r>
        <w:rPr>
          <w:rFonts w:ascii="Times New Roman" w:hAnsi="Times New Roman" w:cs="Times New Roman"/>
          <w:bCs/>
          <w:color w:val="000000" w:themeColor="text1"/>
          <w:highlight w:val="none"/>
          <w:shd w:val="clear" w:color="auto" w:fill="auto"/>
          <w14:textFill>
            <w14:solidFill>
              <w14:schemeClr w14:val="tx1"/>
            </w14:solidFill>
          </w14:textFill>
        </w:rPr>
        <w:t>提交截止日一年内银行出具的资信证明</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原色扫描件并加盖公章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4D25944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（4）供应商注册时间截至响应文件提交截止日不足一年的，也可提供在工商管理部门备案的公司章程</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原色扫描件并加盖公章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73619103">
      <w:pPr>
        <w:pStyle w:val="11"/>
        <w:ind w:left="0" w:leftChars="0" w:firstLine="480" w:firstLineChars="200"/>
        <w:rPr>
          <w:rFonts w:hint="default" w:ascii="Times New Roman" w:hAnsi="Times New Roman" w:eastAsia="仿宋" w:cs="Times New Roman"/>
          <w:bCs/>
          <w:color w:val="000000" w:themeColor="text1"/>
          <w:kern w:val="2"/>
          <w:sz w:val="24"/>
          <w:szCs w:val="22"/>
          <w:highlight w:val="none"/>
          <w:shd w:val="clear" w:color="auto" w:fill="auto"/>
          <w:lang w:val="en-US" w:eastAsia="zh-CN" w:bidi="ar-SA"/>
          <w14:textFill>
            <w14:solidFill>
              <w14:schemeClr w14:val="tx1"/>
            </w14:solidFill>
          </w14:textFill>
        </w:rPr>
      </w:pPr>
      <w:r>
        <w:rPr>
          <w:rFonts w:hint="eastAsia" w:ascii="Times New Roman" w:hAnsi="Times New Roman" w:eastAsia="仿宋" w:cs="Times New Roman"/>
          <w:bCs/>
          <w:color w:val="000000" w:themeColor="text1"/>
          <w:kern w:val="2"/>
          <w:sz w:val="24"/>
          <w:szCs w:val="22"/>
          <w:highlight w:val="none"/>
          <w:shd w:val="clear" w:color="auto" w:fill="auto"/>
          <w:lang w:val="en-US" w:eastAsia="zh-CN" w:bidi="ar-SA"/>
          <w14:textFill>
            <w14:solidFill>
              <w14:schemeClr w14:val="tx1"/>
            </w14:solidFill>
          </w14:textFill>
        </w:rPr>
        <w:t>（5）供应商为事业单位、大型国有企业或其他组织(不具备法人条件的组织，如合伙组织、个体工商户、农村承包经营户等)或自然人时，可提供承诺函；</w:t>
      </w:r>
    </w:p>
    <w:p w14:paraId="1E3E2F4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18" w:name="_Hlk80186607"/>
      <w:r>
        <w:rPr>
          <w:rFonts w:ascii="Times New Roman" w:hAnsi="Times New Roman" w:cs="Times New Roman"/>
          <w:bCs/>
          <w:color w:val="000000" w:themeColor="text1"/>
          <w:highlight w:val="none"/>
          <w:shd w:val="clear" w:color="auto" w:fill="auto"/>
          <w14:textFill>
            <w14:solidFill>
              <w14:schemeClr w14:val="tx1"/>
            </w14:solidFill>
          </w14:textFill>
        </w:rPr>
        <w:t>（注：不得要求供应商提供证明财务报告中签字签章人或者第三方机构的身份证明、财务报告中数据信息真实性有效性的证明材料）</w:t>
      </w:r>
      <w:bookmarkEnd w:id="114"/>
      <w:bookmarkEnd w:id="115"/>
      <w:bookmarkEnd w:id="118"/>
    </w:p>
    <w:p w14:paraId="022705A5">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19" w:name="_Toc69936287"/>
      <w:bookmarkStart w:id="120" w:name="_Toc80303127"/>
      <w:bookmarkStart w:id="121" w:name="_Toc77273106"/>
      <w:r>
        <w:rPr>
          <w:rFonts w:ascii="Times New Roman" w:hAnsi="Times New Roman" w:cs="Times New Roman"/>
          <w:b/>
          <w:color w:val="000000" w:themeColor="text1"/>
          <w:highlight w:val="none"/>
          <w:shd w:val="clear" w:color="auto" w:fill="auto"/>
          <w14:textFill>
            <w14:solidFill>
              <w14:schemeClr w14:val="tx1"/>
            </w14:solidFill>
          </w14:textFill>
        </w:rPr>
        <w:t>二、其他类似效力相关证明材料</w:t>
      </w:r>
      <w:bookmarkEnd w:id="119"/>
      <w:bookmarkEnd w:id="120"/>
      <w:bookmarkEnd w:id="121"/>
    </w:p>
    <w:p w14:paraId="3F7678C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22" w:name="_Hlk80186622"/>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潜在供应商的项目负责人应熟悉招标采购工作，了解招标投标市场现状，对围标串标情形有深入研究。【</w:t>
      </w:r>
      <w:r>
        <w:rPr>
          <w:rFonts w:hint="eastAsia" w:ascii="楷体" w:hAnsi="楷体" w:eastAsia="楷体" w:cs="楷体"/>
          <w:i w:val="0"/>
          <w:iCs w:val="0"/>
          <w:caps w:val="0"/>
          <w:color w:val="000000" w:themeColor="text1"/>
          <w:spacing w:val="0"/>
          <w:kern w:val="0"/>
          <w:sz w:val="32"/>
          <w:szCs w:val="32"/>
          <w:shd w:val="clear" w:fill="FFFFFF"/>
          <w:lang w:val="en-US" w:eastAsia="zh-CN" w:bidi="ar"/>
          <w14:textFill>
            <w14:solidFill>
              <w14:schemeClr w14:val="tx1"/>
            </w14:solidFill>
          </w14:textFill>
        </w:rPr>
        <w:t>提供承诺函，格式自拟</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p>
    <w:p w14:paraId="494274F6">
      <w:pPr>
        <w:numPr>
          <w:ilvl w:val="0"/>
          <w:numId w:val="0"/>
        </w:numPr>
        <w:rPr>
          <w:rFonts w:ascii="Times New Roman" w:hAnsi="Times New Roman" w:cs="Times New Roman"/>
          <w:bCs/>
          <w:color w:val="000000" w:themeColor="text1"/>
          <w:highlight w:val="none"/>
          <w:shd w:val="clear" w:color="auto" w:fill="auto"/>
          <w14:textFill>
            <w14:solidFill>
              <w14:schemeClr w14:val="tx1"/>
            </w14:solidFill>
          </w14:textFill>
        </w:rPr>
      </w:pPr>
    </w:p>
    <w:bookmarkEnd w:id="122"/>
    <w:p w14:paraId="0ADC1ABD">
      <w:pPr>
        <w:ind w:firstLine="480" w:firstLineChars="200"/>
        <w:rPr>
          <w:rFonts w:ascii="Times New Roman" w:hAnsi="Times New Roman" w:cs="Times New Roman"/>
          <w:bCs/>
          <w:strike/>
          <w:color w:val="000000" w:themeColor="text1"/>
          <w:highlight w:val="none"/>
          <w:shd w:val="clear" w:color="auto" w:fill="auto"/>
          <w14:textFill>
            <w14:solidFill>
              <w14:schemeClr w14:val="tx1"/>
            </w14:solidFill>
          </w14:textFill>
        </w:rPr>
      </w:pPr>
    </w:p>
    <w:p w14:paraId="79D5FCF6">
      <w:pPr>
        <w:ind w:firstLine="480" w:firstLineChars="200"/>
        <w:rPr>
          <w:rFonts w:ascii="Times New Roman" w:hAnsi="Times New Roman" w:cs="Times New Roman"/>
          <w:bCs/>
          <w:strike/>
          <w:color w:val="000000" w:themeColor="text1"/>
          <w:highlight w:val="none"/>
          <w:shd w:val="clear" w:color="auto" w:fill="auto"/>
          <w14:textFill>
            <w14:solidFill>
              <w14:schemeClr w14:val="tx1"/>
            </w14:solidFill>
          </w14:textFill>
        </w:rPr>
      </w:pPr>
    </w:p>
    <w:p w14:paraId="409965A5">
      <w:pPr>
        <w:ind w:firstLine="480" w:firstLineChars="200"/>
        <w:rPr>
          <w:rFonts w:ascii="Times New Roman" w:hAnsi="Times New Roman" w:cs="Times New Roman"/>
          <w:bCs/>
          <w:strike/>
          <w:color w:val="000000" w:themeColor="text1"/>
          <w:highlight w:val="none"/>
          <w:shd w:val="clear" w:color="auto" w:fill="auto"/>
          <w14:textFill>
            <w14:solidFill>
              <w14:schemeClr w14:val="tx1"/>
            </w14:solidFill>
          </w14:textFill>
        </w:rPr>
      </w:pPr>
    </w:p>
    <w:p w14:paraId="5E58CC53">
      <w:pPr>
        <w:widowControl/>
        <w:spacing w:line="240" w:lineRule="auto"/>
        <w:jc w:val="left"/>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br w:type="page"/>
      </w:r>
    </w:p>
    <w:p w14:paraId="0570C707">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23" w:name="_Toc80303128"/>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五</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采购项目技术、服务、政府采购合同内容条款及其他商务要求</w:t>
      </w:r>
      <w:bookmarkEnd w:id="123"/>
    </w:p>
    <w:p w14:paraId="1D92940F">
      <w:pPr>
        <w:ind w:firstLine="480" w:firstLineChars="200"/>
        <w:jc w:val="left"/>
        <w:rPr>
          <w:rFonts w:ascii="Times New Roman" w:hAnsi="Times New Roman" w:cs="Times New Roman"/>
          <w:bCs/>
          <w:color w:val="000000" w:themeColor="text1"/>
          <w:highlight w:val="none"/>
          <w:shd w:val="clear" w:color="auto" w:fill="auto"/>
          <w14:textFill>
            <w14:solidFill>
              <w14:schemeClr w14:val="tx1"/>
            </w14:solidFill>
          </w14:textFill>
        </w:rPr>
      </w:pPr>
      <w:bookmarkStart w:id="124" w:name="_Hlk65144597"/>
    </w:p>
    <w:bookmarkEnd w:id="124"/>
    <w:p w14:paraId="6A591991">
      <w:pPr>
        <w:ind w:firstLine="480" w:firstLineChars="200"/>
        <w:rPr>
          <w:rFonts w:hint="eastAsia" w:ascii="黑体" w:hAnsi="黑体" w:eastAsia="黑体" w:cs="黑体"/>
          <w:bCs/>
          <w:color w:val="000000" w:themeColor="text1"/>
          <w:highlight w:val="none"/>
          <w:shd w:val="clear" w:color="auto" w:fill="auto"/>
          <w:lang w:val="en-US" w:eastAsia="zh-CN"/>
          <w14:textFill>
            <w14:solidFill>
              <w14:schemeClr w14:val="tx1"/>
            </w14:solidFill>
          </w14:textFill>
        </w:rPr>
      </w:pPr>
      <w:bookmarkStart w:id="125" w:name="_Toc80303133"/>
      <w:r>
        <w:rPr>
          <w:rFonts w:hint="eastAsia" w:ascii="黑体" w:hAnsi="黑体" w:eastAsia="黑体" w:cs="黑体"/>
          <w:bCs/>
          <w:color w:val="000000" w:themeColor="text1"/>
          <w:highlight w:val="none"/>
          <w:shd w:val="clear" w:color="auto" w:fill="auto"/>
          <w:lang w:val="en-US" w:eastAsia="zh-CN"/>
          <w14:textFill>
            <w14:solidFill>
              <w14:schemeClr w14:val="tx1"/>
            </w14:solidFill>
          </w14:textFill>
        </w:rPr>
        <w:t>一、服务要求</w:t>
      </w:r>
    </w:p>
    <w:p w14:paraId="60A13714">
      <w:pPr>
        <w:ind w:firstLine="480" w:firstLineChars="200"/>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1.总体要求：按照国、省关于深化工程招标投标领域突出问题系统治理要求，深入分析、查找工程招标投标中围标串标易发多发高发原因，探索加强工程招标全流程全链条监管、有效遏制围标串标、净化招标投标环境的对策。</w:t>
      </w:r>
    </w:p>
    <w:p w14:paraId="3031EF32">
      <w:pPr>
        <w:ind w:firstLine="480" w:firstLineChars="200"/>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2.主要工作内容：收集工程招标投标的法律法规、政策规定和全国、全省工程招标投标市场现状、打击围标串标的典型案例，研究提出全国、全省工程招标投标市场现状、发展趋势，深入分析围标串标的常见手法、技术手段、关键因素、背后成因，总结提炼打击围标串标的成功经验、创新举措，提出我省加强工程招标全流程全链条监管、有效遏制围标串标、净化招标投标环境的政策措施、创新机制、创新举措和对行业主管部门、公共资源交易中心的具体工作建议。</w:t>
      </w:r>
    </w:p>
    <w:p w14:paraId="16DBA255">
      <w:pPr>
        <w:ind w:firstLine="480" w:firstLineChars="200"/>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3.工作成果：（1）形成研究报告（全本、简写本、阶段性研究报告等）；</w:t>
      </w:r>
    </w:p>
    <w:p w14:paraId="728A1D01">
      <w:pPr>
        <w:ind w:firstLine="480" w:firstLineChars="200"/>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（2）形成以打击围标串标为重点的全流程全链条监管相关工作建议；</w:t>
      </w:r>
    </w:p>
    <w:p w14:paraId="4208D242">
      <w:pPr>
        <w:ind w:firstLine="480" w:firstLineChars="200"/>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（3）形成省中心规范提供交易服务、降低交易风险、打击围标串标的具体措施建议；</w:t>
      </w:r>
    </w:p>
    <w:p w14:paraId="5C2E5329">
      <w:pPr>
        <w:ind w:firstLine="480" w:firstLineChars="200"/>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（4）就提高监测预警围标串标能力，提出政务服务能力提升项目公共资源交易相关系统优化建议；</w:t>
      </w:r>
    </w:p>
    <w:p w14:paraId="1E3A2E40">
      <w:pPr>
        <w:ind w:firstLine="480" w:firstLineChars="200"/>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（5）提供研究过程中收集、梳理的资料、数据及统计成果。</w:t>
      </w:r>
    </w:p>
    <w:p w14:paraId="0F164AC9">
      <w:pPr>
        <w:ind w:firstLine="480" w:firstLineChars="200"/>
        <w:rPr>
          <w:rFonts w:hint="eastAsia" w:ascii="黑体" w:hAnsi="黑体" w:eastAsia="黑体" w:cs="黑体"/>
          <w:bCs/>
          <w:color w:val="000000" w:themeColor="text1"/>
          <w:highlight w:val="none"/>
          <w:shd w:val="clear" w:color="auto" w:fill="auto"/>
          <w:lang w:val="en-US" w:eastAsia="zh-CN"/>
          <w14:textFill>
            <w14:solidFill>
              <w14:schemeClr w14:val="tx1"/>
            </w14:solidFill>
          </w14:textFill>
        </w:rPr>
      </w:pPr>
      <w:r>
        <w:rPr>
          <w:rFonts w:hint="eastAsia" w:ascii="黑体" w:hAnsi="黑体" w:eastAsia="黑体" w:cs="黑体"/>
          <w:bCs/>
          <w:color w:val="000000" w:themeColor="text1"/>
          <w:highlight w:val="none"/>
          <w:shd w:val="clear" w:color="auto" w:fill="auto"/>
          <w:lang w:val="en-US" w:eastAsia="zh-CN"/>
          <w14:textFill>
            <w14:solidFill>
              <w14:schemeClr w14:val="tx1"/>
            </w14:solidFill>
          </w14:textFill>
        </w:rPr>
        <w:t>二、商务要求</w:t>
      </w:r>
    </w:p>
    <w:p w14:paraId="09D592C4">
      <w:pPr>
        <w:ind w:firstLine="480" w:firstLineChars="200"/>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1.完成时间：2024年12月15日前。</w:t>
      </w:r>
    </w:p>
    <w:p w14:paraId="1D1B2917">
      <w:pPr>
        <w:ind w:firstLine="480" w:firstLineChars="200"/>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2.付款方式：签订合同之日起10个工作日内支付合同金额的60%；验收合格后10个工作内支付剩余合同金额。</w:t>
      </w:r>
    </w:p>
    <w:p w14:paraId="648B26D9">
      <w:pPr>
        <w:ind w:firstLine="480" w:firstLineChars="200"/>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 xml:space="preserve">3.验收条件及标准：本项目参照政府采购相关法律法规和省中心采购相关规定进行验收，视情组织有关方面专家、主管部门对项目成果进行评估。                                         </w:t>
      </w:r>
    </w:p>
    <w:p w14:paraId="42DDDD76">
      <w:pPr>
        <w:ind w:firstLine="480" w:firstLineChars="200"/>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三、其他要求</w:t>
      </w:r>
    </w:p>
    <w:p w14:paraId="6490720C">
      <w:pPr>
        <w:ind w:firstLine="480" w:firstLineChars="200"/>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1.知识产权。申请人必须保证：在中华人民共和国境内使用申请的资料、技术、服务或其任何一部分时，享有不受限制的无偿使用权。</w:t>
      </w:r>
    </w:p>
    <w:p w14:paraId="6DFE3852">
      <w:pPr>
        <w:ind w:firstLine="480" w:firstLineChars="200"/>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研究成果及调研过程中收集、梳理的资料、数据及统计成果的知识产权由双方共有、无偿使用。</w:t>
      </w:r>
    </w:p>
    <w:p w14:paraId="64779B1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2.项目信息保密要求：项目执行期间，项目组成员应遵守保密法律法规和相关部门的保密要求，需恪守相关承诺，履行约定义务，按期完成研究任务，未经同意，不得向第三方透露与项目研究相关信息。</w:t>
      </w:r>
    </w:p>
    <w:p w14:paraId="44822BA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7AA098DE">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p>
    <w:p w14:paraId="003B7B66">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p>
    <w:p w14:paraId="3F571212">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六</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采购项目的实质性要求</w:t>
      </w:r>
      <w:bookmarkEnd w:id="125"/>
    </w:p>
    <w:p w14:paraId="44C02A4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6171A142">
      <w:pPr>
        <w:ind w:firstLine="640" w:firstLineChars="200"/>
        <w:jc w:val="left"/>
        <w:rPr>
          <w:rFonts w:hint="eastAsia" w:ascii="Times New Roman" w:hAnsi="Times New Roman" w:eastAsia="仿宋" w:cs="Times New Roman"/>
          <w:color w:val="000000" w:themeColor="text1"/>
          <w:sz w:val="32"/>
          <w:szCs w:val="32"/>
          <w:highlight w:val="none"/>
          <w:shd w:val="clear" w:color="auto" w:fill="auto"/>
          <w:lang w:eastAsia="zh-CN"/>
          <w14:textFill>
            <w14:solidFill>
              <w14:schemeClr w14:val="tx1"/>
            </w14:solidFill>
          </w14:textFill>
        </w:rPr>
      </w:pPr>
      <w:r>
        <w:rPr>
          <w:rFonts w:hint="eastAsia" w:ascii="Times New Roman" w:hAnsi="Times New Roman" w:cs="Times New Roman"/>
          <w:color w:val="000000" w:themeColor="text1"/>
          <w:sz w:val="32"/>
          <w:szCs w:val="32"/>
          <w:highlight w:val="none"/>
          <w:shd w:val="clear" w:color="auto" w:fill="auto"/>
          <w:lang w:eastAsia="zh-CN"/>
          <w14:textFill>
            <w14:solidFill>
              <w14:schemeClr w14:val="tx1"/>
            </w14:solidFill>
          </w14:textFill>
        </w:rPr>
        <w:t>无</w:t>
      </w:r>
    </w:p>
    <w:p w14:paraId="2CC1DBC0">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3EF9B8A2">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1532F531">
      <w:pPr>
        <w:widowControl/>
        <w:spacing w:line="240" w:lineRule="auto"/>
        <w:jc w:val="left"/>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br w:type="page"/>
      </w:r>
    </w:p>
    <w:p w14:paraId="2CA0858B">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26" w:name="_Toc80303134"/>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七</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磋商过程中可实质性变动的内容</w:t>
      </w:r>
      <w:bookmarkEnd w:id="126"/>
    </w:p>
    <w:p w14:paraId="3F75142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6DDA42CC">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w:t>
      </w:r>
      <w:r>
        <w:rPr>
          <w:rFonts w:hint="eastAsia" w:ascii="Times New Roman" w:hAnsi="Times New Roman" w:cs="Times New Roman"/>
          <w:color w:val="000000" w:themeColor="text1"/>
          <w:highlight w:val="none"/>
          <w:shd w:val="clear" w:color="auto" w:fill="auto"/>
          <w14:textFill>
            <w14:solidFill>
              <w14:schemeClr w14:val="tx1"/>
            </w14:solidFill>
          </w14:textFill>
        </w:rPr>
        <w:t>采购需求中的技术、服务要求以及合同草案条款，为本次磋商采购项目可实质性变动的内容，供应商在磋商结束后应全部满足。</w:t>
      </w:r>
    </w:p>
    <w:p w14:paraId="06F69FD6">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w:t>
      </w:r>
      <w:r>
        <w:rPr>
          <w:rFonts w:hint="eastAsia" w:ascii="Times New Roman" w:hAnsi="Times New Roman" w:cs="Times New Roman"/>
          <w:color w:val="000000" w:themeColor="text1"/>
          <w:highlight w:val="none"/>
          <w:shd w:val="clear" w:color="auto" w:fill="auto"/>
          <w14:textFill>
            <w14:solidFill>
              <w14:schemeClr w14:val="tx1"/>
            </w14:solidFill>
          </w14:textFill>
        </w:rPr>
        <w:t>磋商文件中标注</w:t>
      </w:r>
      <w:r>
        <w:rPr>
          <w:rFonts w:ascii="Times New Roman" w:hAnsi="Times New Roman" w:cs="Times New Roman"/>
          <w:color w:val="000000" w:themeColor="text1"/>
          <w:highlight w:val="none"/>
          <w:shd w:val="clear" w:color="auto" w:fill="auto"/>
          <w14:textFill>
            <w14:solidFill>
              <w14:schemeClr w14:val="tx1"/>
            </w14:solidFill>
          </w14:textFill>
        </w:rPr>
        <w:t>“</w:t>
      </w:r>
      <w:r>
        <w:rPr>
          <w:rFonts w:ascii="Segoe UI Symbol" w:hAnsi="Segoe UI Symbol" w:cs="Segoe UI Symbol"/>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highlight w:val="none"/>
          <w:shd w:val="clear" w:color="auto" w:fill="auto"/>
          <w14:textFill>
            <w14:solidFill>
              <w14:schemeClr w14:val="tx1"/>
            </w14:solidFill>
          </w14:textFill>
        </w:rPr>
        <w:t>”</w:t>
      </w:r>
      <w:r>
        <w:rPr>
          <w:rFonts w:hint="eastAsia" w:ascii="Times New Roman" w:hAnsi="Times New Roman" w:cs="Times New Roman"/>
          <w:color w:val="000000" w:themeColor="text1"/>
          <w:highlight w:val="none"/>
          <w:shd w:val="clear" w:color="auto" w:fill="auto"/>
          <w14:textFill>
            <w14:solidFill>
              <w14:schemeClr w14:val="tx1"/>
            </w14:solidFill>
          </w14:textFill>
        </w:rPr>
        <w:t>号的内容，以及第十章合同草案条款，为本次磋商采购项目可实质性变动的内容，供应商在磋商结束后应全部满足。</w:t>
      </w:r>
    </w:p>
    <w:p w14:paraId="410ED98D">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在磋商过程中，磋商小组根据项目实际需要制定磋商内容，在获得采购人代表确认的前提下，可以根据磋商情况实质性变动相关内容。磋商小组对磋商文件作出的实质性变动是磋商文件的有效组成部分，磋商小组应及时通知所有参加磋商的供应商。</w:t>
      </w:r>
    </w:p>
    <w:p w14:paraId="4DDADFC5">
      <w:pPr>
        <w:widowControl/>
        <w:spacing w:line="240" w:lineRule="auto"/>
        <w:jc w:val="left"/>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br w:type="page"/>
      </w:r>
    </w:p>
    <w:p w14:paraId="41BE905A">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27" w:name="_Toc80303135"/>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八</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响应文件格式</w:t>
      </w:r>
      <w:bookmarkEnd w:id="127"/>
    </w:p>
    <w:p w14:paraId="490E5B67">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564E2033">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一、本章所制响应文件格式，除格式中明确将该格式作为实质性要求的，不具有强制性。</w:t>
      </w:r>
    </w:p>
    <w:p w14:paraId="2D550101">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二、本章所制响应文件格式有关表格的备注栏，由供应商根据自身响应情况作解释说明，不作为必填项。</w:t>
      </w:r>
    </w:p>
    <w:p w14:paraId="1BF79CE4">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w:t>
      </w:r>
    </w:p>
    <w:p w14:paraId="61F0E147">
      <w:pPr>
        <w:ind w:firstLine="482" w:firstLineChars="200"/>
        <w:jc w:val="left"/>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四、磋商文件中“</w:t>
      </w:r>
      <w:r>
        <w:rPr>
          <w:rFonts w:hint="eastAsia" w:ascii="Times New Roman" w:hAnsi="Times New Roman" w:cs="Times New Roman"/>
          <w:b/>
          <w:bCs/>
          <w:color w:val="000000" w:themeColor="text1"/>
          <w:highlight w:val="none"/>
          <w:shd w:val="clear" w:color="auto" w:fill="auto"/>
          <w:lang w:eastAsia="zh-CN"/>
          <w14:textFill>
            <w14:solidFill>
              <w14:schemeClr w14:val="tx1"/>
            </w14:solidFill>
          </w14:textFill>
        </w:rPr>
        <w:t>原色扫描件并加盖公章</w:t>
      </w:r>
      <w:r>
        <w:rPr>
          <w:rFonts w:ascii="Times New Roman" w:hAnsi="Times New Roman" w:cs="Times New Roman"/>
          <w:b/>
          <w:bCs/>
          <w:color w:val="000000" w:themeColor="text1"/>
          <w:highlight w:val="none"/>
          <w:shd w:val="clear" w:color="auto" w:fill="auto"/>
          <w14:textFill>
            <w14:solidFill>
              <w14:schemeClr w14:val="tx1"/>
            </w14:solidFill>
          </w14:textFill>
        </w:rPr>
        <w:t>”的含义：</w:t>
      </w:r>
      <w:bookmarkStart w:id="128" w:name="_Hlk79769882"/>
      <w:r>
        <w:rPr>
          <w:rFonts w:ascii="Times New Roman" w:hAnsi="Times New Roman" w:cs="Times New Roman"/>
          <w:b/>
          <w:bCs/>
          <w:color w:val="000000" w:themeColor="text1"/>
          <w:highlight w:val="none"/>
          <w:shd w:val="clear" w:color="auto" w:fill="auto"/>
          <w14:textFill>
            <w14:solidFill>
              <w14:schemeClr w14:val="tx1"/>
            </w14:solidFill>
          </w14:textFill>
        </w:rPr>
        <w:t>对相关证明材料的原件进行扫描或拍照后（供应商承诺函原件、授权书原件、相关截图证明材料除外</w:t>
      </w:r>
      <w:r>
        <w:rPr>
          <w:rFonts w:hint="eastAsia" w:ascii="Times New Roman" w:hAnsi="Times New Roman" w:cs="Times New Roman"/>
          <w:b/>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
          <w:bCs/>
          <w:color w:val="000000" w:themeColor="text1"/>
          <w:highlight w:val="none"/>
          <w:shd w:val="clear" w:color="auto" w:fill="auto"/>
          <w14:textFill>
            <w14:solidFill>
              <w14:schemeClr w14:val="tx1"/>
            </w14:solidFill>
          </w14:textFill>
        </w:rPr>
        <w:t>，直接签章</w:t>
      </w:r>
      <w:r>
        <w:rPr>
          <w:rFonts w:hint="eastAsia" w:ascii="Times New Roman" w:hAnsi="Times New Roman" w:cs="Times New Roman"/>
          <w:b/>
          <w:bCs/>
          <w:color w:val="000000" w:themeColor="text1"/>
          <w:highlight w:val="none"/>
          <w:shd w:val="clear" w:color="auto" w:fill="auto"/>
          <w:lang w:eastAsia="zh-CN"/>
          <w14:textFill>
            <w14:solidFill>
              <w14:schemeClr w14:val="tx1"/>
            </w14:solidFill>
          </w14:textFill>
        </w:rPr>
        <w:t>打印纸质资料</w:t>
      </w:r>
      <w:r>
        <w:rPr>
          <w:rFonts w:ascii="Times New Roman" w:hAnsi="Times New Roman" w:cs="Times New Roman"/>
          <w:b/>
          <w:bCs/>
          <w:color w:val="000000" w:themeColor="text1"/>
          <w:highlight w:val="none"/>
          <w:shd w:val="clear" w:color="auto" w:fill="auto"/>
          <w14:textFill>
            <w14:solidFill>
              <w14:schemeClr w14:val="tx1"/>
            </w14:solidFill>
          </w14:textFill>
        </w:rPr>
        <w:t>，作为响应文件中的组成部分</w:t>
      </w:r>
      <w:bookmarkEnd w:id="128"/>
      <w:r>
        <w:rPr>
          <w:rFonts w:ascii="Times New Roman" w:hAnsi="Times New Roman" w:cs="Times New Roman"/>
          <w:b/>
          <w:bCs/>
          <w:color w:val="000000" w:themeColor="text1"/>
          <w:highlight w:val="none"/>
          <w:shd w:val="clear" w:color="auto" w:fill="auto"/>
          <w14:textFill>
            <w14:solidFill>
              <w14:schemeClr w14:val="tx1"/>
            </w14:solidFill>
          </w14:textFill>
        </w:rPr>
        <w:t>。禁止复印件扫描或拍照。</w:t>
      </w:r>
    </w:p>
    <w:p w14:paraId="1B66824B">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5EF62EC0">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14:paraId="56FDE9E0">
      <w:pPr>
        <w:spacing w:before="312" w:beforeLines="100" w:after="312" w:afterLines="100"/>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“响应文件”格式</w:t>
      </w:r>
    </w:p>
    <w:p w14:paraId="2CA79706">
      <w:pPr>
        <w:spacing w:before="312" w:beforeLines="100" w:after="312" w:afterLines="100"/>
        <w:jc w:val="left"/>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封面：</w:t>
      </w:r>
    </w:p>
    <w:p w14:paraId="0D3C22F8">
      <w:pPr>
        <w:spacing w:before="312" w:beforeLines="100" w:after="312" w:afterLines="100"/>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采购项目编号：XXXXXXXXXX</w:t>
      </w:r>
    </w:p>
    <w:p w14:paraId="4298B0A8">
      <w:pPr>
        <w:spacing w:before="312" w:beforeLines="100" w:after="312" w:afterLines="100"/>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采购项目名称：XXXXXXXXXX</w:t>
      </w:r>
    </w:p>
    <w:p w14:paraId="09A3BDB4">
      <w:pPr>
        <w:rPr>
          <w:rFonts w:ascii="Times New Roman" w:hAnsi="Times New Roman" w:cs="Times New Roman"/>
          <w:bCs/>
          <w:color w:val="000000" w:themeColor="text1"/>
          <w:highlight w:val="none"/>
          <w:shd w:val="clear" w:color="auto" w:fill="auto"/>
          <w14:textFill>
            <w14:solidFill>
              <w14:schemeClr w14:val="tx1"/>
            </w14:solidFill>
          </w14:textFill>
        </w:rPr>
      </w:pPr>
    </w:p>
    <w:p w14:paraId="69DFFD69">
      <w:pPr>
        <w:rPr>
          <w:rFonts w:ascii="Times New Roman" w:hAnsi="Times New Roman" w:cs="Times New Roman"/>
          <w:bCs/>
          <w:color w:val="000000" w:themeColor="text1"/>
          <w:highlight w:val="none"/>
          <w:shd w:val="clear" w:color="auto" w:fill="auto"/>
          <w14:textFill>
            <w14:solidFill>
              <w14:schemeClr w14:val="tx1"/>
            </w14:solidFill>
          </w14:textFill>
        </w:rPr>
      </w:pPr>
    </w:p>
    <w:p w14:paraId="6BD1A341">
      <w:pPr>
        <w:rPr>
          <w:rFonts w:ascii="Times New Roman" w:hAnsi="Times New Roman" w:cs="Times New Roman"/>
          <w:bCs/>
          <w:color w:val="000000" w:themeColor="text1"/>
          <w:highlight w:val="none"/>
          <w:shd w:val="clear" w:color="auto" w:fill="auto"/>
          <w14:textFill>
            <w14:solidFill>
              <w14:schemeClr w14:val="tx1"/>
            </w14:solidFill>
          </w14:textFill>
        </w:rPr>
      </w:pPr>
    </w:p>
    <w:p w14:paraId="3890685B">
      <w:pPr>
        <w:spacing w:before="624" w:beforeLines="200" w:after="624" w:afterLines="2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响应文件</w:t>
      </w:r>
    </w:p>
    <w:p w14:paraId="1356A47D">
      <w:pPr>
        <w:spacing w:before="312" w:beforeLines="100" w:after="312" w:afterLines="100"/>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（包号：XX）</w:t>
      </w:r>
    </w:p>
    <w:p w14:paraId="3EB3C528">
      <w:pPr>
        <w:rPr>
          <w:rFonts w:ascii="Times New Roman" w:hAnsi="Times New Roman" w:cs="Times New Roman"/>
          <w:bCs/>
          <w:color w:val="000000" w:themeColor="text1"/>
          <w:highlight w:val="none"/>
          <w:shd w:val="clear" w:color="auto" w:fill="auto"/>
          <w14:textFill>
            <w14:solidFill>
              <w14:schemeClr w14:val="tx1"/>
            </w14:solidFill>
          </w14:textFill>
        </w:rPr>
      </w:pPr>
    </w:p>
    <w:p w14:paraId="43CEC8BC">
      <w:pPr>
        <w:rPr>
          <w:rFonts w:ascii="Times New Roman" w:hAnsi="Times New Roman" w:cs="Times New Roman"/>
          <w:bCs/>
          <w:color w:val="000000" w:themeColor="text1"/>
          <w:highlight w:val="none"/>
          <w:shd w:val="clear" w:color="auto" w:fill="auto"/>
          <w14:textFill>
            <w14:solidFill>
              <w14:schemeClr w14:val="tx1"/>
            </w14:solidFill>
          </w14:textFill>
        </w:rPr>
      </w:pPr>
    </w:p>
    <w:p w14:paraId="777815C9">
      <w:pPr>
        <w:rPr>
          <w:rFonts w:ascii="Times New Roman" w:hAnsi="Times New Roman" w:cs="Times New Roman"/>
          <w:bCs/>
          <w:color w:val="000000" w:themeColor="text1"/>
          <w:highlight w:val="none"/>
          <w:shd w:val="clear" w:color="auto" w:fill="auto"/>
          <w14:textFill>
            <w14:solidFill>
              <w14:schemeClr w14:val="tx1"/>
            </w14:solidFill>
          </w14:textFill>
        </w:rPr>
      </w:pPr>
    </w:p>
    <w:p w14:paraId="4B1C1FDF">
      <w:pPr>
        <w:rPr>
          <w:rFonts w:ascii="Times New Roman" w:hAnsi="Times New Roman" w:cs="Times New Roman"/>
          <w:bCs/>
          <w:color w:val="000000" w:themeColor="text1"/>
          <w:highlight w:val="none"/>
          <w:shd w:val="clear" w:color="auto" w:fill="auto"/>
          <w14:textFill>
            <w14:solidFill>
              <w14:schemeClr w14:val="tx1"/>
            </w14:solidFill>
          </w14:textFill>
        </w:rPr>
      </w:pPr>
    </w:p>
    <w:p w14:paraId="799CC355">
      <w:pPr>
        <w:rPr>
          <w:rFonts w:ascii="Times New Roman" w:hAnsi="Times New Roman" w:cs="Times New Roman"/>
          <w:bCs/>
          <w:color w:val="000000" w:themeColor="text1"/>
          <w:highlight w:val="none"/>
          <w:shd w:val="clear" w:color="auto" w:fill="auto"/>
          <w14:textFill>
            <w14:solidFill>
              <w14:schemeClr w14:val="tx1"/>
            </w14:solidFill>
          </w14:textFill>
        </w:rPr>
      </w:pPr>
    </w:p>
    <w:p w14:paraId="310FB081">
      <w:pPr>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供应商名称：XXX（签章）</w:t>
      </w:r>
    </w:p>
    <w:p w14:paraId="5C62828B">
      <w:pPr>
        <w:rPr>
          <w:rFonts w:ascii="Times New Roman" w:hAnsi="Times New Roman" w:cs="Times New Roman"/>
          <w:bCs/>
          <w:color w:val="000000" w:themeColor="text1"/>
          <w:highlight w:val="none"/>
          <w:shd w:val="clear" w:color="auto" w:fill="auto"/>
          <w14:textFill>
            <w14:solidFill>
              <w14:schemeClr w14:val="tx1"/>
            </w14:solidFill>
          </w14:textFill>
        </w:rPr>
      </w:pPr>
    </w:p>
    <w:p w14:paraId="2A585B24">
      <w:pPr>
        <w:jc w:val="center"/>
        <w:rPr>
          <w:rFonts w:ascii="Times New Roman" w:hAnsi="Times New Roman" w:cs="Times New Roman"/>
          <w:bCs/>
          <w:color w:val="000000" w:themeColor="text1"/>
          <w:highlight w:val="none"/>
          <w:shd w:val="clear" w:color="auto" w:fill="auto"/>
          <w14:textFill>
            <w14:solidFill>
              <w14:schemeClr w14:val="tx1"/>
            </w14:solidFill>
          </w14:textFill>
        </w:rPr>
      </w:pPr>
      <w:bookmarkStart w:id="129" w:name="_Hlk69484245"/>
      <w:r>
        <w:rPr>
          <w:rFonts w:ascii="Times New Roman" w:hAnsi="Times New Roman" w:eastAsia="黑体" w:cs="Times New Roman"/>
          <w:b/>
          <w:color w:val="000000" w:themeColor="text1"/>
          <w:sz w:val="32"/>
          <w:szCs w:val="32"/>
          <w:highlight w:val="none"/>
          <w:shd w:val="clear" w:color="auto" w:fill="auto"/>
          <w14:textFill>
            <w14:solidFill>
              <w14:schemeClr w14:val="tx1"/>
            </w14:solidFill>
          </w14:textFill>
        </w:rPr>
        <w:t>XXXX</w:t>
      </w:r>
      <w:r>
        <w:rPr>
          <w:rFonts w:ascii="Times New Roman" w:hAnsi="Times New Roman" w:eastAsia="黑体" w:cs="Times New Roman"/>
          <w:b/>
          <w:bCs/>
          <w:color w:val="000000" w:themeColor="text1"/>
          <w:sz w:val="32"/>
          <w:szCs w:val="32"/>
          <w:highlight w:val="none"/>
          <w:shd w:val="clear" w:color="auto" w:fill="auto"/>
          <w:lang w:val="zh-CN"/>
          <w14:textFill>
            <w14:solidFill>
              <w14:schemeClr w14:val="tx1"/>
            </w14:solidFill>
          </w14:textFill>
        </w:rPr>
        <w:t>年</w:t>
      </w:r>
      <w:r>
        <w:rPr>
          <w:rFonts w:ascii="Times New Roman" w:hAnsi="Times New Roman" w:eastAsia="黑体" w:cs="Times New Roman"/>
          <w:b/>
          <w:color w:val="000000" w:themeColor="text1"/>
          <w:sz w:val="32"/>
          <w:szCs w:val="32"/>
          <w:highlight w:val="none"/>
          <w:shd w:val="clear" w:color="auto" w:fill="auto"/>
          <w14:textFill>
            <w14:solidFill>
              <w14:schemeClr w14:val="tx1"/>
            </w14:solidFill>
          </w14:textFill>
        </w:rPr>
        <w:t>XX</w:t>
      </w:r>
      <w:r>
        <w:rPr>
          <w:rFonts w:ascii="Times New Roman" w:hAnsi="Times New Roman" w:eastAsia="黑体" w:cs="Times New Roman"/>
          <w:b/>
          <w:bCs/>
          <w:color w:val="000000" w:themeColor="text1"/>
          <w:sz w:val="32"/>
          <w:szCs w:val="32"/>
          <w:highlight w:val="none"/>
          <w:shd w:val="clear" w:color="auto" w:fill="auto"/>
          <w:lang w:val="zh-CN"/>
          <w14:textFill>
            <w14:solidFill>
              <w14:schemeClr w14:val="tx1"/>
            </w14:solidFill>
          </w14:textFill>
        </w:rPr>
        <w:t>月</w:t>
      </w:r>
      <w:r>
        <w:rPr>
          <w:rFonts w:ascii="Times New Roman" w:hAnsi="Times New Roman" w:eastAsia="黑体" w:cs="Times New Roman"/>
          <w:b/>
          <w:color w:val="000000" w:themeColor="text1"/>
          <w:sz w:val="32"/>
          <w:szCs w:val="32"/>
          <w:highlight w:val="none"/>
          <w:shd w:val="clear" w:color="auto" w:fill="auto"/>
          <w14:textFill>
            <w14:solidFill>
              <w14:schemeClr w14:val="tx1"/>
            </w14:solidFill>
          </w14:textFill>
        </w:rPr>
        <w:t>XX日</w:t>
      </w:r>
    </w:p>
    <w:bookmarkEnd w:id="129"/>
    <w:p w14:paraId="55CEE7EB">
      <w:pPr>
        <w:widowControl/>
        <w:spacing w:line="240" w:lineRule="auto"/>
        <w:jc w:val="left"/>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br w:type="page"/>
      </w:r>
    </w:p>
    <w:p w14:paraId="6C1674CD">
      <w:pP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格式1</w:t>
      </w:r>
    </w:p>
    <w:p w14:paraId="5A5871E8">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30" w:name="_Toc80303136"/>
      <w:bookmarkStart w:id="131" w:name="_Toc77273114"/>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一、法定代表人/负责人身份证明书</w:t>
      </w:r>
      <w:bookmarkEnd w:id="130"/>
      <w:bookmarkEnd w:id="131"/>
    </w:p>
    <w:p w14:paraId="2C5FD44A">
      <w:pPr>
        <w:jc w:val="center"/>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（法定代表人/负责人参加磋商时提供）</w:t>
      </w:r>
    </w:p>
    <w:p w14:paraId="3F1E6077">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580951D6">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（法定代表人/负责人姓名）在（供应商名称）处任（职务名称）职务，是（供应商名称）的法定代表人</w:t>
      </w:r>
      <w:r>
        <w:rPr>
          <w:rFonts w:hint="eastAsia" w:ascii="Times New Roman" w:hAnsi="Times New Roman" w:cs="Times New Roman"/>
          <w:color w:val="000000" w:themeColor="text1"/>
          <w:highlight w:val="none"/>
          <w:shd w:val="clear" w:color="auto" w:fill="auto"/>
          <w14:textFill>
            <w14:solidFill>
              <w14:schemeClr w14:val="tx1"/>
            </w14:solidFill>
          </w14:textFill>
        </w:rPr>
        <w:t>（或负责人）</w:t>
      </w:r>
      <w:r>
        <w:rPr>
          <w:rFonts w:ascii="Times New Roman" w:hAnsi="Times New Roman" w:cs="Times New Roman"/>
          <w:color w:val="000000" w:themeColor="text1"/>
          <w:highlight w:val="none"/>
          <w:shd w:val="clear" w:color="auto" w:fill="auto"/>
          <w14:textFill>
            <w14:solidFill>
              <w14:schemeClr w14:val="tx1"/>
            </w14:solidFill>
          </w14:textFill>
        </w:rPr>
        <w:t>。</w:t>
      </w:r>
    </w:p>
    <w:p w14:paraId="03534709">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特此证明。</w:t>
      </w:r>
    </w:p>
    <w:p w14:paraId="05FBACB0">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56BC58F9">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附件：法定代表人/负责人的身份证/护照/户口本</w:t>
      </w:r>
    </w:p>
    <w:p w14:paraId="2432F282">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68BDF6AF">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07531906">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0FFFE085">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14:paraId="211C3699">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4994C198">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注：本法定代表人/负责人身份证明书应附法定代表人/负责人的居民身份证（包括正反两面）或护照（为外籍人士的，则提供护照）或户口本。</w:t>
      </w:r>
    </w:p>
    <w:p w14:paraId="5D2F2646">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3302E4A4">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14:paraId="09FAF4B2">
      <w:pP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格式2</w:t>
      </w:r>
    </w:p>
    <w:p w14:paraId="67F56A47">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32" w:name="_Toc69651263"/>
      <w:bookmarkStart w:id="133" w:name="_Toc69936295"/>
      <w:bookmarkStart w:id="134" w:name="_Toc77273115"/>
      <w:bookmarkStart w:id="135" w:name="_Toc80303137"/>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二、法定代表人/负责人授权书</w:t>
      </w:r>
      <w:bookmarkEnd w:id="132"/>
      <w:bookmarkEnd w:id="133"/>
      <w:bookmarkEnd w:id="134"/>
      <w:bookmarkEnd w:id="135"/>
    </w:p>
    <w:p w14:paraId="322E73BE">
      <w:pPr>
        <w:jc w:val="center"/>
        <w:rPr>
          <w:rFonts w:ascii="Times New Roman" w:hAnsi="Times New Roman" w:cs="Times New Roman"/>
          <w:color w:val="000000" w:themeColor="text1"/>
          <w:highlight w:val="none"/>
          <w:shd w:val="clear" w:color="auto" w:fill="auto"/>
          <w14:textFill>
            <w14:solidFill>
              <w14:schemeClr w14:val="tx1"/>
            </w14:solidFill>
          </w14:textFill>
        </w:rPr>
      </w:pPr>
      <w:bookmarkStart w:id="136" w:name="_Hlk69484405"/>
      <w:r>
        <w:rPr>
          <w:rFonts w:ascii="Times New Roman" w:hAnsi="Times New Roman" w:cs="Times New Roman"/>
          <w:color w:val="000000" w:themeColor="text1"/>
          <w:highlight w:val="none"/>
          <w:shd w:val="clear" w:color="auto" w:fill="auto"/>
          <w14:textFill>
            <w14:solidFill>
              <w14:schemeClr w14:val="tx1"/>
            </w14:solidFill>
          </w14:textFill>
        </w:rPr>
        <w:t>（非法定代表人/负责人参加磋商时提供）</w:t>
      </w:r>
    </w:p>
    <w:p w14:paraId="79319685">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4F7DA118">
      <w:pPr>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四川省政府</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政务服务和公共资源交易服务中心</w:t>
      </w:r>
      <w:r>
        <w:rPr>
          <w:rFonts w:ascii="Times New Roman" w:hAnsi="Times New Roman" w:cs="Times New Roman"/>
          <w:color w:val="000000" w:themeColor="text1"/>
          <w:highlight w:val="none"/>
          <w:shd w:val="clear" w:color="auto" w:fill="auto"/>
          <w14:textFill>
            <w14:solidFill>
              <w14:schemeClr w14:val="tx1"/>
            </w14:solidFill>
          </w14:textFill>
        </w:rPr>
        <w:t>：</w:t>
      </w:r>
    </w:p>
    <w:p w14:paraId="269E0E23">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本授权声明：XXX（供应商名称）授权XX（被授权人姓名，职务）为参加XXX项目（采购</w:t>
      </w:r>
      <w:bookmarkEnd w:id="136"/>
      <w:r>
        <w:rPr>
          <w:rFonts w:ascii="Times New Roman" w:hAnsi="Times New Roman" w:cs="Times New Roman"/>
          <w:color w:val="000000" w:themeColor="text1"/>
          <w:highlight w:val="none"/>
          <w:shd w:val="clear" w:color="auto" w:fill="auto"/>
          <w14:textFill>
            <w14:solidFill>
              <w14:schemeClr w14:val="tx1"/>
            </w14:solidFill>
          </w14:textFill>
        </w:rPr>
        <w:t>项目编号：XXX）的合法代表，代表我方与磋商小组进行磋商。</w:t>
      </w:r>
    </w:p>
    <w:p w14:paraId="2B4C9A60">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特此声明。</w:t>
      </w:r>
    </w:p>
    <w:p w14:paraId="704AC2CC">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2DE17475">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附件：授权代表的身份证/护照/户口本</w:t>
      </w:r>
    </w:p>
    <w:p w14:paraId="6E3C15B1">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43771951">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7774F966">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1486C880">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3A1C2A37">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14:paraId="6E4613C1">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65FDA4A6">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注：</w:t>
      </w:r>
    </w:p>
    <w:p w14:paraId="693C091F">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1.本法定代表人/负责人授权书应附授权代表身份证明材料。</w:t>
      </w:r>
    </w:p>
    <w:p w14:paraId="37D72485">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2.身份证明材料包括居民身份证（包括正反两面）或护照（为外籍人士的，则提供护照）或户口本。</w:t>
      </w:r>
    </w:p>
    <w:p w14:paraId="4F18F350">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26937776">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14:paraId="47C1BC6D">
      <w:pP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格式3</w:t>
      </w:r>
    </w:p>
    <w:p w14:paraId="1A3E9C66">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37" w:name="_Toc69651264"/>
      <w:bookmarkStart w:id="138" w:name="_Toc69936296"/>
      <w:bookmarkStart w:id="139" w:name="_Toc80303138"/>
      <w:bookmarkStart w:id="140" w:name="_Toc77273116"/>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三、承诺函（实质性要求）</w:t>
      </w:r>
      <w:bookmarkEnd w:id="137"/>
      <w:bookmarkEnd w:id="138"/>
      <w:bookmarkEnd w:id="139"/>
      <w:bookmarkEnd w:id="140"/>
    </w:p>
    <w:p w14:paraId="70350775">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14:paraId="6477318D">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bookmarkStart w:id="141" w:name="_Hlk80186830"/>
      <w:r>
        <w:rPr>
          <w:rFonts w:hint="eastAsia" w:ascii="Times New Roman" w:hAnsi="Times New Roman" w:cs="Times New Roman"/>
          <w:color w:val="000000" w:themeColor="text1"/>
          <w:highlight w:val="none"/>
          <w:shd w:val="clear" w:color="auto" w:fill="auto"/>
          <w14:textFill>
            <w14:solidFill>
              <w14:schemeClr w14:val="tx1"/>
            </w14:solidFill>
          </w14:textFill>
        </w:rPr>
        <w:t>四川省政府</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政务服务和公共资源交易服务中心</w:t>
      </w:r>
      <w:r>
        <w:rPr>
          <w:rFonts w:ascii="Times New Roman" w:hAnsi="Times New Roman" w:cs="Times New Roman"/>
          <w:color w:val="000000" w:themeColor="text1"/>
          <w:highlight w:val="none"/>
          <w:shd w:val="clear" w:color="auto" w:fill="auto"/>
          <w14:textFill>
            <w14:solidFill>
              <w14:schemeClr w14:val="tx1"/>
            </w14:solidFill>
          </w14:textFill>
        </w:rPr>
        <w:t>：</w:t>
      </w:r>
    </w:p>
    <w:p w14:paraId="3D651C92">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我方作为本次采购项目的供应商，根据磋商文件要求，现郑重承诺如下：</w:t>
      </w:r>
    </w:p>
    <w:p w14:paraId="2F3898E7">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一、具备《中华人民共和国政府采购法》第二十二条第一款和本项目规定的条件：</w:t>
      </w:r>
    </w:p>
    <w:p w14:paraId="390923E5">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（一）具有独立承担民事责任的能力；</w:t>
      </w:r>
    </w:p>
    <w:p w14:paraId="27A43D2B">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（二）具有良好的商业信誉和健全的财务会计制度；</w:t>
      </w:r>
    </w:p>
    <w:p w14:paraId="24FF4732">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（三）具有履行合同所必需的设备和专业技术能力；</w:t>
      </w:r>
    </w:p>
    <w:p w14:paraId="4B77B106">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（四）有依法缴纳税收和社会保障资金的良好记录；</w:t>
      </w:r>
    </w:p>
    <w:p w14:paraId="62C0FD82">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（五）参加政府采购活动前三年内，在经营活动中没有重大违法记录；</w:t>
      </w:r>
    </w:p>
    <w:p w14:paraId="7BAE92A2">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（六）法律、行政法规规定的其他条件；</w:t>
      </w:r>
    </w:p>
    <w:p w14:paraId="4C2DFCDE">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（七）根据采购项目提出的特殊条件。</w:t>
      </w:r>
    </w:p>
    <w:p w14:paraId="7186A283">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二、完全接受和满足本项目磋商文件中规定的实质性要求</w:t>
      </w:r>
      <w:r>
        <w:rPr>
          <w:rFonts w:hint="eastAsia" w:ascii="Times New Roman" w:hAnsi="Times New Roman" w:cs="Times New Roman"/>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highlight w:val="none"/>
          <w:shd w:val="clear" w:color="auto" w:fill="auto"/>
          <w14:textFill>
            <w14:solidFill>
              <w14:schemeClr w14:val="tx1"/>
            </w14:solidFill>
          </w14:textFill>
        </w:rPr>
        <w:t>如对磋商文件有异议，已经在上传加密电子响应文件截止时间届满前依法进行维权救济，不存在对磋商文件有异议的同时又参加磋商以求侥幸成交或者为实现其他非法目的的行为。</w:t>
      </w:r>
    </w:p>
    <w:p w14:paraId="4D4D40AF">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三、在参加本次采购活动中，不存在与单位负责人为同一人或者存在直接控股、管理关系的其他供应商参与同一合同项下的政府采购活动的行为。</w:t>
      </w:r>
    </w:p>
    <w:p w14:paraId="2A55827D">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四、在参加本次采购活动中，不存在和其他供应商在同一合同项下的采购项目中，同时委托同一个自然人、同一单位的人员作为代理人的行为。</w:t>
      </w:r>
    </w:p>
    <w:p w14:paraId="71C3D7DD">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五</w:t>
      </w:r>
      <w:r>
        <w:rPr>
          <w:rFonts w:ascii="Times New Roman" w:hAnsi="Times New Roman" w:cs="Times New Roman"/>
          <w:color w:val="000000" w:themeColor="text1"/>
          <w:highlight w:val="none"/>
          <w:shd w:val="clear" w:color="auto" w:fill="auto"/>
          <w14:textFill>
            <w14:solidFill>
              <w14:schemeClr w14:val="tx1"/>
            </w14:solidFill>
          </w14:textFill>
        </w:rPr>
        <w:t>、在行贿犯罪信息查询期限内，我单位及其现任法定代表人、主要负责人没有行贿犯罪记录。</w:t>
      </w:r>
    </w:p>
    <w:p w14:paraId="4A58E9A6">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六</w:t>
      </w:r>
      <w:r>
        <w:rPr>
          <w:rFonts w:ascii="Times New Roman" w:hAnsi="Times New Roman" w:cs="Times New Roman"/>
          <w:color w:val="000000" w:themeColor="text1"/>
          <w:highlight w:val="none"/>
          <w:shd w:val="clear" w:color="auto" w:fill="auto"/>
          <w14:textFill>
            <w14:solidFill>
              <w14:schemeClr w14:val="tx1"/>
            </w14:solidFill>
          </w14:textFill>
        </w:rPr>
        <w:t>、响应文件中提供的任何资料和技术、服务、商务等响应承诺情况都是真实的、有效的、合法的。</w:t>
      </w:r>
    </w:p>
    <w:p w14:paraId="3906CF4D">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七、我单位没有被列入失信被执行人、重大税收违法案件当事人名单、政府采购严重违法失信行为记录名单（如供应商在参加政府采购活动前被禁止在一定期限内参加政府采购活动，期限届满的，可以参加政府采购活动），没有未依法缴纳税收和社会保障资金的不良记录，参加政府采购活动前三年内，在经营活动中没有重大违法记录（如供应商在参加政府采购活动前3年内因违法经营被禁止年内因违法经营被禁止在一定期限内参加政府采购活动，期限届满的，可以参加政府采购活动）。</w:t>
      </w:r>
    </w:p>
    <w:p w14:paraId="2E6B7DD9">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本公司对上述承诺的内容事项真实性负责。如经查实上述承诺的内容事项存在虚假，我公司愿意接受以提供虚假材料谋取成交的法律责任。</w:t>
      </w:r>
    </w:p>
    <w:p w14:paraId="2A8FFAEF">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bookmarkEnd w:id="141"/>
    <w:p w14:paraId="07AC9A7C">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7B7F34E8">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14:paraId="40E857FA">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3C806688">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14:paraId="06D15891">
      <w:pP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格式4</w:t>
      </w:r>
    </w:p>
    <w:p w14:paraId="242F4368">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42" w:name="_Toc77273117"/>
      <w:bookmarkStart w:id="143" w:name="_Toc69936297"/>
      <w:bookmarkStart w:id="144" w:name="_Toc69651265"/>
      <w:bookmarkStart w:id="145" w:name="_Toc80303139"/>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四、报价函</w:t>
      </w:r>
      <w:bookmarkEnd w:id="142"/>
      <w:bookmarkEnd w:id="143"/>
      <w:bookmarkEnd w:id="144"/>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（适用于总价报价）</w:t>
      </w:r>
      <w:bookmarkEnd w:id="145"/>
    </w:p>
    <w:p w14:paraId="43FCDA13">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14:paraId="7FE0FF00">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四川省政府</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政务服务和公共资源交易服务中心</w:t>
      </w:r>
      <w:r>
        <w:rPr>
          <w:rFonts w:ascii="Times New Roman" w:hAnsi="Times New Roman" w:cs="Times New Roman"/>
          <w:color w:val="000000" w:themeColor="text1"/>
          <w:highlight w:val="none"/>
          <w:shd w:val="clear" w:color="auto" w:fill="auto"/>
          <w14:textFill>
            <w14:solidFill>
              <w14:schemeClr w14:val="tx1"/>
            </w14:solidFill>
          </w14:textFill>
        </w:rPr>
        <w:t>：</w:t>
      </w:r>
    </w:p>
    <w:p w14:paraId="2C87058C">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bookmarkStart w:id="146" w:name="_Hlk77841059"/>
      <w:r>
        <w:rPr>
          <w:rFonts w:ascii="Times New Roman" w:hAnsi="Times New Roman" w:cs="Times New Roman"/>
          <w:color w:val="000000" w:themeColor="text1"/>
          <w:highlight w:val="none"/>
          <w:shd w:val="clear" w:color="auto" w:fill="auto"/>
          <w14:textFill>
            <w14:solidFill>
              <w14:schemeClr w14:val="tx1"/>
            </w14:solidFill>
          </w14:textFill>
        </w:rPr>
        <w:t>1.我方全面研究了XXX项目磋商文件（项目编号：XXX），决定参加贵单位组织的本项目磋商采购。</w:t>
      </w:r>
    </w:p>
    <w:p w14:paraId="21EB9F58">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2.我方自愿按照磋商文件规定的各项要求向采购人提供所需货物/服务，总报价为人民币XXX元（大写：XXX）。其中报价产品XXX为进口产品（无进口产品则不填写）。</w:t>
      </w:r>
    </w:p>
    <w:p w14:paraId="12DD1A5E">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3.一旦我方成交，我方将严格履行政府采购合同规定的责任和义务。</w:t>
      </w:r>
    </w:p>
    <w:p w14:paraId="0D9650B3">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4.我方为本项目提交的响应文件，用于磋商报价。</w:t>
      </w:r>
    </w:p>
    <w:p w14:paraId="022679AA">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5.我方愿意提供贵单位可能另外要求的，与磋商报价有关的文件资料，并保证我方已提供和将要提供的文件资料是真实、准确的。</w:t>
      </w:r>
    </w:p>
    <w:p w14:paraId="34F1C253">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6.本次磋商，我方递交的响应文件有效期为磋商文件规定起算之日起XXX天。</w:t>
      </w:r>
    </w:p>
    <w:bookmarkEnd w:id="146"/>
    <w:p w14:paraId="379E26C6">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1909A6DA">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5786457B">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10C50CFF">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08FBC0E0">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通讯地址：XXX</w:t>
      </w:r>
    </w:p>
    <w:p w14:paraId="4ADEC6AA">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邮政编码：XXX</w:t>
      </w:r>
    </w:p>
    <w:p w14:paraId="42ED69E3">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联系电话：XXX</w:t>
      </w:r>
    </w:p>
    <w:p w14:paraId="5822A28F">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传真：XXX</w:t>
      </w:r>
    </w:p>
    <w:p w14:paraId="525D7270">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r>
        <w:rPr>
          <w:rFonts w:ascii="Times New Roman" w:hAnsi="Times New Roman" w:cs="Times New Roman"/>
          <w:color w:val="000000" w:themeColor="text1"/>
          <w:highlight w:val="none"/>
          <w:shd w:val="clear" w:color="auto" w:fill="auto"/>
          <w14:textFill>
            <w14:solidFill>
              <w14:schemeClr w14:val="tx1"/>
            </w14:solidFill>
          </w14:textFill>
        </w:rPr>
        <w:br w:type="page"/>
      </w:r>
    </w:p>
    <w:p w14:paraId="06A0FCCC">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bookmarkStart w:id="147" w:name="_Hlk77841124"/>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5</w:t>
      </w:r>
    </w:p>
    <w:p w14:paraId="11A68D3B">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48" w:name="_Toc69651267"/>
      <w:bookmarkStart w:id="149" w:name="_Toc77273119"/>
      <w:bookmarkStart w:id="150" w:name="_Toc69936299"/>
      <w:bookmarkStart w:id="151" w:name="_Toc80303143"/>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五、中小企业声明函</w:t>
      </w:r>
      <w:bookmarkEnd w:id="148"/>
      <w:bookmarkEnd w:id="149"/>
      <w:bookmarkEnd w:id="150"/>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（服务）</w:t>
      </w:r>
      <w:bookmarkEnd w:id="151"/>
    </w:p>
    <w:p w14:paraId="3A92E59C">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14:paraId="5A90613E">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15BEFBB6">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1.（标的名称），属于（采购文件中明确的所属行业）；承建</w:t>
      </w:r>
      <w:bookmarkStart w:id="152" w:name="_Hlk76672331"/>
      <w:r>
        <w:rPr>
          <w:rFonts w:ascii="Times New Roman" w:hAnsi="Times New Roman" w:cs="Times New Roman"/>
          <w:color w:val="000000" w:themeColor="text1"/>
          <w:highlight w:val="none"/>
          <w:shd w:val="clear" w:color="auto" w:fill="auto"/>
          <w14:textFill>
            <w14:solidFill>
              <w14:schemeClr w14:val="tx1"/>
            </w14:solidFill>
          </w14:textFill>
        </w:rPr>
        <w:t>（承接）</w:t>
      </w:r>
      <w:bookmarkEnd w:id="152"/>
      <w:r>
        <w:rPr>
          <w:rFonts w:ascii="Times New Roman" w:hAnsi="Times New Roman" w:cs="Times New Roman"/>
          <w:color w:val="000000" w:themeColor="text1"/>
          <w:highlight w:val="none"/>
          <w:shd w:val="clear" w:color="auto" w:fill="auto"/>
          <w14:textFill>
            <w14:solidFill>
              <w14:schemeClr w14:val="tx1"/>
            </w14:solidFill>
          </w14:textFill>
        </w:rPr>
        <w:t>企业为（企业名称），从业人员XXX人，营业收入为XXX万元，资产总额为XXX万元，属于（中型企业、小型企业、微型企业）；</w:t>
      </w:r>
    </w:p>
    <w:p w14:paraId="7FB55A5C">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2.（标的名称），属于（采购文件中明确的所属行业）；承建（承接）企业为（企业名称），从业人员XXX人，营业收入为XXX万元，资产总额为XXX万元，属于（中型企业、小型企业、微型企业）；</w:t>
      </w:r>
    </w:p>
    <w:p w14:paraId="3F04A0F3">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w:t>
      </w:r>
    </w:p>
    <w:p w14:paraId="5D3B6F29">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以上企业，不属于大企业的分支机构，不存在控股股东为大企业的情形，也不存在与大企业的负责人为同一人的情形。</w:t>
      </w:r>
    </w:p>
    <w:p w14:paraId="551B8D79">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本企业对上述声明内容的真实性负责。如有虚假，将依法承担相应责任。</w:t>
      </w:r>
    </w:p>
    <w:p w14:paraId="68B4CF10">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293D9B02">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2C32E71A">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14:paraId="0269A3FB">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61D0D918">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注：1.本声明适用于供应商符合《工业和信息化部 国家统计局 国家发展和改革委员会 财政部关于印发中小企业划型标准规定的通知》（工信部联企业〔2011〕300号）规定划分标准的中小企业。</w:t>
      </w:r>
    </w:p>
    <w:p w14:paraId="0A2A31DD">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2.供应商为非企业单位的，不得提供此声明，提供此声明的，声明无效。</w:t>
      </w:r>
    </w:p>
    <w:p w14:paraId="294D492B">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3从业人员、营业收入、资产总额填报上一年度数据，无上一年度数据的新成立企业可不填报。</w:t>
      </w:r>
      <w:r>
        <w:rPr>
          <w:rFonts w:ascii="Times New Roman" w:hAnsi="Times New Roman" w:cs="Times New Roman"/>
          <w:color w:val="000000" w:themeColor="text1"/>
          <w:highlight w:val="none"/>
          <w:shd w:val="clear" w:color="auto" w:fill="auto"/>
          <w14:textFill>
            <w14:solidFill>
              <w14:schemeClr w14:val="tx1"/>
            </w14:solidFill>
          </w14:textFill>
        </w:rPr>
        <w:br w:type="page"/>
      </w:r>
    </w:p>
    <w:p w14:paraId="05150264">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6</w:t>
      </w:r>
    </w:p>
    <w:p w14:paraId="737DAC58">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53" w:name="_Toc80303144"/>
      <w:bookmarkStart w:id="154" w:name="_Toc69651268"/>
      <w:bookmarkStart w:id="155" w:name="_Toc77273120"/>
      <w:bookmarkStart w:id="156" w:name="_Toc69936300"/>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六、残疾人福利性单位声明函</w:t>
      </w:r>
      <w:bookmarkEnd w:id="153"/>
      <w:bookmarkEnd w:id="154"/>
      <w:bookmarkEnd w:id="155"/>
      <w:bookmarkEnd w:id="156"/>
    </w:p>
    <w:p w14:paraId="21DCA952">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14:paraId="10B49251">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XXX单位的XXX项目采购活动提供本单位制造的货物/由本单位提供服务。</w:t>
      </w:r>
    </w:p>
    <w:p w14:paraId="112AC009">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本单位对上述声明的真实性负责。如有虚假，将依法承担相应责任。</w:t>
      </w:r>
    </w:p>
    <w:p w14:paraId="5D3358DE">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0047870B">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644505A3">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18D5C72F">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14:paraId="0906B197">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25E72005">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bookmarkStart w:id="157" w:name="_Hlk76672350"/>
    </w:p>
    <w:p w14:paraId="24777936">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注：</w:t>
      </w:r>
    </w:p>
    <w:p w14:paraId="2B545F44">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1.残疾人福利性单位视同小型、微型企业，享受预留份额、评审中价格扣除等促进中小企业发展的政府采购政策。残疾人福利性单位属于小型、微型企业的，不重复享受政策。</w:t>
      </w:r>
    </w:p>
    <w:p w14:paraId="71791DBB">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2.供应商为非残疾人福利性单位的，不得提供此声明，提供此声明的，声明无效。</w:t>
      </w:r>
    </w:p>
    <w:bookmarkEnd w:id="157"/>
    <w:p w14:paraId="6669C660">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5469E427">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14:paraId="6084012E">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7</w:t>
      </w:r>
    </w:p>
    <w:p w14:paraId="230E178B">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58" w:name="_Toc77273121"/>
      <w:bookmarkStart w:id="159" w:name="_Toc69936301"/>
      <w:bookmarkStart w:id="160" w:name="_Toc69651269"/>
      <w:bookmarkStart w:id="161" w:name="_Toc80303145"/>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七、监狱企业证明文件</w:t>
      </w:r>
      <w:bookmarkEnd w:id="158"/>
      <w:bookmarkEnd w:id="159"/>
      <w:bookmarkEnd w:id="160"/>
      <w:bookmarkEnd w:id="161"/>
    </w:p>
    <w:p w14:paraId="50D55288">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14:paraId="5086651C">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1.监狱企业参加政府采购活动时，应当提供由省级以上监狱管理局、戒毒管理局（含新疆生产建设兵团）出具的属于监狱企业的证明文件</w:t>
      </w:r>
      <w:bookmarkStart w:id="162" w:name="_Hlk76672370"/>
      <w:r>
        <w:rPr>
          <w:rFonts w:hint="eastAsia" w:ascii="Times New Roman" w:hAnsi="Times New Roman" w:cs="Times New Roman"/>
          <w:bCs/>
          <w:color w:val="000000" w:themeColor="text1"/>
          <w:szCs w:val="21"/>
          <w:highlight w:val="none"/>
          <w:shd w:val="clear" w:color="auto" w:fill="auto"/>
          <w14:textFill>
            <w14:solidFill>
              <w14:schemeClr w14:val="tx1"/>
            </w14:solidFill>
          </w14:textFill>
        </w:rPr>
        <w:t>（</w:t>
      </w:r>
      <w:r>
        <w:rPr>
          <w:rFonts w:hint="eastAsia" w:ascii="Times New Roman" w:hAnsi="Times New Roman" w:cs="Times New Roman"/>
          <w:bCs/>
          <w:color w:val="000000" w:themeColor="text1"/>
          <w:szCs w:val="21"/>
          <w:highlight w:val="none"/>
          <w:shd w:val="clear" w:color="auto" w:fill="auto"/>
          <w:lang w:eastAsia="zh-CN"/>
          <w14:textFill>
            <w14:solidFill>
              <w14:schemeClr w14:val="tx1"/>
            </w14:solidFill>
          </w14:textFill>
        </w:rPr>
        <w:t>原色扫描件并加盖公章</w:t>
      </w:r>
      <w:r>
        <w:rPr>
          <w:rFonts w:hint="eastAsia" w:ascii="Times New Roman" w:hAnsi="Times New Roman" w:cs="Times New Roman"/>
          <w:bCs/>
          <w:color w:val="000000" w:themeColor="text1"/>
          <w:szCs w:val="21"/>
          <w:highlight w:val="none"/>
          <w:shd w:val="clear" w:color="auto" w:fill="auto"/>
          <w14:textFill>
            <w14:solidFill>
              <w14:schemeClr w14:val="tx1"/>
            </w14:solidFill>
          </w14:textFill>
        </w:rPr>
        <w:t>）</w:t>
      </w:r>
      <w:r>
        <w:rPr>
          <w:rFonts w:ascii="Times New Roman" w:hAnsi="Times New Roman" w:cs="Times New Roman"/>
          <w:bCs/>
          <w:color w:val="000000" w:themeColor="text1"/>
          <w:szCs w:val="21"/>
          <w:highlight w:val="none"/>
          <w:shd w:val="clear" w:color="auto" w:fill="auto"/>
          <w14:textFill>
            <w14:solidFill>
              <w14:schemeClr w14:val="tx1"/>
            </w14:solidFill>
          </w14:textFill>
        </w:rPr>
        <w:t>。</w:t>
      </w:r>
      <w:bookmarkEnd w:id="162"/>
    </w:p>
    <w:p w14:paraId="2A38A422">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2.监狱企业视同小型、微型企业，享受预留份额、评审中价格扣除等政府采购促进中小企业发展的政府采购政策。监狱企业属于小型、微型企业的，不重复享受政策。</w:t>
      </w:r>
    </w:p>
    <w:p w14:paraId="001418CB">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74C83F75">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49761E89">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14:paraId="17514BDB">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8</w:t>
      </w:r>
    </w:p>
    <w:p w14:paraId="71DC9FAA">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63" w:name="_Toc80303147"/>
      <w:r>
        <w:rPr>
          <w:rFonts w:hint="eastAsia" w:ascii="Times New Roman" w:hAnsi="Times New Roman" w:cs="Times New Roman"/>
          <w:b/>
          <w:bCs/>
          <w:color w:val="000000" w:themeColor="text1"/>
          <w:sz w:val="28"/>
          <w:szCs w:val="24"/>
          <w:highlight w:val="none"/>
          <w:shd w:val="clear" w:color="auto" w:fill="auto"/>
          <w:lang w:val="en-US" w:eastAsia="zh-CN"/>
          <w14:textFill>
            <w14:solidFill>
              <w14:schemeClr w14:val="tx1"/>
            </w14:solidFill>
          </w14:textFill>
        </w:rPr>
        <w:t>八</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、供应商基本情况表</w:t>
      </w:r>
      <w:bookmarkEnd w:id="163"/>
    </w:p>
    <w:p w14:paraId="0F535F24">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082"/>
        <w:gridCol w:w="11"/>
        <w:gridCol w:w="1137"/>
        <w:gridCol w:w="1148"/>
        <w:gridCol w:w="873"/>
        <w:gridCol w:w="416"/>
        <w:gridCol w:w="1291"/>
        <w:gridCol w:w="1690"/>
      </w:tblGrid>
      <w:tr w14:paraId="3BF4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14:paraId="0F4DB36D">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供应商名称</w:t>
            </w:r>
          </w:p>
        </w:tc>
        <w:tc>
          <w:tcPr>
            <w:tcW w:w="7560" w:type="dxa"/>
            <w:gridSpan w:val="8"/>
            <w:vAlign w:val="center"/>
          </w:tcPr>
          <w:p w14:paraId="13FB2A32">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14:paraId="332E6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14:paraId="3E3CD2DA">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注册地址</w:t>
            </w:r>
          </w:p>
        </w:tc>
        <w:tc>
          <w:tcPr>
            <w:tcW w:w="4612" w:type="dxa"/>
            <w:gridSpan w:val="6"/>
            <w:vAlign w:val="center"/>
          </w:tcPr>
          <w:p w14:paraId="026667C2">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276" w:type="dxa"/>
            <w:vAlign w:val="center"/>
          </w:tcPr>
          <w:p w14:paraId="026F7575">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邮政编码</w:t>
            </w:r>
          </w:p>
        </w:tc>
        <w:tc>
          <w:tcPr>
            <w:tcW w:w="1672" w:type="dxa"/>
            <w:vAlign w:val="center"/>
          </w:tcPr>
          <w:p w14:paraId="0FBB6629">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14:paraId="12D3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Merge w:val="restart"/>
            <w:vAlign w:val="center"/>
          </w:tcPr>
          <w:p w14:paraId="7E277A5E">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联系方式</w:t>
            </w:r>
          </w:p>
        </w:tc>
        <w:tc>
          <w:tcPr>
            <w:tcW w:w="1080" w:type="dxa"/>
            <w:gridSpan w:val="2"/>
            <w:vAlign w:val="center"/>
          </w:tcPr>
          <w:p w14:paraId="5DF4DD97">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联系人</w:t>
            </w:r>
          </w:p>
        </w:tc>
        <w:tc>
          <w:tcPr>
            <w:tcW w:w="3532" w:type="dxa"/>
            <w:gridSpan w:val="4"/>
            <w:vAlign w:val="center"/>
          </w:tcPr>
          <w:p w14:paraId="1EF1DF58">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276" w:type="dxa"/>
            <w:vAlign w:val="center"/>
          </w:tcPr>
          <w:p w14:paraId="6D1E16B7">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联系电话</w:t>
            </w:r>
          </w:p>
        </w:tc>
        <w:tc>
          <w:tcPr>
            <w:tcW w:w="1672" w:type="dxa"/>
            <w:vAlign w:val="center"/>
          </w:tcPr>
          <w:p w14:paraId="0DCDAABE">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14:paraId="7EC00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Merge w:val="continue"/>
            <w:vAlign w:val="center"/>
          </w:tcPr>
          <w:p w14:paraId="6934F5BA">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080" w:type="dxa"/>
            <w:gridSpan w:val="2"/>
            <w:vAlign w:val="center"/>
          </w:tcPr>
          <w:p w14:paraId="159E18EC">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传真</w:t>
            </w:r>
          </w:p>
        </w:tc>
        <w:tc>
          <w:tcPr>
            <w:tcW w:w="3532" w:type="dxa"/>
            <w:gridSpan w:val="4"/>
            <w:vAlign w:val="center"/>
          </w:tcPr>
          <w:p w14:paraId="32108D7F">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276" w:type="dxa"/>
            <w:vAlign w:val="center"/>
          </w:tcPr>
          <w:p w14:paraId="595DA80C">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网址</w:t>
            </w:r>
          </w:p>
        </w:tc>
        <w:tc>
          <w:tcPr>
            <w:tcW w:w="1672" w:type="dxa"/>
            <w:vAlign w:val="center"/>
          </w:tcPr>
          <w:p w14:paraId="3B5B0C3C">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14:paraId="6154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14:paraId="0DE62E22">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法定代表人/主要负责人</w:t>
            </w:r>
          </w:p>
        </w:tc>
        <w:tc>
          <w:tcPr>
            <w:tcW w:w="1069" w:type="dxa"/>
            <w:vAlign w:val="center"/>
          </w:tcPr>
          <w:p w14:paraId="3A40872D">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姓名</w:t>
            </w:r>
          </w:p>
        </w:tc>
        <w:tc>
          <w:tcPr>
            <w:tcW w:w="1134" w:type="dxa"/>
            <w:gridSpan w:val="2"/>
            <w:vAlign w:val="center"/>
          </w:tcPr>
          <w:p w14:paraId="2270665D">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134" w:type="dxa"/>
            <w:vAlign w:val="center"/>
          </w:tcPr>
          <w:p w14:paraId="3B5AD644">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技术职称</w:t>
            </w:r>
          </w:p>
        </w:tc>
        <w:tc>
          <w:tcPr>
            <w:tcW w:w="1275" w:type="dxa"/>
            <w:gridSpan w:val="2"/>
            <w:vAlign w:val="center"/>
          </w:tcPr>
          <w:p w14:paraId="6E25F978">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276" w:type="dxa"/>
            <w:vAlign w:val="center"/>
          </w:tcPr>
          <w:p w14:paraId="386F8162">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联系电话</w:t>
            </w:r>
          </w:p>
        </w:tc>
        <w:tc>
          <w:tcPr>
            <w:tcW w:w="1672" w:type="dxa"/>
            <w:vAlign w:val="center"/>
          </w:tcPr>
          <w:p w14:paraId="6FC81587">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14:paraId="1C48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14:paraId="515F4273">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技术负责人</w:t>
            </w:r>
          </w:p>
        </w:tc>
        <w:tc>
          <w:tcPr>
            <w:tcW w:w="1069" w:type="dxa"/>
            <w:vAlign w:val="center"/>
          </w:tcPr>
          <w:p w14:paraId="0F1C9D96">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姓名</w:t>
            </w:r>
          </w:p>
        </w:tc>
        <w:tc>
          <w:tcPr>
            <w:tcW w:w="1134" w:type="dxa"/>
            <w:gridSpan w:val="2"/>
            <w:vAlign w:val="center"/>
          </w:tcPr>
          <w:p w14:paraId="4E825749">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134" w:type="dxa"/>
            <w:vAlign w:val="center"/>
          </w:tcPr>
          <w:p w14:paraId="50E241C4">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技术职称</w:t>
            </w:r>
          </w:p>
        </w:tc>
        <w:tc>
          <w:tcPr>
            <w:tcW w:w="1275" w:type="dxa"/>
            <w:gridSpan w:val="2"/>
            <w:vAlign w:val="center"/>
          </w:tcPr>
          <w:p w14:paraId="65618A57">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276" w:type="dxa"/>
            <w:vAlign w:val="center"/>
          </w:tcPr>
          <w:p w14:paraId="5A91FE35">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联系电话</w:t>
            </w:r>
          </w:p>
        </w:tc>
        <w:tc>
          <w:tcPr>
            <w:tcW w:w="1672" w:type="dxa"/>
            <w:vAlign w:val="center"/>
          </w:tcPr>
          <w:p w14:paraId="30E84F34">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14:paraId="5241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14:paraId="43AC14E7">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成立时间</w:t>
            </w:r>
          </w:p>
        </w:tc>
        <w:tc>
          <w:tcPr>
            <w:tcW w:w="2203" w:type="dxa"/>
            <w:gridSpan w:val="3"/>
            <w:vAlign w:val="center"/>
          </w:tcPr>
          <w:p w14:paraId="34670D04">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5357" w:type="dxa"/>
            <w:gridSpan w:val="5"/>
            <w:vAlign w:val="center"/>
          </w:tcPr>
          <w:p w14:paraId="4C022E85">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员工总人数：</w:t>
            </w:r>
          </w:p>
        </w:tc>
      </w:tr>
      <w:tr w14:paraId="107B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14:paraId="113EC2FC">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企业资质等级</w:t>
            </w:r>
          </w:p>
        </w:tc>
        <w:tc>
          <w:tcPr>
            <w:tcW w:w="2203" w:type="dxa"/>
            <w:gridSpan w:val="3"/>
            <w:vAlign w:val="center"/>
          </w:tcPr>
          <w:p w14:paraId="0BD58E46">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997" w:type="dxa"/>
            <w:gridSpan w:val="2"/>
            <w:vMerge w:val="restart"/>
            <w:vAlign w:val="center"/>
          </w:tcPr>
          <w:p w14:paraId="328DCABC">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其中</w:t>
            </w:r>
          </w:p>
        </w:tc>
        <w:tc>
          <w:tcPr>
            <w:tcW w:w="1688" w:type="dxa"/>
            <w:gridSpan w:val="2"/>
            <w:vAlign w:val="center"/>
          </w:tcPr>
          <w:p w14:paraId="2A0A733C">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项目经理人员</w:t>
            </w:r>
          </w:p>
        </w:tc>
        <w:tc>
          <w:tcPr>
            <w:tcW w:w="1672" w:type="dxa"/>
            <w:vAlign w:val="center"/>
          </w:tcPr>
          <w:p w14:paraId="4B8674CD">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14:paraId="5514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14:paraId="2B09D5F6">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营业执照号</w:t>
            </w:r>
          </w:p>
        </w:tc>
        <w:tc>
          <w:tcPr>
            <w:tcW w:w="2203" w:type="dxa"/>
            <w:gridSpan w:val="3"/>
            <w:vAlign w:val="center"/>
          </w:tcPr>
          <w:p w14:paraId="38B9336F">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997" w:type="dxa"/>
            <w:gridSpan w:val="2"/>
            <w:vMerge w:val="continue"/>
            <w:vAlign w:val="center"/>
          </w:tcPr>
          <w:p w14:paraId="08AD80E5">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688" w:type="dxa"/>
            <w:gridSpan w:val="2"/>
            <w:vAlign w:val="center"/>
          </w:tcPr>
          <w:p w14:paraId="0F3FBC95">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高级职称人员</w:t>
            </w:r>
          </w:p>
        </w:tc>
        <w:tc>
          <w:tcPr>
            <w:tcW w:w="1672" w:type="dxa"/>
            <w:vAlign w:val="center"/>
          </w:tcPr>
          <w:p w14:paraId="567B2B86">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14:paraId="2B2A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14:paraId="131B48B6">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注册资金</w:t>
            </w:r>
          </w:p>
        </w:tc>
        <w:tc>
          <w:tcPr>
            <w:tcW w:w="2203" w:type="dxa"/>
            <w:gridSpan w:val="3"/>
            <w:vAlign w:val="center"/>
          </w:tcPr>
          <w:p w14:paraId="3F97ACED">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997" w:type="dxa"/>
            <w:gridSpan w:val="2"/>
            <w:vMerge w:val="continue"/>
            <w:vAlign w:val="center"/>
          </w:tcPr>
          <w:p w14:paraId="6C9EA6C7">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688" w:type="dxa"/>
            <w:gridSpan w:val="2"/>
            <w:vAlign w:val="center"/>
          </w:tcPr>
          <w:p w14:paraId="4ECCD5AB">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中级职称人员</w:t>
            </w:r>
          </w:p>
        </w:tc>
        <w:tc>
          <w:tcPr>
            <w:tcW w:w="1672" w:type="dxa"/>
            <w:vAlign w:val="center"/>
          </w:tcPr>
          <w:p w14:paraId="436FD4E6">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14:paraId="6347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14:paraId="248A793F">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开户银行</w:t>
            </w:r>
          </w:p>
        </w:tc>
        <w:tc>
          <w:tcPr>
            <w:tcW w:w="2203" w:type="dxa"/>
            <w:gridSpan w:val="3"/>
            <w:vAlign w:val="center"/>
          </w:tcPr>
          <w:p w14:paraId="353FE593">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997" w:type="dxa"/>
            <w:gridSpan w:val="2"/>
            <w:vMerge w:val="continue"/>
            <w:vAlign w:val="center"/>
          </w:tcPr>
          <w:p w14:paraId="5D90A4A0">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688" w:type="dxa"/>
            <w:gridSpan w:val="2"/>
            <w:vAlign w:val="center"/>
          </w:tcPr>
          <w:p w14:paraId="5BDA01B0">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初级职称人员</w:t>
            </w:r>
          </w:p>
        </w:tc>
        <w:tc>
          <w:tcPr>
            <w:tcW w:w="1672" w:type="dxa"/>
            <w:vAlign w:val="center"/>
          </w:tcPr>
          <w:p w14:paraId="1B5DA590">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14:paraId="27FF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14:paraId="3EF27DE4">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账号</w:t>
            </w:r>
          </w:p>
        </w:tc>
        <w:tc>
          <w:tcPr>
            <w:tcW w:w="2203" w:type="dxa"/>
            <w:gridSpan w:val="3"/>
            <w:vAlign w:val="center"/>
          </w:tcPr>
          <w:p w14:paraId="31041001">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997" w:type="dxa"/>
            <w:gridSpan w:val="2"/>
            <w:vMerge w:val="continue"/>
            <w:vAlign w:val="center"/>
          </w:tcPr>
          <w:p w14:paraId="6F2702E6">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688" w:type="dxa"/>
            <w:gridSpan w:val="2"/>
            <w:vAlign w:val="center"/>
          </w:tcPr>
          <w:p w14:paraId="48BC2CC8">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技工</w:t>
            </w:r>
          </w:p>
        </w:tc>
        <w:tc>
          <w:tcPr>
            <w:tcW w:w="1672" w:type="dxa"/>
            <w:vAlign w:val="center"/>
          </w:tcPr>
          <w:p w14:paraId="2455542A">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14:paraId="4375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14:paraId="6FFAEDDE">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经营范围</w:t>
            </w:r>
          </w:p>
        </w:tc>
        <w:tc>
          <w:tcPr>
            <w:tcW w:w="7560" w:type="dxa"/>
            <w:gridSpan w:val="8"/>
            <w:vAlign w:val="center"/>
          </w:tcPr>
          <w:p w14:paraId="2DF06FE4">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14:paraId="10B38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14:paraId="485CF59E">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备注</w:t>
            </w:r>
          </w:p>
        </w:tc>
        <w:tc>
          <w:tcPr>
            <w:tcW w:w="7560" w:type="dxa"/>
            <w:gridSpan w:val="8"/>
            <w:vAlign w:val="center"/>
          </w:tcPr>
          <w:p w14:paraId="12020FB3">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bl>
    <w:p w14:paraId="29785E31">
      <w:pPr>
        <w:rPr>
          <w:rFonts w:ascii="Times New Roman" w:hAnsi="Times New Roman" w:cs="Times New Roman"/>
          <w:bCs/>
          <w:color w:val="000000" w:themeColor="text1"/>
          <w:szCs w:val="21"/>
          <w:highlight w:val="none"/>
          <w:shd w:val="clear" w:color="auto" w:fill="auto"/>
          <w14:textFill>
            <w14:solidFill>
              <w14:schemeClr w14:val="tx1"/>
            </w14:solidFill>
          </w14:textFill>
        </w:rPr>
      </w:pPr>
    </w:p>
    <w:p w14:paraId="1EA357B2">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p>
    <w:p w14:paraId="755F2CBE">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1824BCF2">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1B2AB352">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14:paraId="1FEC0375">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p>
    <w:p w14:paraId="27191296">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14:paraId="34BBAC85">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9</w:t>
      </w:r>
    </w:p>
    <w:p w14:paraId="636A2563">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64" w:name="_Toc69651270"/>
      <w:bookmarkStart w:id="165" w:name="_Toc77273122"/>
      <w:bookmarkStart w:id="166" w:name="_Toc80303148"/>
      <w:bookmarkStart w:id="167" w:name="_Toc69936302"/>
      <w:r>
        <w:rPr>
          <w:rFonts w:hint="eastAsia" w:ascii="Times New Roman" w:hAnsi="Times New Roman" w:cs="Times New Roman"/>
          <w:b/>
          <w:bCs/>
          <w:color w:val="000000" w:themeColor="text1"/>
          <w:sz w:val="28"/>
          <w:szCs w:val="24"/>
          <w:highlight w:val="none"/>
          <w:shd w:val="clear" w:color="auto" w:fill="auto"/>
          <w:lang w:val="en-US" w:eastAsia="zh-CN"/>
          <w14:textFill>
            <w14:solidFill>
              <w14:schemeClr w14:val="tx1"/>
            </w14:solidFill>
          </w14:textFill>
        </w:rPr>
        <w:t>九</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、技术、服务要求应答表</w:t>
      </w:r>
      <w:bookmarkEnd w:id="164"/>
      <w:bookmarkEnd w:id="165"/>
      <w:bookmarkEnd w:id="166"/>
      <w:bookmarkEnd w:id="167"/>
    </w:p>
    <w:p w14:paraId="757A9AE9">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016"/>
        <w:gridCol w:w="3775"/>
        <w:gridCol w:w="3775"/>
      </w:tblGrid>
      <w:tr w14:paraId="5C32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blHeader/>
        </w:trPr>
        <w:tc>
          <w:tcPr>
            <w:tcW w:w="388" w:type="pct"/>
            <w:vAlign w:val="center"/>
          </w:tcPr>
          <w:p w14:paraId="10B20BBF">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序号</w:t>
            </w:r>
          </w:p>
        </w:tc>
        <w:tc>
          <w:tcPr>
            <w:tcW w:w="547" w:type="pct"/>
            <w:vAlign w:val="center"/>
          </w:tcPr>
          <w:p w14:paraId="0A022D1A">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包号</w:t>
            </w:r>
          </w:p>
        </w:tc>
        <w:tc>
          <w:tcPr>
            <w:tcW w:w="2032" w:type="pct"/>
            <w:vAlign w:val="center"/>
          </w:tcPr>
          <w:p w14:paraId="127FD28C">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采购文件要求</w:t>
            </w:r>
          </w:p>
        </w:tc>
        <w:tc>
          <w:tcPr>
            <w:tcW w:w="2032" w:type="pct"/>
            <w:vAlign w:val="center"/>
          </w:tcPr>
          <w:p w14:paraId="45D15456">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响应文件响应</w:t>
            </w:r>
          </w:p>
        </w:tc>
      </w:tr>
      <w:tr w14:paraId="1ECD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8" w:type="pct"/>
            <w:vAlign w:val="center"/>
          </w:tcPr>
          <w:p w14:paraId="5D1E34E6">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1</w:t>
            </w:r>
          </w:p>
        </w:tc>
        <w:tc>
          <w:tcPr>
            <w:tcW w:w="547" w:type="pct"/>
            <w:vAlign w:val="center"/>
          </w:tcPr>
          <w:p w14:paraId="364DDAEC">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14:paraId="6F4986E5">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14:paraId="312DE68E">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14:paraId="69F4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8" w:type="pct"/>
            <w:vAlign w:val="center"/>
          </w:tcPr>
          <w:p w14:paraId="2EDF44AB">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2</w:t>
            </w:r>
          </w:p>
        </w:tc>
        <w:tc>
          <w:tcPr>
            <w:tcW w:w="547" w:type="pct"/>
            <w:vAlign w:val="center"/>
          </w:tcPr>
          <w:p w14:paraId="2E0B0F92">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14:paraId="7E0F5406">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14:paraId="678B9820">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14:paraId="2EE8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88" w:type="pct"/>
            <w:vAlign w:val="center"/>
          </w:tcPr>
          <w:p w14:paraId="58250ADC">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547" w:type="pct"/>
            <w:vAlign w:val="center"/>
          </w:tcPr>
          <w:p w14:paraId="23A959D4">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2032" w:type="pct"/>
            <w:vAlign w:val="center"/>
          </w:tcPr>
          <w:p w14:paraId="6D552168">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14:paraId="7411C735">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r>
    </w:tbl>
    <w:p w14:paraId="49FA8700">
      <w:pPr>
        <w:ind w:firstLine="480" w:firstLineChars="200"/>
        <w:rPr>
          <w:rFonts w:hint="eastAsia" w:ascii="Times New Roman" w:hAnsi="Times New Roman" w:eastAsia="仿宋" w:cs="Times New Roman"/>
          <w:bCs/>
          <w:color w:val="000000" w:themeColor="text1"/>
          <w:szCs w:val="21"/>
          <w:highlight w:val="none"/>
          <w:shd w:val="clear" w:color="auto" w:fill="auto"/>
          <w:lang w:eastAsia="zh-CN"/>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注：供应商应当根据磋商文件要求据实逐条填写，</w:t>
      </w:r>
      <w:r>
        <w:rPr>
          <w:rFonts w:hint="eastAsia"/>
          <w:color w:val="000000" w:themeColor="text1"/>
          <w:highlight w:val="none"/>
          <w14:textFill>
            <w14:solidFill>
              <w14:schemeClr w14:val="tx1"/>
            </w14:solidFill>
          </w14:textFill>
        </w:rPr>
        <w:t>如与竞争性磋商文件的所有条款无偏离，则无须在此表中应答</w:t>
      </w:r>
      <w:r>
        <w:rPr>
          <w:rFonts w:hint="eastAsia"/>
          <w:color w:val="000000" w:themeColor="text1"/>
          <w:highlight w:val="none"/>
          <w:lang w:eastAsia="zh-CN"/>
          <w14:textFill>
            <w14:solidFill>
              <w14:schemeClr w14:val="tx1"/>
            </w14:solidFill>
          </w14:textFill>
        </w:rPr>
        <w:t>。</w:t>
      </w:r>
      <w:r>
        <w:rPr>
          <w:rFonts w:ascii="Times New Roman" w:hAnsi="Times New Roman" w:cs="Times New Roman"/>
          <w:bCs/>
          <w:color w:val="000000" w:themeColor="text1"/>
          <w:szCs w:val="21"/>
          <w:highlight w:val="none"/>
          <w:shd w:val="clear" w:color="auto" w:fill="auto"/>
          <w14:textFill>
            <w14:solidFill>
              <w14:schemeClr w14:val="tx1"/>
            </w14:solidFill>
          </w14:textFill>
        </w:rPr>
        <w:t>不得虚假陈述。</w:t>
      </w:r>
      <w:r>
        <w:rPr>
          <w:rFonts w:hint="eastAsia" w:ascii="Times New Roman" w:hAnsi="Times New Roman" w:cs="Times New Roman"/>
          <w:bCs/>
          <w:color w:val="000000" w:themeColor="text1"/>
          <w:szCs w:val="21"/>
          <w:highlight w:val="none"/>
          <w:shd w:val="clear" w:color="auto" w:fill="auto"/>
          <w14:textFill>
            <w14:solidFill>
              <w14:schemeClr w14:val="tx1"/>
            </w14:solidFill>
          </w14:textFill>
        </w:rPr>
        <w:t>虚假响应的，其响应文件无效并按规定追究其相关责任。</w:t>
      </w:r>
    </w:p>
    <w:p w14:paraId="5AD03EBB">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046EE12A">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27430824">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5EAFA918">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33B19897">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14:paraId="676A5BEC">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038A1DD8">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14:paraId="00BF8472">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格式1</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0</w:t>
      </w:r>
    </w:p>
    <w:p w14:paraId="76078CB7">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十、</w:t>
      </w:r>
      <w:r>
        <w:rPr>
          <w:rFonts w:hint="eastAsia" w:ascii="Times New Roman" w:hAnsi="Times New Roman" w:cs="Times New Roman"/>
          <w:b/>
          <w:bCs/>
          <w:color w:val="000000" w:themeColor="text1"/>
          <w:sz w:val="28"/>
          <w:szCs w:val="24"/>
          <w:highlight w:val="none"/>
          <w:shd w:val="clear" w:color="auto" w:fill="auto"/>
          <w14:textFill>
            <w14:solidFill>
              <w14:schemeClr w14:val="tx1"/>
            </w14:solidFill>
          </w14:textFill>
        </w:rPr>
        <w:t>商务</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应答表</w:t>
      </w:r>
    </w:p>
    <w:p w14:paraId="4A41F9F7">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016"/>
        <w:gridCol w:w="3775"/>
        <w:gridCol w:w="3775"/>
      </w:tblGrid>
      <w:tr w14:paraId="3703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blHeader/>
        </w:trPr>
        <w:tc>
          <w:tcPr>
            <w:tcW w:w="388" w:type="pct"/>
            <w:vAlign w:val="center"/>
          </w:tcPr>
          <w:p w14:paraId="4AA5A1CE">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序号</w:t>
            </w:r>
          </w:p>
        </w:tc>
        <w:tc>
          <w:tcPr>
            <w:tcW w:w="547" w:type="pct"/>
            <w:vAlign w:val="center"/>
          </w:tcPr>
          <w:p w14:paraId="1A5063E1">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包号</w:t>
            </w:r>
          </w:p>
        </w:tc>
        <w:tc>
          <w:tcPr>
            <w:tcW w:w="2032" w:type="pct"/>
            <w:vAlign w:val="center"/>
          </w:tcPr>
          <w:p w14:paraId="332D85CC">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采购文件要求</w:t>
            </w:r>
          </w:p>
        </w:tc>
        <w:tc>
          <w:tcPr>
            <w:tcW w:w="2032" w:type="pct"/>
            <w:vAlign w:val="center"/>
          </w:tcPr>
          <w:p w14:paraId="7191063E">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响应文件响应</w:t>
            </w:r>
          </w:p>
        </w:tc>
      </w:tr>
      <w:tr w14:paraId="0349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8" w:type="pct"/>
            <w:vAlign w:val="center"/>
          </w:tcPr>
          <w:p w14:paraId="15CB9CCB">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1</w:t>
            </w:r>
          </w:p>
        </w:tc>
        <w:tc>
          <w:tcPr>
            <w:tcW w:w="547" w:type="pct"/>
            <w:vAlign w:val="center"/>
          </w:tcPr>
          <w:p w14:paraId="285D1B7E">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14:paraId="3C26C437">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14:paraId="5C33AD5C">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14:paraId="588B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8" w:type="pct"/>
            <w:vAlign w:val="center"/>
          </w:tcPr>
          <w:p w14:paraId="6A20317C">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2</w:t>
            </w:r>
          </w:p>
        </w:tc>
        <w:tc>
          <w:tcPr>
            <w:tcW w:w="547" w:type="pct"/>
            <w:vAlign w:val="center"/>
          </w:tcPr>
          <w:p w14:paraId="3215A727">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14:paraId="53ADEE7C">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14:paraId="59B2BBD7">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14:paraId="33DE8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88" w:type="pct"/>
            <w:vAlign w:val="center"/>
          </w:tcPr>
          <w:p w14:paraId="0FCF4E27">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547" w:type="pct"/>
            <w:vAlign w:val="center"/>
          </w:tcPr>
          <w:p w14:paraId="4F589817">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2032" w:type="pct"/>
            <w:vAlign w:val="center"/>
          </w:tcPr>
          <w:p w14:paraId="1D75F6CF">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14:paraId="27FDA1CC">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r>
    </w:tbl>
    <w:p w14:paraId="24920201">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注：供应商应当根据磋商文件要求据实逐条填写，不得虚假陈述。</w:t>
      </w:r>
      <w:r>
        <w:rPr>
          <w:rFonts w:hint="eastAsia"/>
          <w:color w:val="000000" w:themeColor="text1"/>
          <w:highlight w:val="none"/>
          <w14:textFill>
            <w14:solidFill>
              <w14:schemeClr w14:val="tx1"/>
            </w14:solidFill>
          </w14:textFill>
        </w:rPr>
        <w:t>如与竞争性磋商文件的所有条款无偏离，则无须在此表中应答</w:t>
      </w:r>
      <w:r>
        <w:rPr>
          <w:rFonts w:hint="eastAsia"/>
          <w:color w:val="000000" w:themeColor="text1"/>
          <w:highlight w:val="none"/>
          <w:lang w:eastAsia="zh-CN"/>
          <w14:textFill>
            <w14:solidFill>
              <w14:schemeClr w14:val="tx1"/>
            </w14:solidFill>
          </w14:textFill>
        </w:rPr>
        <w:t>。</w:t>
      </w:r>
      <w:r>
        <w:rPr>
          <w:rFonts w:hint="eastAsia" w:ascii="Times New Roman" w:hAnsi="Times New Roman" w:cs="Times New Roman"/>
          <w:bCs/>
          <w:color w:val="000000" w:themeColor="text1"/>
          <w:szCs w:val="21"/>
          <w:highlight w:val="none"/>
          <w:shd w:val="clear" w:color="auto" w:fill="auto"/>
          <w14:textFill>
            <w14:solidFill>
              <w14:schemeClr w14:val="tx1"/>
            </w14:solidFill>
          </w14:textFill>
        </w:rPr>
        <w:t>虚假响应的，其响应文件无效并按规定追究其相关责任。</w:t>
      </w:r>
    </w:p>
    <w:p w14:paraId="7C22CAB4">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19847A30">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4D2E0DBC">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11439048">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3C72150E">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14:paraId="35D39C13">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5F4088B7">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14:paraId="709917EF">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格式1</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1</w:t>
      </w:r>
    </w:p>
    <w:p w14:paraId="35000AF0">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68" w:name="_Toc69651272"/>
      <w:bookmarkStart w:id="169" w:name="_Toc77273124"/>
      <w:bookmarkStart w:id="170" w:name="_Toc69936304"/>
      <w:bookmarkStart w:id="171" w:name="_Toc80303149"/>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十</w:t>
      </w:r>
      <w:r>
        <w:rPr>
          <w:rFonts w:hint="eastAsia" w:ascii="Times New Roman" w:hAnsi="Times New Roman" w:cs="Times New Roman"/>
          <w:b/>
          <w:bCs/>
          <w:color w:val="000000" w:themeColor="text1"/>
          <w:sz w:val="28"/>
          <w:szCs w:val="24"/>
          <w:highlight w:val="none"/>
          <w:shd w:val="clear" w:color="auto" w:fill="auto"/>
          <w:lang w:val="en-US" w:eastAsia="zh-CN"/>
          <w14:textFill>
            <w14:solidFill>
              <w14:schemeClr w14:val="tx1"/>
            </w14:solidFill>
          </w14:textFill>
        </w:rPr>
        <w:t>一</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、供应商本项目管理、技术、服务人员情况表</w:t>
      </w:r>
      <w:bookmarkEnd w:id="168"/>
      <w:bookmarkEnd w:id="169"/>
      <w:bookmarkEnd w:id="170"/>
      <w:bookmarkEnd w:id="171"/>
    </w:p>
    <w:p w14:paraId="784CFF4F">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tbl>
      <w:tblPr>
        <w:tblStyle w:val="12"/>
        <w:tblW w:w="5000" w:type="pct"/>
        <w:jc w:val="center"/>
        <w:tblLayout w:type="autofit"/>
        <w:tblCellMar>
          <w:top w:w="0" w:type="dxa"/>
          <w:left w:w="0" w:type="dxa"/>
          <w:bottom w:w="0" w:type="dxa"/>
          <w:right w:w="0" w:type="dxa"/>
        </w:tblCellMar>
      </w:tblPr>
      <w:tblGrid>
        <w:gridCol w:w="1068"/>
        <w:gridCol w:w="917"/>
        <w:gridCol w:w="993"/>
        <w:gridCol w:w="710"/>
        <w:gridCol w:w="852"/>
        <w:gridCol w:w="1135"/>
        <w:gridCol w:w="710"/>
        <w:gridCol w:w="1135"/>
        <w:gridCol w:w="855"/>
        <w:gridCol w:w="706"/>
      </w:tblGrid>
      <w:tr w14:paraId="6CA2407A">
        <w:tblPrEx>
          <w:tblCellMar>
            <w:top w:w="0" w:type="dxa"/>
            <w:left w:w="0" w:type="dxa"/>
            <w:bottom w:w="0" w:type="dxa"/>
            <w:right w:w="0" w:type="dxa"/>
          </w:tblCellMar>
        </w:tblPrEx>
        <w:trPr>
          <w:jc w:val="center"/>
        </w:trPr>
        <w:tc>
          <w:tcPr>
            <w:tcW w:w="588" w:type="pct"/>
            <w:vMerge w:val="restart"/>
            <w:tcBorders>
              <w:top w:val="single" w:color="auto" w:sz="4" w:space="0"/>
              <w:left w:val="single" w:color="auto" w:sz="4" w:space="0"/>
              <w:bottom w:val="single" w:color="auto" w:sz="4" w:space="0"/>
              <w:right w:val="single" w:color="auto" w:sz="4" w:space="0"/>
            </w:tcBorders>
            <w:vAlign w:val="center"/>
          </w:tcPr>
          <w:p w14:paraId="00987655">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类别</w:t>
            </w:r>
          </w:p>
        </w:tc>
        <w:tc>
          <w:tcPr>
            <w:tcW w:w="505" w:type="pct"/>
            <w:vMerge w:val="restart"/>
            <w:tcBorders>
              <w:top w:val="single" w:color="auto" w:sz="4" w:space="0"/>
              <w:left w:val="single" w:color="auto" w:sz="4" w:space="0"/>
              <w:bottom w:val="single" w:color="auto" w:sz="4" w:space="0"/>
              <w:right w:val="single" w:color="auto" w:sz="4" w:space="0"/>
            </w:tcBorders>
            <w:vAlign w:val="center"/>
          </w:tcPr>
          <w:p w14:paraId="643281F3">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职务</w:t>
            </w:r>
          </w:p>
        </w:tc>
        <w:tc>
          <w:tcPr>
            <w:tcW w:w="547" w:type="pct"/>
            <w:vMerge w:val="restart"/>
            <w:tcBorders>
              <w:top w:val="single" w:color="auto" w:sz="4" w:space="0"/>
              <w:left w:val="single" w:color="auto" w:sz="4" w:space="0"/>
              <w:bottom w:val="single" w:color="auto" w:sz="4" w:space="0"/>
              <w:right w:val="single" w:color="auto" w:sz="4" w:space="0"/>
            </w:tcBorders>
            <w:vAlign w:val="center"/>
          </w:tcPr>
          <w:p w14:paraId="3427B2E6">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姓名</w:t>
            </w:r>
          </w:p>
        </w:tc>
        <w:tc>
          <w:tcPr>
            <w:tcW w:w="391" w:type="pct"/>
            <w:vMerge w:val="restart"/>
            <w:tcBorders>
              <w:top w:val="single" w:color="auto" w:sz="4" w:space="0"/>
              <w:left w:val="single" w:color="auto" w:sz="4" w:space="0"/>
              <w:right w:val="single" w:color="auto" w:sz="4" w:space="0"/>
            </w:tcBorders>
            <w:vAlign w:val="center"/>
          </w:tcPr>
          <w:p w14:paraId="59F2B159">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职称</w:t>
            </w:r>
          </w:p>
        </w:tc>
        <w:tc>
          <w:tcPr>
            <w:tcW w:w="469" w:type="pct"/>
            <w:vMerge w:val="restart"/>
            <w:tcBorders>
              <w:top w:val="single" w:color="auto" w:sz="4" w:space="0"/>
              <w:left w:val="single" w:color="auto" w:sz="4" w:space="0"/>
              <w:right w:val="single" w:color="auto" w:sz="4" w:space="0"/>
            </w:tcBorders>
            <w:vAlign w:val="center"/>
          </w:tcPr>
          <w:p w14:paraId="341E2671">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常住地</w:t>
            </w:r>
          </w:p>
        </w:tc>
        <w:tc>
          <w:tcPr>
            <w:tcW w:w="2500" w:type="pct"/>
            <w:gridSpan w:val="5"/>
            <w:tcBorders>
              <w:top w:val="single" w:color="auto" w:sz="4" w:space="0"/>
              <w:left w:val="single" w:color="auto" w:sz="4" w:space="0"/>
              <w:right w:val="single" w:color="auto" w:sz="4" w:space="0"/>
            </w:tcBorders>
            <w:vAlign w:val="center"/>
          </w:tcPr>
          <w:p w14:paraId="39A496EE">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资格证明（附</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原色扫描件并加盖公章</w:t>
            </w:r>
            <w:r>
              <w:rPr>
                <w:rFonts w:ascii="Times New Roman" w:hAnsi="Times New Roman" w:cs="Times New Roman"/>
                <w:b/>
                <w:color w:val="000000" w:themeColor="text1"/>
                <w:highlight w:val="none"/>
                <w:shd w:val="clear" w:color="auto" w:fill="auto"/>
                <w14:textFill>
                  <w14:solidFill>
                    <w14:schemeClr w14:val="tx1"/>
                  </w14:solidFill>
                </w14:textFill>
              </w:rPr>
              <w:t>）</w:t>
            </w:r>
          </w:p>
        </w:tc>
      </w:tr>
      <w:tr w14:paraId="298BF1D4">
        <w:tblPrEx>
          <w:tblCellMar>
            <w:top w:w="0" w:type="dxa"/>
            <w:left w:w="0" w:type="dxa"/>
            <w:bottom w:w="0" w:type="dxa"/>
            <w:right w:w="0" w:type="dxa"/>
          </w:tblCellMar>
        </w:tblPrEx>
        <w:trPr>
          <w:jc w:val="center"/>
        </w:trPr>
        <w:tc>
          <w:tcPr>
            <w:tcW w:w="588" w:type="pct"/>
            <w:vMerge w:val="continue"/>
            <w:tcBorders>
              <w:top w:val="single" w:color="auto" w:sz="4" w:space="0"/>
              <w:left w:val="single" w:color="auto" w:sz="4" w:space="0"/>
              <w:bottom w:val="single" w:color="auto" w:sz="4" w:space="0"/>
              <w:right w:val="single" w:color="auto" w:sz="4" w:space="0"/>
            </w:tcBorders>
            <w:vAlign w:val="center"/>
          </w:tcPr>
          <w:p w14:paraId="3A8B8A7C">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14:paraId="2FB2A585">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14:paraId="4CEB3128">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vMerge w:val="continue"/>
            <w:tcBorders>
              <w:left w:val="single" w:color="auto" w:sz="4" w:space="0"/>
              <w:bottom w:val="single" w:color="auto" w:sz="4" w:space="0"/>
              <w:right w:val="single" w:color="auto" w:sz="4" w:space="0"/>
            </w:tcBorders>
            <w:vAlign w:val="center"/>
          </w:tcPr>
          <w:p w14:paraId="21B2D486">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p>
        </w:tc>
        <w:tc>
          <w:tcPr>
            <w:tcW w:w="469" w:type="pct"/>
            <w:vMerge w:val="continue"/>
            <w:tcBorders>
              <w:left w:val="single" w:color="auto" w:sz="4" w:space="0"/>
              <w:bottom w:val="single" w:color="auto" w:sz="4" w:space="0"/>
              <w:right w:val="single" w:color="auto" w:sz="4" w:space="0"/>
            </w:tcBorders>
            <w:vAlign w:val="center"/>
          </w:tcPr>
          <w:p w14:paraId="2027DFC0">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1BBB4CAD">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证书名称</w:t>
            </w:r>
          </w:p>
        </w:tc>
        <w:tc>
          <w:tcPr>
            <w:tcW w:w="391" w:type="pct"/>
            <w:tcBorders>
              <w:top w:val="single" w:color="auto" w:sz="4" w:space="0"/>
              <w:left w:val="single" w:color="auto" w:sz="4" w:space="0"/>
              <w:bottom w:val="single" w:color="auto" w:sz="4" w:space="0"/>
              <w:right w:val="single" w:color="auto" w:sz="4" w:space="0"/>
            </w:tcBorders>
            <w:vAlign w:val="center"/>
          </w:tcPr>
          <w:p w14:paraId="6B783222">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级别</w:t>
            </w:r>
          </w:p>
        </w:tc>
        <w:tc>
          <w:tcPr>
            <w:tcW w:w="625" w:type="pct"/>
            <w:tcBorders>
              <w:top w:val="single" w:color="auto" w:sz="4" w:space="0"/>
              <w:left w:val="single" w:color="auto" w:sz="4" w:space="0"/>
              <w:bottom w:val="single" w:color="auto" w:sz="4" w:space="0"/>
              <w:right w:val="single" w:color="auto" w:sz="4" w:space="0"/>
            </w:tcBorders>
            <w:vAlign w:val="center"/>
          </w:tcPr>
          <w:p w14:paraId="169FA32C">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证号</w:t>
            </w:r>
          </w:p>
        </w:tc>
        <w:tc>
          <w:tcPr>
            <w:tcW w:w="471" w:type="pct"/>
            <w:tcBorders>
              <w:top w:val="single" w:color="auto" w:sz="4" w:space="0"/>
              <w:left w:val="single" w:color="auto" w:sz="4" w:space="0"/>
              <w:bottom w:val="single" w:color="auto" w:sz="4" w:space="0"/>
              <w:right w:val="single" w:color="auto" w:sz="4" w:space="0"/>
            </w:tcBorders>
            <w:vAlign w:val="center"/>
          </w:tcPr>
          <w:p w14:paraId="42EF268D">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专业</w:t>
            </w:r>
          </w:p>
        </w:tc>
        <w:tc>
          <w:tcPr>
            <w:tcW w:w="387" w:type="pct"/>
            <w:tcBorders>
              <w:top w:val="single" w:color="auto" w:sz="4" w:space="0"/>
              <w:left w:val="single" w:color="auto" w:sz="4" w:space="0"/>
              <w:bottom w:val="single" w:color="auto" w:sz="4" w:space="0"/>
              <w:right w:val="single" w:color="auto" w:sz="4" w:space="0"/>
            </w:tcBorders>
            <w:vAlign w:val="center"/>
          </w:tcPr>
          <w:p w14:paraId="5C6C0E97">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附件</w:t>
            </w:r>
          </w:p>
        </w:tc>
      </w:tr>
      <w:tr w14:paraId="6C63CCF8">
        <w:tblPrEx>
          <w:tblCellMar>
            <w:top w:w="0" w:type="dxa"/>
            <w:left w:w="0" w:type="dxa"/>
            <w:bottom w:w="0" w:type="dxa"/>
            <w:right w:w="0" w:type="dxa"/>
          </w:tblCellMar>
        </w:tblPrEx>
        <w:trPr>
          <w:jc w:val="center"/>
        </w:trPr>
        <w:tc>
          <w:tcPr>
            <w:tcW w:w="588" w:type="pct"/>
            <w:vMerge w:val="restart"/>
            <w:tcBorders>
              <w:top w:val="single" w:color="auto" w:sz="4" w:space="0"/>
              <w:left w:val="single" w:color="auto" w:sz="4" w:space="0"/>
              <w:right w:val="single" w:color="auto" w:sz="4" w:space="0"/>
            </w:tcBorders>
            <w:vAlign w:val="center"/>
          </w:tcPr>
          <w:p w14:paraId="52891453">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管理</w:t>
            </w:r>
          </w:p>
          <w:p w14:paraId="3751B106">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人员</w:t>
            </w:r>
          </w:p>
        </w:tc>
        <w:tc>
          <w:tcPr>
            <w:tcW w:w="505" w:type="pct"/>
            <w:tcBorders>
              <w:top w:val="single" w:color="auto" w:sz="4" w:space="0"/>
              <w:left w:val="single" w:color="auto" w:sz="4" w:space="0"/>
              <w:bottom w:val="single" w:color="auto" w:sz="4" w:space="0"/>
              <w:right w:val="single" w:color="auto" w:sz="4" w:space="0"/>
            </w:tcBorders>
            <w:vAlign w:val="center"/>
          </w:tcPr>
          <w:p w14:paraId="3A06A3EC">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14:paraId="7D5D7FF1">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1C6E987A">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14:paraId="434D7F85">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221198D1">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0370F75C">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2E79D10B">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14:paraId="6EEF4D01">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14:paraId="743299E2">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14:paraId="4CCE1CB0">
        <w:tblPrEx>
          <w:tblCellMar>
            <w:top w:w="0" w:type="dxa"/>
            <w:left w:w="0" w:type="dxa"/>
            <w:bottom w:w="0" w:type="dxa"/>
            <w:right w:w="0" w:type="dxa"/>
          </w:tblCellMar>
        </w:tblPrEx>
        <w:trPr>
          <w:jc w:val="center"/>
        </w:trPr>
        <w:tc>
          <w:tcPr>
            <w:tcW w:w="588" w:type="pct"/>
            <w:vMerge w:val="continue"/>
            <w:tcBorders>
              <w:left w:val="single" w:color="auto" w:sz="4" w:space="0"/>
              <w:right w:val="single" w:color="auto" w:sz="4" w:space="0"/>
            </w:tcBorders>
            <w:vAlign w:val="center"/>
          </w:tcPr>
          <w:p w14:paraId="4509535D">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14:paraId="0FDF151F">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14:paraId="4E85DE25">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7203202C">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14:paraId="77E0C532">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6452D98A">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2136EC48">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169BE11B">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14:paraId="59DEFF09">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14:paraId="38A53244">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14:paraId="1F030E70">
        <w:tblPrEx>
          <w:tblCellMar>
            <w:top w:w="0" w:type="dxa"/>
            <w:left w:w="0" w:type="dxa"/>
            <w:bottom w:w="0" w:type="dxa"/>
            <w:right w:w="0" w:type="dxa"/>
          </w:tblCellMar>
        </w:tblPrEx>
        <w:trPr>
          <w:jc w:val="center"/>
        </w:trPr>
        <w:tc>
          <w:tcPr>
            <w:tcW w:w="588" w:type="pct"/>
            <w:vMerge w:val="continue"/>
            <w:tcBorders>
              <w:left w:val="single" w:color="auto" w:sz="4" w:space="0"/>
              <w:bottom w:val="single" w:color="auto" w:sz="4" w:space="0"/>
              <w:right w:val="single" w:color="auto" w:sz="4" w:space="0"/>
            </w:tcBorders>
            <w:vAlign w:val="center"/>
          </w:tcPr>
          <w:p w14:paraId="1B0C6F17">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14:paraId="0EF605AF">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14:paraId="444B3A09">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3059623B">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14:paraId="5C35726C">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6F13621B">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1A55D452">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29D1B55D">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14:paraId="6E7864B7">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14:paraId="129646D4">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14:paraId="56EA91EB">
        <w:tblPrEx>
          <w:tblCellMar>
            <w:top w:w="0" w:type="dxa"/>
            <w:left w:w="0" w:type="dxa"/>
            <w:bottom w:w="0" w:type="dxa"/>
            <w:right w:w="0" w:type="dxa"/>
          </w:tblCellMar>
        </w:tblPrEx>
        <w:trPr>
          <w:jc w:val="center"/>
        </w:trPr>
        <w:tc>
          <w:tcPr>
            <w:tcW w:w="588" w:type="pct"/>
            <w:vMerge w:val="restart"/>
            <w:tcBorders>
              <w:top w:val="single" w:color="auto" w:sz="4" w:space="0"/>
              <w:left w:val="single" w:color="auto" w:sz="4" w:space="0"/>
              <w:right w:val="single" w:color="auto" w:sz="4" w:space="0"/>
            </w:tcBorders>
            <w:vAlign w:val="center"/>
          </w:tcPr>
          <w:p w14:paraId="5789D0A1">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技术</w:t>
            </w:r>
          </w:p>
          <w:p w14:paraId="34792318">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人员</w:t>
            </w:r>
          </w:p>
        </w:tc>
        <w:tc>
          <w:tcPr>
            <w:tcW w:w="505" w:type="pct"/>
            <w:tcBorders>
              <w:top w:val="single" w:color="auto" w:sz="4" w:space="0"/>
              <w:left w:val="single" w:color="auto" w:sz="4" w:space="0"/>
              <w:bottom w:val="single" w:color="auto" w:sz="4" w:space="0"/>
              <w:right w:val="single" w:color="auto" w:sz="4" w:space="0"/>
            </w:tcBorders>
            <w:vAlign w:val="center"/>
          </w:tcPr>
          <w:p w14:paraId="7613F62F">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14:paraId="6A9F2642">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0AF0BFBC">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14:paraId="630AD994">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3DED6AD7">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6244F90A">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4781ABF8">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14:paraId="33C73C50">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14:paraId="11C8B960">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14:paraId="5B9FA302">
        <w:tblPrEx>
          <w:tblCellMar>
            <w:top w:w="0" w:type="dxa"/>
            <w:left w:w="0" w:type="dxa"/>
            <w:bottom w:w="0" w:type="dxa"/>
            <w:right w:w="0" w:type="dxa"/>
          </w:tblCellMar>
        </w:tblPrEx>
        <w:trPr>
          <w:jc w:val="center"/>
        </w:trPr>
        <w:tc>
          <w:tcPr>
            <w:tcW w:w="588" w:type="pct"/>
            <w:vMerge w:val="continue"/>
            <w:tcBorders>
              <w:left w:val="single" w:color="auto" w:sz="4" w:space="0"/>
              <w:right w:val="single" w:color="auto" w:sz="4" w:space="0"/>
            </w:tcBorders>
            <w:vAlign w:val="center"/>
          </w:tcPr>
          <w:p w14:paraId="37F7E22D">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14:paraId="25DB6FCE">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14:paraId="71DC8C26">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7ECA02BE">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14:paraId="00A8AB60">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3AFCAD70">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625B7E31">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00209B99">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14:paraId="4C5E75E8">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14:paraId="67C0C4D0">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14:paraId="3A818D1E">
        <w:trPr>
          <w:jc w:val="center"/>
        </w:trPr>
        <w:tc>
          <w:tcPr>
            <w:tcW w:w="588" w:type="pct"/>
            <w:vMerge w:val="continue"/>
            <w:tcBorders>
              <w:left w:val="single" w:color="auto" w:sz="4" w:space="0"/>
              <w:bottom w:val="single" w:color="auto" w:sz="4" w:space="0"/>
              <w:right w:val="single" w:color="auto" w:sz="4" w:space="0"/>
            </w:tcBorders>
            <w:vAlign w:val="center"/>
          </w:tcPr>
          <w:p w14:paraId="08150624">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14:paraId="35655A35">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14:paraId="0F109D39">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15F29F95">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14:paraId="02C96120">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7AE588A5">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4255215E">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114EB2D9">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14:paraId="781CB883">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14:paraId="1A98D553">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14:paraId="79ED4C25">
        <w:tblPrEx>
          <w:tblCellMar>
            <w:top w:w="0" w:type="dxa"/>
            <w:left w:w="0" w:type="dxa"/>
            <w:bottom w:w="0" w:type="dxa"/>
            <w:right w:w="0" w:type="dxa"/>
          </w:tblCellMar>
        </w:tblPrEx>
        <w:trPr>
          <w:jc w:val="center"/>
        </w:trPr>
        <w:tc>
          <w:tcPr>
            <w:tcW w:w="588" w:type="pct"/>
            <w:vMerge w:val="restart"/>
            <w:tcBorders>
              <w:top w:val="single" w:color="auto" w:sz="4" w:space="0"/>
              <w:left w:val="single" w:color="auto" w:sz="4" w:space="0"/>
              <w:right w:val="single" w:color="auto" w:sz="4" w:space="0"/>
            </w:tcBorders>
            <w:vAlign w:val="center"/>
          </w:tcPr>
          <w:p w14:paraId="3C562263">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售后服务</w:t>
            </w:r>
          </w:p>
          <w:p w14:paraId="1FADAAD6">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人员</w:t>
            </w:r>
          </w:p>
        </w:tc>
        <w:tc>
          <w:tcPr>
            <w:tcW w:w="505" w:type="pct"/>
            <w:tcBorders>
              <w:top w:val="single" w:color="auto" w:sz="4" w:space="0"/>
              <w:left w:val="single" w:color="auto" w:sz="4" w:space="0"/>
              <w:bottom w:val="single" w:color="auto" w:sz="4" w:space="0"/>
              <w:right w:val="single" w:color="auto" w:sz="4" w:space="0"/>
            </w:tcBorders>
            <w:vAlign w:val="center"/>
          </w:tcPr>
          <w:p w14:paraId="7BB87ABD">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14:paraId="4E5B4CB2">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6B1D17E2">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14:paraId="14569894">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05C59D6F">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015865BC">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6B2DF8D7">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14:paraId="2B4B8C10">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14:paraId="5606BD05">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14:paraId="39F0829A">
        <w:tblPrEx>
          <w:tblCellMar>
            <w:top w:w="0" w:type="dxa"/>
            <w:left w:w="0" w:type="dxa"/>
            <w:bottom w:w="0" w:type="dxa"/>
            <w:right w:w="0" w:type="dxa"/>
          </w:tblCellMar>
        </w:tblPrEx>
        <w:trPr>
          <w:jc w:val="center"/>
        </w:trPr>
        <w:tc>
          <w:tcPr>
            <w:tcW w:w="588" w:type="pct"/>
            <w:vMerge w:val="continue"/>
            <w:tcBorders>
              <w:left w:val="single" w:color="auto" w:sz="4" w:space="0"/>
              <w:right w:val="single" w:color="auto" w:sz="4" w:space="0"/>
            </w:tcBorders>
            <w:vAlign w:val="center"/>
          </w:tcPr>
          <w:p w14:paraId="5823FA2F">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14:paraId="1B4CE1D2">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14:paraId="3384FB64">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76819421">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14:paraId="03DCF023">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16609A02">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3C553534">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324CCBBF">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14:paraId="5190C552">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14:paraId="3441030E">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14:paraId="3A26ADFC">
        <w:tblPrEx>
          <w:tblCellMar>
            <w:top w:w="0" w:type="dxa"/>
            <w:left w:w="0" w:type="dxa"/>
            <w:bottom w:w="0" w:type="dxa"/>
            <w:right w:w="0" w:type="dxa"/>
          </w:tblCellMar>
        </w:tblPrEx>
        <w:trPr>
          <w:jc w:val="center"/>
        </w:trPr>
        <w:tc>
          <w:tcPr>
            <w:tcW w:w="588" w:type="pct"/>
            <w:vMerge w:val="continue"/>
            <w:tcBorders>
              <w:left w:val="single" w:color="auto" w:sz="4" w:space="0"/>
              <w:bottom w:val="single" w:color="auto" w:sz="4" w:space="0"/>
              <w:right w:val="single" w:color="auto" w:sz="4" w:space="0"/>
            </w:tcBorders>
            <w:vAlign w:val="center"/>
          </w:tcPr>
          <w:p w14:paraId="17E16081">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14:paraId="0DE017C7">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14:paraId="1A6312E8">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77DE1AE5">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14:paraId="0DC048D9">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1F74767A">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14:paraId="66FE263C">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14:paraId="719BF92F">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14:paraId="1CE17326">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14:paraId="670DA678">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bl>
    <w:p w14:paraId="13EFC297">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14:paraId="3A97AEDD">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0E4EA4FD">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3C050FBD">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7C6224BC">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4DD465C3">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14:paraId="5174AE4E">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63024D6B">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14:paraId="26D9465A">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格式1</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2</w:t>
      </w:r>
    </w:p>
    <w:p w14:paraId="71C02FAD">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72" w:name="_Toc80303150"/>
      <w:bookmarkStart w:id="173" w:name="_Toc69936303"/>
      <w:bookmarkStart w:id="174" w:name="_Toc69651271"/>
      <w:bookmarkStart w:id="175" w:name="_Toc77273123"/>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十</w:t>
      </w:r>
      <w:r>
        <w:rPr>
          <w:rFonts w:hint="eastAsia" w:ascii="Times New Roman" w:hAnsi="Times New Roman" w:cs="Times New Roman"/>
          <w:b/>
          <w:bCs/>
          <w:color w:val="000000" w:themeColor="text1"/>
          <w:sz w:val="28"/>
          <w:szCs w:val="24"/>
          <w:highlight w:val="none"/>
          <w:shd w:val="clear" w:color="auto" w:fill="auto"/>
          <w:lang w:val="en-US" w:eastAsia="zh-CN"/>
          <w14:textFill>
            <w14:solidFill>
              <w14:schemeClr w14:val="tx1"/>
            </w14:solidFill>
          </w14:textFill>
        </w:rPr>
        <w:t>二</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、供应商类似项目业绩一览表</w:t>
      </w:r>
      <w:bookmarkEnd w:id="172"/>
      <w:bookmarkEnd w:id="173"/>
      <w:bookmarkEnd w:id="174"/>
      <w:bookmarkEnd w:id="175"/>
    </w:p>
    <w:p w14:paraId="382CDF0A">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p>
    <w:tbl>
      <w:tblPr>
        <w:tblStyle w:val="13"/>
        <w:tblW w:w="46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653"/>
        <w:gridCol w:w="1653"/>
        <w:gridCol w:w="1653"/>
        <w:gridCol w:w="1653"/>
        <w:gridCol w:w="969"/>
      </w:tblGrid>
      <w:tr w14:paraId="65AA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570" w:type="pct"/>
            <w:vAlign w:val="center"/>
          </w:tcPr>
          <w:p w14:paraId="6466E8E9">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序号</w:t>
            </w:r>
          </w:p>
        </w:tc>
        <w:tc>
          <w:tcPr>
            <w:tcW w:w="965" w:type="pct"/>
            <w:vAlign w:val="center"/>
          </w:tcPr>
          <w:p w14:paraId="25F9A2DB">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用户名称</w:t>
            </w:r>
          </w:p>
        </w:tc>
        <w:tc>
          <w:tcPr>
            <w:tcW w:w="965" w:type="pct"/>
            <w:vAlign w:val="center"/>
          </w:tcPr>
          <w:p w14:paraId="65899C30">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项目名称</w:t>
            </w:r>
          </w:p>
        </w:tc>
        <w:tc>
          <w:tcPr>
            <w:tcW w:w="965" w:type="pct"/>
            <w:vAlign w:val="center"/>
          </w:tcPr>
          <w:p w14:paraId="51203679">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完成时间</w:t>
            </w:r>
          </w:p>
        </w:tc>
        <w:tc>
          <w:tcPr>
            <w:tcW w:w="965" w:type="pct"/>
            <w:vAlign w:val="center"/>
          </w:tcPr>
          <w:p w14:paraId="17FE5428">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合同金额</w:t>
            </w:r>
          </w:p>
        </w:tc>
        <w:tc>
          <w:tcPr>
            <w:tcW w:w="566" w:type="pct"/>
            <w:vAlign w:val="center"/>
          </w:tcPr>
          <w:p w14:paraId="08950B63">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备注</w:t>
            </w:r>
          </w:p>
        </w:tc>
      </w:tr>
      <w:tr w14:paraId="6E91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70" w:type="pct"/>
            <w:vAlign w:val="center"/>
          </w:tcPr>
          <w:p w14:paraId="2C534780">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1</w:t>
            </w:r>
          </w:p>
        </w:tc>
        <w:tc>
          <w:tcPr>
            <w:tcW w:w="965" w:type="pct"/>
            <w:vAlign w:val="center"/>
          </w:tcPr>
          <w:p w14:paraId="7532BCFC">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14:paraId="021D672A">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14:paraId="11ADFB92">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14:paraId="407C7F40">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566" w:type="pct"/>
            <w:vAlign w:val="center"/>
          </w:tcPr>
          <w:p w14:paraId="65324D36">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14:paraId="3DEA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570" w:type="pct"/>
            <w:vAlign w:val="center"/>
          </w:tcPr>
          <w:p w14:paraId="26CD7247">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2</w:t>
            </w:r>
          </w:p>
        </w:tc>
        <w:tc>
          <w:tcPr>
            <w:tcW w:w="965" w:type="pct"/>
            <w:vAlign w:val="center"/>
          </w:tcPr>
          <w:p w14:paraId="0AD1B805">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14:paraId="401EAE84">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14:paraId="2DA4B1B4">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14:paraId="00367684">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566" w:type="pct"/>
            <w:vAlign w:val="center"/>
          </w:tcPr>
          <w:p w14:paraId="2D40876B">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14:paraId="44AF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70" w:type="pct"/>
            <w:vAlign w:val="center"/>
          </w:tcPr>
          <w:p w14:paraId="608538F6">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3</w:t>
            </w:r>
          </w:p>
        </w:tc>
        <w:tc>
          <w:tcPr>
            <w:tcW w:w="965" w:type="pct"/>
            <w:vAlign w:val="center"/>
          </w:tcPr>
          <w:p w14:paraId="2F2A13FA">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14:paraId="1634A73A">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14:paraId="021279DD">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14:paraId="3B15E670">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566" w:type="pct"/>
            <w:vAlign w:val="center"/>
          </w:tcPr>
          <w:p w14:paraId="4AFE2BD3">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14:paraId="6ACB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70" w:type="pct"/>
            <w:vAlign w:val="center"/>
          </w:tcPr>
          <w:p w14:paraId="432FF972">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965" w:type="pct"/>
            <w:vAlign w:val="center"/>
          </w:tcPr>
          <w:p w14:paraId="11583BC5">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965" w:type="pct"/>
            <w:vAlign w:val="center"/>
          </w:tcPr>
          <w:p w14:paraId="066DEDEA">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965" w:type="pct"/>
            <w:vAlign w:val="center"/>
          </w:tcPr>
          <w:p w14:paraId="2A064CA7">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965" w:type="pct"/>
            <w:vAlign w:val="center"/>
          </w:tcPr>
          <w:p w14:paraId="69A8178E">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566" w:type="pct"/>
            <w:vAlign w:val="center"/>
          </w:tcPr>
          <w:p w14:paraId="0682221D">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r>
    </w:tbl>
    <w:p w14:paraId="1F64B8D6">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注：供应商（仅限于供应商自己的）以上业绩需提供有关书面证明材料。“合同金额”需提供合同（</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原色扫描件并加盖公章</w:t>
      </w:r>
      <w:r>
        <w:rPr>
          <w:rFonts w:ascii="Times New Roman" w:hAnsi="Times New Roman" w:cs="Times New Roman"/>
          <w:color w:val="000000" w:themeColor="text1"/>
          <w:highlight w:val="none"/>
          <w:shd w:val="clear" w:color="auto" w:fill="auto"/>
          <w14:textFill>
            <w14:solidFill>
              <w14:schemeClr w14:val="tx1"/>
            </w14:solidFill>
          </w14:textFill>
        </w:rPr>
        <w:t>）</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或提供中标通知书</w:t>
      </w:r>
      <w:r>
        <w:rPr>
          <w:rFonts w:ascii="Times New Roman" w:hAnsi="Times New Roman" w:cs="Times New Roman"/>
          <w:color w:val="000000" w:themeColor="text1"/>
          <w:highlight w:val="none"/>
          <w:shd w:val="clear" w:color="auto" w:fill="auto"/>
          <w14:textFill>
            <w14:solidFill>
              <w14:schemeClr w14:val="tx1"/>
            </w14:solidFill>
          </w14:textFill>
        </w:rPr>
        <w:t>；</w:t>
      </w:r>
    </w:p>
    <w:p w14:paraId="136D1728">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78796F7A">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637B6CDA">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274E7F53">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14EAFAEF">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14:paraId="75582535">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7CEC2322">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14:paraId="76B173F8">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bookmarkStart w:id="176" w:name="_Hlk80187160"/>
    </w:p>
    <w:p w14:paraId="43493CCF">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格式1</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3</w:t>
      </w:r>
    </w:p>
    <w:p w14:paraId="6D03DE8A">
      <w:pPr>
        <w:jc w:val="center"/>
        <w:outlineLvl w:val="1"/>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十</w:t>
      </w:r>
      <w:r>
        <w:rPr>
          <w:rFonts w:hint="eastAsia" w:ascii="Times New Roman" w:hAnsi="Times New Roman" w:cs="Times New Roman"/>
          <w:b/>
          <w:bCs/>
          <w:color w:val="000000" w:themeColor="text1"/>
          <w:sz w:val="28"/>
          <w:szCs w:val="24"/>
          <w:highlight w:val="none"/>
          <w:shd w:val="clear" w:color="auto" w:fill="auto"/>
          <w:lang w:val="en-US" w:eastAsia="zh-CN"/>
          <w14:textFill>
            <w14:solidFill>
              <w14:schemeClr w14:val="tx1"/>
            </w14:solidFill>
          </w14:textFill>
        </w:rPr>
        <w:t>三</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w:t>
      </w:r>
      <w:r>
        <w:rPr>
          <w:rFonts w:hint="eastAsia" w:ascii="Times New Roman" w:hAnsi="Times New Roman" w:cs="Times New Roman"/>
          <w:b/>
          <w:bCs/>
          <w:color w:val="000000" w:themeColor="text1"/>
          <w:sz w:val="28"/>
          <w:szCs w:val="24"/>
          <w:highlight w:val="none"/>
          <w:shd w:val="clear" w:color="auto" w:fill="auto"/>
          <w14:textFill>
            <w14:solidFill>
              <w14:schemeClr w14:val="tx1"/>
            </w14:solidFill>
          </w14:textFill>
        </w:rPr>
        <w:t>报价表</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w:t>
      </w:r>
      <w:r>
        <w:rPr>
          <w:rFonts w:hint="eastAsia" w:ascii="Times New Roman" w:hAnsi="Times New Roman" w:cs="Times New Roman"/>
          <w:b/>
          <w:bCs/>
          <w:color w:val="000000" w:themeColor="text1"/>
          <w:sz w:val="28"/>
          <w:szCs w:val="24"/>
          <w:highlight w:val="none"/>
          <w:shd w:val="clear" w:color="auto" w:fill="auto"/>
          <w14:textFill>
            <w14:solidFill>
              <w14:schemeClr w14:val="tx1"/>
            </w14:solidFill>
          </w14:textFill>
        </w:rPr>
        <w:t>适用于服务、总价报价及单价报价</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w:t>
      </w:r>
    </w:p>
    <w:p w14:paraId="27B6AE61">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3EA6B9F4">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第</w:t>
      </w:r>
      <w:r>
        <w:rPr>
          <w:rFonts w:ascii="Times New Roman" w:hAnsi="Times New Roman" w:cs="Times New Roman"/>
          <w:color w:val="000000" w:themeColor="text1"/>
          <w:highlight w:val="none"/>
          <w:shd w:val="clear" w:color="auto" w:fill="auto"/>
          <w14:textFill>
            <w14:solidFill>
              <w14:schemeClr w14:val="tx1"/>
            </w14:solidFill>
          </w14:textFill>
        </w:rPr>
        <w:t>XX</w:t>
      </w:r>
      <w:r>
        <w:rPr>
          <w:rFonts w:hint="eastAsia" w:ascii="Times New Roman" w:hAnsi="Times New Roman" w:cs="Times New Roman"/>
          <w:color w:val="000000" w:themeColor="text1"/>
          <w:highlight w:val="none"/>
          <w:shd w:val="clear" w:color="auto" w:fill="auto"/>
          <w14:textFill>
            <w14:solidFill>
              <w14:schemeClr w14:val="tx1"/>
            </w14:solidFill>
          </w14:textFill>
        </w:rPr>
        <w:t>包</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937"/>
        <w:gridCol w:w="1937"/>
        <w:gridCol w:w="3122"/>
        <w:gridCol w:w="1145"/>
      </w:tblGrid>
      <w:tr w14:paraId="1743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vAlign w:val="center"/>
          </w:tcPr>
          <w:p w14:paraId="75C24D9F">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ascii="Times New Roman" w:hAnsi="Times New Roman" w:cs="Times New Roman"/>
                <w:b/>
                <w:bCs/>
                <w:color w:val="000000" w:themeColor="text1"/>
                <w:szCs w:val="24"/>
                <w:highlight w:val="none"/>
                <w:shd w:val="clear" w:color="auto" w:fill="auto"/>
                <w14:textFill>
                  <w14:solidFill>
                    <w14:schemeClr w14:val="tx1"/>
                  </w14:solidFill>
                </w14:textFill>
              </w:rPr>
              <w:t>序号</w:t>
            </w:r>
          </w:p>
        </w:tc>
        <w:tc>
          <w:tcPr>
            <w:tcW w:w="1043" w:type="pct"/>
            <w:vAlign w:val="center"/>
          </w:tcPr>
          <w:p w14:paraId="5CE55630">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b/>
                <w:bCs/>
                <w:color w:val="000000" w:themeColor="text1"/>
                <w:szCs w:val="24"/>
                <w:highlight w:val="none"/>
                <w:shd w:val="clear" w:color="auto" w:fill="auto"/>
                <w14:textFill>
                  <w14:solidFill>
                    <w14:schemeClr w14:val="tx1"/>
                  </w14:solidFill>
                </w14:textFill>
              </w:rPr>
              <w:t>服务内容</w:t>
            </w:r>
          </w:p>
        </w:tc>
        <w:tc>
          <w:tcPr>
            <w:tcW w:w="1043" w:type="pct"/>
            <w:vAlign w:val="center"/>
          </w:tcPr>
          <w:p w14:paraId="2B01A4DD">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b/>
                <w:bCs/>
                <w:color w:val="000000" w:themeColor="text1"/>
                <w:szCs w:val="24"/>
                <w:highlight w:val="none"/>
                <w:shd w:val="clear" w:color="auto" w:fill="auto"/>
                <w14:textFill>
                  <w14:solidFill>
                    <w14:schemeClr w14:val="tx1"/>
                  </w14:solidFill>
                </w14:textFill>
              </w:rPr>
              <w:t>服务时间</w:t>
            </w:r>
          </w:p>
        </w:tc>
        <w:tc>
          <w:tcPr>
            <w:tcW w:w="1681" w:type="pct"/>
            <w:vAlign w:val="center"/>
          </w:tcPr>
          <w:p w14:paraId="70EFBF88">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b/>
                <w:bCs/>
                <w:color w:val="000000" w:themeColor="text1"/>
                <w:szCs w:val="24"/>
                <w:highlight w:val="none"/>
                <w:shd w:val="clear" w:color="auto" w:fill="auto"/>
                <w14:textFill>
                  <w14:solidFill>
                    <w14:schemeClr w14:val="tx1"/>
                  </w14:solidFill>
                </w14:textFill>
              </w:rPr>
              <w:t>报价（元）</w:t>
            </w:r>
          </w:p>
        </w:tc>
        <w:tc>
          <w:tcPr>
            <w:tcW w:w="617" w:type="pct"/>
            <w:vAlign w:val="center"/>
          </w:tcPr>
          <w:p w14:paraId="796B3C63">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b/>
                <w:bCs/>
                <w:color w:val="000000" w:themeColor="text1"/>
                <w:szCs w:val="24"/>
                <w:highlight w:val="none"/>
                <w:shd w:val="clear" w:color="auto" w:fill="auto"/>
                <w14:textFill>
                  <w14:solidFill>
                    <w14:schemeClr w14:val="tx1"/>
                  </w14:solidFill>
                </w14:textFill>
              </w:rPr>
              <w:t>备注</w:t>
            </w:r>
          </w:p>
        </w:tc>
      </w:tr>
      <w:tr w14:paraId="2A2E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vAlign w:val="center"/>
          </w:tcPr>
          <w:p w14:paraId="2DDC4C04">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043" w:type="pct"/>
            <w:vAlign w:val="center"/>
          </w:tcPr>
          <w:p w14:paraId="2934ED5A">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043" w:type="pct"/>
            <w:vAlign w:val="center"/>
          </w:tcPr>
          <w:p w14:paraId="2BC98D58">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681" w:type="pct"/>
            <w:vAlign w:val="center"/>
          </w:tcPr>
          <w:p w14:paraId="7E54DB58">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617" w:type="pct"/>
            <w:vAlign w:val="center"/>
          </w:tcPr>
          <w:p w14:paraId="60874CB7">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r>
      <w:tr w14:paraId="4EF5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vAlign w:val="center"/>
          </w:tcPr>
          <w:p w14:paraId="336CED91">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043" w:type="pct"/>
            <w:vAlign w:val="center"/>
          </w:tcPr>
          <w:p w14:paraId="4B8F47DD">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043" w:type="pct"/>
            <w:vAlign w:val="center"/>
          </w:tcPr>
          <w:p w14:paraId="1582442E">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681" w:type="pct"/>
            <w:vAlign w:val="center"/>
          </w:tcPr>
          <w:p w14:paraId="197F40AB">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617" w:type="pct"/>
            <w:vAlign w:val="center"/>
          </w:tcPr>
          <w:p w14:paraId="48B47423">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r>
      <w:tr w14:paraId="0FCF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vAlign w:val="center"/>
          </w:tcPr>
          <w:p w14:paraId="01BAB8CA">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w:t>
            </w:r>
          </w:p>
        </w:tc>
        <w:tc>
          <w:tcPr>
            <w:tcW w:w="1043" w:type="pct"/>
            <w:vAlign w:val="center"/>
          </w:tcPr>
          <w:p w14:paraId="27F47F4E">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w:t>
            </w:r>
          </w:p>
        </w:tc>
        <w:tc>
          <w:tcPr>
            <w:tcW w:w="1043" w:type="pct"/>
            <w:vAlign w:val="center"/>
          </w:tcPr>
          <w:p w14:paraId="61A50D0F">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w:t>
            </w:r>
          </w:p>
        </w:tc>
        <w:tc>
          <w:tcPr>
            <w:tcW w:w="1681" w:type="pct"/>
            <w:vAlign w:val="center"/>
          </w:tcPr>
          <w:p w14:paraId="55F3E6D2">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w:t>
            </w:r>
          </w:p>
        </w:tc>
        <w:tc>
          <w:tcPr>
            <w:tcW w:w="617" w:type="pct"/>
            <w:vAlign w:val="center"/>
          </w:tcPr>
          <w:p w14:paraId="7F37FF2E">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w:t>
            </w:r>
          </w:p>
        </w:tc>
      </w:tr>
      <w:tr w14:paraId="486F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14:paraId="2C9A1EBD">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合计金额（元）：</w:t>
            </w:r>
            <w:r>
              <w:rPr>
                <w:rFonts w:ascii="Times New Roman" w:hAnsi="Times New Roman" w:cs="Times New Roman"/>
                <w:color w:val="000000" w:themeColor="text1"/>
                <w:szCs w:val="24"/>
                <w:highlight w:val="none"/>
                <w:shd w:val="clear" w:color="auto" w:fill="auto"/>
                <w14:textFill>
                  <w14:solidFill>
                    <w14:schemeClr w14:val="tx1"/>
                  </w14:solidFill>
                </w14:textFill>
              </w:rPr>
              <w:t xml:space="preserve">_____________ </w:t>
            </w:r>
            <w:r>
              <w:rPr>
                <w:rFonts w:hint="eastAsia" w:ascii="Times New Roman" w:hAnsi="Times New Roman" w:cs="Times New Roman"/>
                <w:color w:val="000000" w:themeColor="text1"/>
                <w:szCs w:val="24"/>
                <w:highlight w:val="none"/>
                <w:shd w:val="clear" w:color="auto" w:fill="auto"/>
                <w14:textFill>
                  <w14:solidFill>
                    <w14:schemeClr w14:val="tx1"/>
                  </w14:solidFill>
                </w14:textFill>
              </w:rPr>
              <w:t>大写：_</w:t>
            </w:r>
            <w:r>
              <w:rPr>
                <w:rFonts w:ascii="Times New Roman" w:hAnsi="Times New Roman" w:cs="Times New Roman"/>
                <w:color w:val="000000" w:themeColor="text1"/>
                <w:szCs w:val="24"/>
                <w:highlight w:val="none"/>
                <w:shd w:val="clear" w:color="auto" w:fill="auto"/>
                <w14:textFill>
                  <w14:solidFill>
                    <w14:schemeClr w14:val="tx1"/>
                  </w14:solidFill>
                </w14:textFill>
              </w:rPr>
              <w:t>____________</w:t>
            </w:r>
          </w:p>
        </w:tc>
      </w:tr>
    </w:tbl>
    <w:p w14:paraId="29E2C3D5">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注：所有报价均用人民币表示，所报价格是供应商响应项目要求全部工作内容的价格体现，包括供应商完成本项目所需的一切费用。检验、培训、服务、税金和保险等费用以及磋商文件规定的其他费用均应包含在报价中</w:t>
      </w:r>
      <w:r>
        <w:rPr>
          <w:rFonts w:ascii="Times New Roman" w:hAnsi="Times New Roman" w:cs="Times New Roman"/>
          <w:color w:val="000000" w:themeColor="text1"/>
          <w:highlight w:val="none"/>
          <w:shd w:val="clear" w:color="auto" w:fill="auto"/>
          <w14:textFill>
            <w14:solidFill>
              <w14:schemeClr w14:val="tx1"/>
            </w14:solidFill>
          </w14:textFill>
        </w:rPr>
        <w:t>。</w:t>
      </w:r>
    </w:p>
    <w:p w14:paraId="4446A07E">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286892F3">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5BDD8730">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7B0E039E">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14:paraId="2C0FB71E">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14:paraId="56ACB705">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14:paraId="4DFE53B5">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bookmarkEnd w:id="147"/>
    <w:bookmarkEnd w:id="176"/>
    <w:p w14:paraId="22FAB2F7">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77" w:name="_Toc80303154"/>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九</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bookmarkStart w:id="178" w:name="_Hlk63352296"/>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评审方法</w:t>
      </w:r>
      <w:bookmarkEnd w:id="177"/>
      <w:bookmarkEnd w:id="178"/>
    </w:p>
    <w:p w14:paraId="5A564C2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58EAAB70">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79" w:name="_Toc69651275"/>
      <w:bookmarkStart w:id="180" w:name="_Toc77273128"/>
      <w:bookmarkStart w:id="181" w:name="_Toc63423315"/>
      <w:bookmarkStart w:id="182" w:name="_Toc80303155"/>
      <w:bookmarkStart w:id="183" w:name="_Toc69936307"/>
      <w:r>
        <w:rPr>
          <w:rFonts w:ascii="Times New Roman" w:hAnsi="Times New Roman" w:cs="Times New Roman"/>
          <w:b/>
          <w:color w:val="000000" w:themeColor="text1"/>
          <w:highlight w:val="none"/>
          <w:shd w:val="clear" w:color="auto" w:fill="auto"/>
          <w14:textFill>
            <w14:solidFill>
              <w14:schemeClr w14:val="tx1"/>
            </w14:solidFill>
          </w14:textFill>
        </w:rPr>
        <w:t>一、总则</w:t>
      </w:r>
      <w:bookmarkEnd w:id="179"/>
      <w:bookmarkEnd w:id="180"/>
      <w:bookmarkEnd w:id="181"/>
      <w:bookmarkEnd w:id="182"/>
      <w:bookmarkEnd w:id="183"/>
    </w:p>
    <w:p w14:paraId="659A5DA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1.根据《中华人民共和国政府采购法》、《中华人民共和国政府采购法实施条例》、《政府采购竞争性磋商采购方式管理暂办法》等法律法规规定，结合本采购项目特点制定本次竞争性磋商评审方法。</w:t>
      </w:r>
    </w:p>
    <w:p w14:paraId="08CFADD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2.评审工作由省中心组织，具体由依法组建的磋商小组负责。</w:t>
      </w:r>
    </w:p>
    <w:p w14:paraId="3ED7CE4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3.评审工作应遵循客观、公正、审慎的原则，并以相同的磋商程序和标准对待所有的供应商。</w:t>
      </w:r>
    </w:p>
    <w:p w14:paraId="568C415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4.本项目磋商小组成员、采购人和供应商应当按照本磋商文件规定开展或者参加评审活动。</w:t>
      </w:r>
    </w:p>
    <w:p w14:paraId="67E72F4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bCs/>
          <w:color w:val="000000" w:themeColor="text1"/>
          <w:highlight w:val="none"/>
          <w:shd w:val="clear" w:color="auto" w:fill="auto"/>
          <w14:textFill>
            <w14:solidFill>
              <w14:schemeClr w14:val="tx1"/>
            </w14:solidFill>
          </w14:textFill>
        </w:rPr>
        <w:t>.评审过程应当独立、保密，任何单位和个人不得非法干预评审活动。供应商非法干预评审活动的，其响应文件将作无效处理；采购人及其工作人员、采购人监督人员非法干预评审活动的，将依法追究其责任。</w:t>
      </w:r>
    </w:p>
    <w:p w14:paraId="714953D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Cs/>
          <w:color w:val="000000" w:themeColor="text1"/>
          <w:highlight w:val="none"/>
          <w:shd w:val="clear" w:color="auto" w:fill="auto"/>
          <w14:textFill>
            <w14:solidFill>
              <w14:schemeClr w14:val="tx1"/>
            </w14:solidFill>
          </w14:textFill>
        </w:rPr>
        <w:t>.省</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中心</w:t>
      </w:r>
      <w:r>
        <w:rPr>
          <w:rFonts w:ascii="Times New Roman" w:hAnsi="Times New Roman" w:cs="Times New Roman"/>
          <w:bCs/>
          <w:color w:val="000000" w:themeColor="text1"/>
          <w:highlight w:val="none"/>
          <w:shd w:val="clear" w:color="auto" w:fill="auto"/>
          <w14:textFill>
            <w14:solidFill>
              <w14:schemeClr w14:val="tx1"/>
            </w14:solidFill>
          </w14:textFill>
        </w:rPr>
        <w:t>组织评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工作，并履行下列职责：</w:t>
      </w:r>
    </w:p>
    <w:p w14:paraId="3D85B94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（1）及时将有关违法违规行为向财政</w:t>
      </w:r>
      <w:r>
        <w:rPr>
          <w:rFonts w:hint="eastAsia" w:ascii="Times New Roman" w:hAnsi="Times New Roman" w:cs="Times New Roman"/>
          <w:bCs/>
          <w:color w:val="000000" w:themeColor="text1"/>
          <w:highlight w:val="none"/>
          <w:shd w:val="clear" w:color="auto" w:fill="auto"/>
          <w14:textFill>
            <w14:solidFill>
              <w14:schemeClr w14:val="tx1"/>
            </w14:solidFill>
          </w14:textFill>
        </w:rPr>
        <w:t>厅</w:t>
      </w:r>
      <w:r>
        <w:rPr>
          <w:rFonts w:ascii="Times New Roman" w:hAnsi="Times New Roman" w:cs="Times New Roman"/>
          <w:bCs/>
          <w:color w:val="000000" w:themeColor="text1"/>
          <w:highlight w:val="none"/>
          <w:shd w:val="clear" w:color="auto" w:fill="auto"/>
          <w14:textFill>
            <w14:solidFill>
              <w14:schemeClr w14:val="tx1"/>
            </w14:solidFill>
          </w14:textFill>
        </w:rPr>
        <w:t>报告；</w:t>
      </w:r>
    </w:p>
    <w:p w14:paraId="23E9575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（2）宣布评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纪律；</w:t>
      </w:r>
    </w:p>
    <w:p w14:paraId="6363776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（3）公布</w:t>
      </w:r>
      <w:r>
        <w:rPr>
          <w:rFonts w:hint="eastAsia" w:ascii="Times New Roman" w:hAnsi="Times New Roman" w:cs="Times New Roman"/>
          <w:bCs/>
          <w:color w:val="000000" w:themeColor="text1"/>
          <w:highlight w:val="none"/>
          <w:shd w:val="clear" w:color="auto" w:fill="auto"/>
          <w14:textFill>
            <w14:solidFill>
              <w14:schemeClr w14:val="tx1"/>
            </w14:solidFill>
          </w14:textFill>
        </w:rPr>
        <w:t>供应商</w:t>
      </w:r>
      <w:r>
        <w:rPr>
          <w:rFonts w:ascii="Times New Roman" w:hAnsi="Times New Roman" w:cs="Times New Roman"/>
          <w:bCs/>
          <w:color w:val="000000" w:themeColor="text1"/>
          <w:highlight w:val="none"/>
          <w:shd w:val="clear" w:color="auto" w:fill="auto"/>
          <w14:textFill>
            <w14:solidFill>
              <w14:schemeClr w14:val="tx1"/>
            </w14:solidFill>
          </w14:textFill>
        </w:rPr>
        <w:t>名单，告知评审专家应当回避的情形；</w:t>
      </w:r>
    </w:p>
    <w:p w14:paraId="527F4B6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4</w:t>
      </w:r>
      <w:r>
        <w:rPr>
          <w:rFonts w:ascii="Times New Roman" w:hAnsi="Times New Roman" w:cs="Times New Roman"/>
          <w:bCs/>
          <w:color w:val="000000" w:themeColor="text1"/>
          <w:highlight w:val="none"/>
          <w:shd w:val="clear" w:color="auto" w:fill="auto"/>
          <w14:textFill>
            <w14:solidFill>
              <w14:schemeClr w14:val="tx1"/>
            </w14:solidFill>
          </w14:textFill>
        </w:rPr>
        <w:t>）在评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期间采取必要的通讯管理措施，保证评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活动不受外界干扰；</w:t>
      </w:r>
    </w:p>
    <w:p w14:paraId="6584E9F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bCs/>
          <w:color w:val="000000" w:themeColor="text1"/>
          <w:highlight w:val="none"/>
          <w:shd w:val="clear" w:color="auto" w:fill="auto"/>
          <w14:textFill>
            <w14:solidFill>
              <w14:schemeClr w14:val="tx1"/>
            </w14:solidFill>
          </w14:textFill>
        </w:rPr>
        <w:t>）根据</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磋商小组</w:t>
      </w:r>
      <w:r>
        <w:rPr>
          <w:rFonts w:ascii="Times New Roman" w:hAnsi="Times New Roman" w:cs="Times New Roman"/>
          <w:bCs/>
          <w:color w:val="000000" w:themeColor="text1"/>
          <w:highlight w:val="none"/>
          <w:shd w:val="clear" w:color="auto" w:fill="auto"/>
          <w14:textFill>
            <w14:solidFill>
              <w14:schemeClr w14:val="tx1"/>
            </w14:solidFill>
          </w14:textFill>
        </w:rPr>
        <w:t>的要求介绍政府采购相关政策法规、</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文件；</w:t>
      </w:r>
    </w:p>
    <w:p w14:paraId="0210CC9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Cs/>
          <w:color w:val="000000" w:themeColor="text1"/>
          <w:highlight w:val="none"/>
          <w:shd w:val="clear" w:color="auto" w:fill="auto"/>
          <w14:textFill>
            <w14:solidFill>
              <w14:schemeClr w14:val="tx1"/>
            </w14:solidFill>
          </w14:textFill>
        </w:rPr>
        <w:t>）维护评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秩序，监督</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磋商小组</w:t>
      </w:r>
      <w:r>
        <w:rPr>
          <w:rFonts w:ascii="Times New Roman" w:hAnsi="Times New Roman" w:cs="Times New Roman"/>
          <w:bCs/>
          <w:color w:val="000000" w:themeColor="text1"/>
          <w:highlight w:val="none"/>
          <w:shd w:val="clear" w:color="auto" w:fill="auto"/>
          <w14:textFill>
            <w14:solidFill>
              <w14:schemeClr w14:val="tx1"/>
            </w14:solidFill>
          </w14:textFill>
        </w:rPr>
        <w:t>依照</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文件规定的</w:t>
      </w:r>
      <w:r>
        <w:rPr>
          <w:rFonts w:hint="eastAsia" w:ascii="Times New Roman" w:hAnsi="Times New Roman" w:cs="Times New Roman"/>
          <w:bCs/>
          <w:color w:val="000000" w:themeColor="text1"/>
          <w:highlight w:val="none"/>
          <w:shd w:val="clear" w:color="auto" w:fill="auto"/>
          <w14:textFill>
            <w14:solidFill>
              <w14:schemeClr w14:val="tx1"/>
            </w14:solidFill>
          </w14:textFill>
        </w:rPr>
        <w:t>评审</w:t>
      </w:r>
      <w:r>
        <w:rPr>
          <w:rFonts w:ascii="Times New Roman" w:hAnsi="Times New Roman" w:cs="Times New Roman"/>
          <w:bCs/>
          <w:color w:val="000000" w:themeColor="text1"/>
          <w:highlight w:val="none"/>
          <w:shd w:val="clear" w:color="auto" w:fill="auto"/>
          <w14:textFill>
            <w14:solidFill>
              <w14:schemeClr w14:val="tx1"/>
            </w14:solidFill>
          </w14:textFill>
        </w:rPr>
        <w:t>程序、方法和标准进行独立评审，及时制止和纠正采购人代表、评审专家的倾向性言论或者违法违规行为；</w:t>
      </w:r>
    </w:p>
    <w:p w14:paraId="0377DB9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7</w:t>
      </w:r>
      <w:r>
        <w:rPr>
          <w:rFonts w:ascii="Times New Roman" w:hAnsi="Times New Roman" w:cs="Times New Roman"/>
          <w:bCs/>
          <w:color w:val="000000" w:themeColor="text1"/>
          <w:highlight w:val="none"/>
          <w:shd w:val="clear" w:color="auto" w:fill="auto"/>
          <w14:textFill>
            <w14:solidFill>
              <w14:schemeClr w14:val="tx1"/>
            </w14:solidFill>
          </w14:textFill>
        </w:rPr>
        <w:t>）核对评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结果，有</w:t>
      </w:r>
      <w:r>
        <w:rPr>
          <w:rFonts w:hint="eastAsia" w:ascii="Times New Roman" w:hAnsi="Times New Roman" w:cs="Times New Roman"/>
          <w:bCs/>
          <w:color w:val="000000" w:themeColor="text1"/>
          <w:highlight w:val="none"/>
          <w:shd w:val="clear" w:color="auto" w:fill="auto"/>
          <w14:textFill>
            <w14:solidFill>
              <w14:schemeClr w14:val="tx1"/>
            </w14:solidFill>
          </w14:textFill>
        </w:rPr>
        <w:t>《政府采购竞争性磋商采购方式管理暂行办法》第三十二条</w:t>
      </w:r>
      <w:r>
        <w:rPr>
          <w:rFonts w:ascii="Times New Roman" w:hAnsi="Times New Roman" w:cs="Times New Roman"/>
          <w:bCs/>
          <w:color w:val="000000" w:themeColor="text1"/>
          <w:highlight w:val="none"/>
          <w:shd w:val="clear" w:color="auto" w:fill="auto"/>
          <w14:textFill>
            <w14:solidFill>
              <w14:schemeClr w14:val="tx1"/>
            </w14:solidFill>
          </w14:textFill>
        </w:rPr>
        <w:t>规定情形的，要求</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磋商小组</w:t>
      </w:r>
      <w:r>
        <w:rPr>
          <w:rFonts w:ascii="Times New Roman" w:hAnsi="Times New Roman" w:cs="Times New Roman"/>
          <w:bCs/>
          <w:color w:val="000000" w:themeColor="text1"/>
          <w:highlight w:val="none"/>
          <w:shd w:val="clear" w:color="auto" w:fill="auto"/>
          <w14:textFill>
            <w14:solidFill>
              <w14:schemeClr w14:val="tx1"/>
            </w14:solidFill>
          </w14:textFill>
        </w:rPr>
        <w:t>复核或者书面说明理由，</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磋商小组</w:t>
      </w:r>
      <w:r>
        <w:rPr>
          <w:rFonts w:ascii="Times New Roman" w:hAnsi="Times New Roman" w:cs="Times New Roman"/>
          <w:bCs/>
          <w:color w:val="000000" w:themeColor="text1"/>
          <w:highlight w:val="none"/>
          <w:shd w:val="clear" w:color="auto" w:fill="auto"/>
          <w14:textFill>
            <w14:solidFill>
              <w14:schemeClr w14:val="tx1"/>
            </w14:solidFill>
          </w14:textFill>
        </w:rPr>
        <w:t>拒绝的，应予记录并向</w:t>
      </w:r>
      <w:r>
        <w:rPr>
          <w:rFonts w:hint="eastAsia" w:ascii="Times New Roman" w:hAnsi="Times New Roman" w:cs="Times New Roman"/>
          <w:bCs/>
          <w:color w:val="000000" w:themeColor="text1"/>
          <w:highlight w:val="none"/>
          <w:shd w:val="clear" w:color="auto" w:fill="auto"/>
          <w14:textFill>
            <w14:solidFill>
              <w14:schemeClr w14:val="tx1"/>
            </w14:solidFill>
          </w14:textFill>
        </w:rPr>
        <w:t>财政厅</w:t>
      </w:r>
      <w:r>
        <w:rPr>
          <w:rFonts w:ascii="Times New Roman" w:hAnsi="Times New Roman" w:cs="Times New Roman"/>
          <w:bCs/>
          <w:color w:val="000000" w:themeColor="text1"/>
          <w:highlight w:val="none"/>
          <w:shd w:val="clear" w:color="auto" w:fill="auto"/>
          <w14:textFill>
            <w14:solidFill>
              <w14:schemeClr w14:val="tx1"/>
            </w14:solidFill>
          </w14:textFill>
        </w:rPr>
        <w:t>报告；</w:t>
      </w:r>
    </w:p>
    <w:p w14:paraId="4AB0E5B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8</w:t>
      </w:r>
      <w:r>
        <w:rPr>
          <w:rFonts w:ascii="Times New Roman" w:hAnsi="Times New Roman" w:cs="Times New Roman"/>
          <w:bCs/>
          <w:color w:val="000000" w:themeColor="text1"/>
          <w:highlight w:val="none"/>
          <w:shd w:val="clear" w:color="auto" w:fill="auto"/>
          <w14:textFill>
            <w14:solidFill>
              <w14:schemeClr w14:val="tx1"/>
            </w14:solidFill>
          </w14:textFill>
        </w:rPr>
        <w:t>）处理与评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有关的其他事项。</w:t>
      </w:r>
    </w:p>
    <w:p w14:paraId="4B8EF2A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5A77316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65B85919">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84" w:name="_Toc69936308"/>
      <w:bookmarkStart w:id="185" w:name="_Toc69651276"/>
      <w:bookmarkStart w:id="186" w:name="_Toc77273129"/>
      <w:bookmarkStart w:id="187" w:name="_Toc80303156"/>
      <w:r>
        <w:rPr>
          <w:rFonts w:ascii="Times New Roman" w:hAnsi="Times New Roman" w:cs="Times New Roman"/>
          <w:b/>
          <w:color w:val="000000" w:themeColor="text1"/>
          <w:highlight w:val="none"/>
          <w:shd w:val="clear" w:color="auto" w:fill="auto"/>
          <w14:textFill>
            <w14:solidFill>
              <w14:schemeClr w14:val="tx1"/>
            </w14:solidFill>
          </w14:textFill>
        </w:rPr>
        <w:t>二、磋商小组</w:t>
      </w:r>
      <w:bookmarkEnd w:id="184"/>
      <w:bookmarkEnd w:id="185"/>
      <w:bookmarkEnd w:id="186"/>
      <w:bookmarkEnd w:id="187"/>
    </w:p>
    <w:p w14:paraId="3D57241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1.本项目磋商小组评审专家</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14:paraId="328E062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自行选定。</w:t>
      </w:r>
    </w:p>
    <w:p w14:paraId="4C6C7E83">
      <w:pPr>
        <w:numPr>
          <w:ilvl w:val="0"/>
          <w:numId w:val="0"/>
        </w:numPr>
        <w:ind w:firstLine="480" w:firstLineChars="200"/>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2.</w:t>
      </w:r>
      <w:r>
        <w:rPr>
          <w:rFonts w:ascii="Times New Roman" w:hAnsi="Times New Roman" w:cs="Times New Roman"/>
          <w:bCs/>
          <w:color w:val="000000" w:themeColor="text1"/>
          <w:highlight w:val="none"/>
          <w:shd w:val="clear" w:color="auto" w:fill="auto"/>
          <w14:textFill>
            <w14:solidFill>
              <w14:schemeClr w14:val="tx1"/>
            </w14:solidFill>
          </w14:textFill>
        </w:rPr>
        <w:t>磋商小组成员开展评审活动，出现应当回避的情形时，磋商小组成员应当主动回避</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p>
    <w:p w14:paraId="6454AB2F">
      <w:pPr>
        <w:numPr>
          <w:ilvl w:val="0"/>
          <w:numId w:val="0"/>
        </w:num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3</w:t>
      </w:r>
      <w:r>
        <w:rPr>
          <w:rFonts w:ascii="Times New Roman" w:hAnsi="Times New Roman" w:cs="Times New Roman"/>
          <w:bCs/>
          <w:color w:val="000000" w:themeColor="text1"/>
          <w:highlight w:val="none"/>
          <w:shd w:val="clear" w:color="auto" w:fill="auto"/>
          <w14:textFill>
            <w14:solidFill>
              <w14:schemeClr w14:val="tx1"/>
            </w14:solidFill>
          </w14:textFill>
        </w:rPr>
        <w:t>.磋商小组按照磋商文件规定的磋商程序、评分方法和标准进行评审，并独立履行下列职责：</w:t>
      </w:r>
    </w:p>
    <w:p w14:paraId="3BEB342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（1）熟悉和理解磋商文件；</w:t>
      </w:r>
    </w:p>
    <w:p w14:paraId="11CFEE6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（2）审查供应商响应文件是否满足磋商文件要求，并作出公正评价；</w:t>
      </w:r>
    </w:p>
    <w:p w14:paraId="0AF5C5F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（3）根据需要要求供应商对响应文件中含义不明确、同类问题表述不一致或者有明显文字和计算错误的内容等作出必要的澄清、说明或者更正；</w:t>
      </w:r>
    </w:p>
    <w:p w14:paraId="0564C9B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（4）推荐成交候选供应商，或者受采购人委托确定成交供应商；</w:t>
      </w:r>
    </w:p>
    <w:p w14:paraId="7FB885A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（5）起草评审报告并进行签署；</w:t>
      </w:r>
    </w:p>
    <w:p w14:paraId="22A15A0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（6）向采购人、财政部门或者其他监督部门报告非法干预评审工作的行为；</w:t>
      </w:r>
    </w:p>
    <w:p w14:paraId="6C89FA8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（7）法律、法规和规章规定的其他职责。</w:t>
      </w:r>
    </w:p>
    <w:p w14:paraId="06D1ED2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1EA3948D">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88" w:name="_Toc77273130"/>
      <w:bookmarkStart w:id="189" w:name="_Toc69651277"/>
      <w:bookmarkStart w:id="190" w:name="_Toc69936309"/>
      <w:bookmarkStart w:id="191" w:name="_Toc80303157"/>
      <w:r>
        <w:rPr>
          <w:rFonts w:ascii="Times New Roman" w:hAnsi="Times New Roman" w:cs="Times New Roman"/>
          <w:b/>
          <w:color w:val="000000" w:themeColor="text1"/>
          <w:highlight w:val="none"/>
          <w:shd w:val="clear" w:color="auto" w:fill="auto"/>
          <w14:textFill>
            <w14:solidFill>
              <w14:schemeClr w14:val="tx1"/>
            </w14:solidFill>
          </w14:textFill>
        </w:rPr>
        <w:t>三、</w:t>
      </w:r>
      <w:r>
        <w:rPr>
          <w:rFonts w:hint="eastAsia" w:ascii="Times New Roman" w:hAnsi="Times New Roman" w:cs="Times New Roman"/>
          <w:b/>
          <w:color w:val="000000" w:themeColor="text1"/>
          <w:highlight w:val="none"/>
          <w:shd w:val="clear" w:color="auto" w:fill="auto"/>
          <w14:textFill>
            <w14:solidFill>
              <w14:schemeClr w14:val="tx1"/>
            </w14:solidFill>
          </w14:textFill>
        </w:rPr>
        <w:t>磋商</w:t>
      </w:r>
      <w:r>
        <w:rPr>
          <w:rFonts w:ascii="Times New Roman" w:hAnsi="Times New Roman" w:cs="Times New Roman"/>
          <w:b/>
          <w:color w:val="000000" w:themeColor="text1"/>
          <w:highlight w:val="none"/>
          <w:shd w:val="clear" w:color="auto" w:fill="auto"/>
          <w14:textFill>
            <w14:solidFill>
              <w14:schemeClr w14:val="tx1"/>
            </w14:solidFill>
          </w14:textFill>
        </w:rPr>
        <w:t>程序</w:t>
      </w:r>
      <w:bookmarkEnd w:id="188"/>
      <w:bookmarkEnd w:id="189"/>
      <w:bookmarkEnd w:id="190"/>
      <w:bookmarkEnd w:id="191"/>
    </w:p>
    <w:p w14:paraId="0EB0ADBB">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1.审查磋商文件和停止评审</w:t>
      </w:r>
    </w:p>
    <w:p w14:paraId="0FEABA4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1.1 磋商小组正式评审前，应当对磋商文件进行熟悉和理解，内容主要包括磋商文件中供应商资格条件要求、采购项目技术、服务和商务要求，评审方法和标准、政府采购政策要求以及政府采购合同主要条款等。</w:t>
      </w:r>
    </w:p>
    <w:p w14:paraId="28CC702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1.2 本磋商文件有下列情形之一的，磋商小组应当停止评审：</w:t>
      </w:r>
    </w:p>
    <w:p w14:paraId="64695C3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（1）磋商文件的规定存在歧义、重大缺陷，导致</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磋商工作无法进行的</w:t>
      </w:r>
      <w:r>
        <w:rPr>
          <w:rFonts w:ascii="Times New Roman" w:hAnsi="Times New Roman" w:cs="Times New Roman"/>
          <w:bCs/>
          <w:color w:val="000000" w:themeColor="text1"/>
          <w:highlight w:val="none"/>
          <w:shd w:val="clear" w:color="auto" w:fill="auto"/>
          <w14:textFill>
            <w14:solidFill>
              <w14:schemeClr w14:val="tx1"/>
            </w14:solidFill>
          </w14:textFill>
        </w:rPr>
        <w:t>；</w:t>
      </w:r>
    </w:p>
    <w:p w14:paraId="24143B1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（2）磋商文件明显以不合理条件对供应商实行差别待遇或者歧视待遇的；</w:t>
      </w:r>
    </w:p>
    <w:p w14:paraId="26BC077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（3）采购项目属于国家规定的优先、强制采购范围，但是磋商文件未依法体现优先强制采购相关规定的；</w:t>
      </w:r>
    </w:p>
    <w:p w14:paraId="76CBC04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（4）采购项目属于政府采购促进中小企业发展的范围，但是磋商文件未依法体现促进中小企业发展相关规定的；</w:t>
      </w:r>
    </w:p>
    <w:p w14:paraId="5EA33DB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（5）磋商文件将供应商的资格条件列为评分因素的；</w:t>
      </w:r>
    </w:p>
    <w:p w14:paraId="6D4BB54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（6）磋商文件载明的成交原则不合法的；</w:t>
      </w:r>
    </w:p>
    <w:p w14:paraId="588DA15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（7）磋商文件有违反国家其他有关强制性规定的情形。</w:t>
      </w:r>
    </w:p>
    <w:p w14:paraId="79DE629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1.3 出现1.2规定应当停止评审情形的，磋商小组应当向采购人</w:t>
      </w:r>
      <w:r>
        <w:rPr>
          <w:rFonts w:hint="eastAsia" w:ascii="Times New Roman" w:hAnsi="Times New Roman" w:cs="Times New Roman"/>
          <w:bCs/>
          <w:color w:val="000000" w:themeColor="text1"/>
          <w:highlight w:val="none"/>
          <w:shd w:val="clear" w:color="auto" w:fill="auto"/>
          <w14:textFill>
            <w14:solidFill>
              <w14:schemeClr w14:val="tx1"/>
            </w14:solidFill>
          </w14:textFill>
        </w:rPr>
        <w:t>沟通并作书面记录，经采购人确认后方能停止评审</w:t>
      </w:r>
      <w:r>
        <w:rPr>
          <w:rFonts w:ascii="Times New Roman" w:hAnsi="Times New Roman" w:cs="Times New Roman"/>
          <w:bCs/>
          <w:color w:val="000000" w:themeColor="text1"/>
          <w:highlight w:val="none"/>
          <w:shd w:val="clear" w:color="auto" w:fill="auto"/>
          <w14:textFill>
            <w14:solidFill>
              <w14:schemeClr w14:val="tx1"/>
            </w14:solidFill>
          </w14:textFill>
        </w:rPr>
        <w:t>。除1.2规定的情形外，磋商小组不得以任何方式和理由停止评审。</w:t>
      </w:r>
    </w:p>
    <w:p w14:paraId="5A6D5208">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2.资格性审查</w:t>
      </w:r>
    </w:p>
    <w:p w14:paraId="1B1E815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磋商小组应依据法律法规和磋商文件的规定对响应文件是否按照规定要求提供资格性证明材料、是否属于禁止参加磋商的供应商等进行审查，以确定供应商是否具备磋商资格。</w:t>
      </w:r>
    </w:p>
    <w:p w14:paraId="68AC70DA">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3.符合性审查</w:t>
      </w:r>
    </w:p>
    <w:p w14:paraId="2DF69D2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磋商开始前，磋商小组对供应商首次提交的响应文件</w:t>
      </w:r>
      <w:r>
        <w:rPr>
          <w:rFonts w:hint="eastAsia" w:ascii="Times New Roman" w:hAnsi="Times New Roman" w:cs="Times New Roman"/>
          <w:bCs/>
          <w:color w:val="000000" w:themeColor="text1"/>
          <w:highlight w:val="none"/>
          <w:shd w:val="clear" w:color="auto" w:fill="auto"/>
          <w14:textFill>
            <w14:solidFill>
              <w14:schemeClr w14:val="tx1"/>
            </w14:solidFill>
          </w14:textFill>
        </w:rPr>
        <w:t>（包括报价）</w:t>
      </w:r>
      <w:r>
        <w:rPr>
          <w:rFonts w:ascii="Times New Roman" w:hAnsi="Times New Roman" w:cs="Times New Roman"/>
          <w:bCs/>
          <w:color w:val="000000" w:themeColor="text1"/>
          <w:highlight w:val="none"/>
          <w:shd w:val="clear" w:color="auto" w:fill="auto"/>
          <w14:textFill>
            <w14:solidFill>
              <w14:schemeClr w14:val="tx1"/>
            </w14:solidFill>
          </w14:textFill>
        </w:rPr>
        <w:t>进行审查，审查内容为磋商文件不允许实质性变动的实质性要求。经符合性审查</w:t>
      </w:r>
      <w:r>
        <w:rPr>
          <w:rFonts w:hint="eastAsia" w:ascii="Times New Roman" w:hAnsi="Times New Roman" w:cs="Times New Roman"/>
          <w:bCs/>
          <w:color w:val="000000" w:themeColor="text1"/>
          <w:highlight w:val="none"/>
          <w:shd w:val="clear" w:color="auto" w:fill="auto"/>
          <w14:textFill>
            <w14:solidFill>
              <w14:schemeClr w14:val="tx1"/>
            </w14:solidFill>
          </w14:textFill>
        </w:rPr>
        <w:t>不符合不可变动的实质性要求或应当作无效响应处理的，应当作无效响应处理。</w:t>
      </w:r>
    </w:p>
    <w:p w14:paraId="26283B11">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4.磋商</w:t>
      </w:r>
    </w:p>
    <w:p w14:paraId="6FD5717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4.1 磋商小组所有成员集中与单一供应商分别进行一轮或多轮磋商，并给予所有参加磋商的供应商平等的磋商机会。磋商顺序以现场抽签的方式确定。磋商过程中，磋商小组可以根据磋商情况调整磋商轮次。</w:t>
      </w:r>
    </w:p>
    <w:p w14:paraId="6AB2DC0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4.2 每轮磋商开始前，磋商小组应根据磋商文件的规定，结合各供应商的响应文件拟定磋商内容。</w:t>
      </w:r>
    </w:p>
    <w:p w14:paraId="5A265D4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4.3 磋商过程中，磋商小组在获得采购人代表确认的前提下，可以根据磋商文件规定的可实质性变动内容和磋商情况实质性变动磋商文件的技术、服务要求以及合同草案条款，但不得变动磋商文件中的其他内容。</w:t>
      </w:r>
    </w:p>
    <w:p w14:paraId="4C4A78E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4.4 对磋商文件作出的实质性变动是磋商文件的有效组成部分，磋商小组应当通过通知所有参加磋商的供应商</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供应商应当自行查看</w:t>
      </w:r>
      <w:r>
        <w:rPr>
          <w:rFonts w:hint="eastAsia" w:ascii="Times New Roman" w:hAnsi="Times New Roman" w:cs="Times New Roman"/>
          <w:bCs/>
          <w:color w:val="000000" w:themeColor="text1"/>
          <w:highlight w:val="none"/>
          <w:shd w:val="clear" w:color="auto" w:fill="auto"/>
          <w14:textFill>
            <w14:solidFill>
              <w14:schemeClr w14:val="tx1"/>
            </w14:solidFill>
          </w14:textFill>
        </w:rPr>
        <w:t>并确认。</w:t>
      </w:r>
    </w:p>
    <w:p w14:paraId="4C53C36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 xml:space="preserve">4.5 </w:t>
      </w:r>
      <w:bookmarkStart w:id="192" w:name="_Hlk77841647"/>
      <w:r>
        <w:rPr>
          <w:rFonts w:hint="eastAsia" w:ascii="Times New Roman" w:hAnsi="Times New Roman" w:cs="Times New Roman"/>
          <w:bCs/>
          <w:color w:val="000000" w:themeColor="text1"/>
          <w:highlight w:val="none"/>
          <w:shd w:val="clear" w:color="auto" w:fill="auto"/>
          <w14:textFill>
            <w14:solidFill>
              <w14:schemeClr w14:val="tx1"/>
            </w14:solidFill>
          </w14:textFill>
        </w:rPr>
        <w:t>磋商过程中，磋商文件变动的，供应商应当按照磋商文件的变动情况和磋商小组的要求重新提交响应文件，并由其法定代表人/负责人或授权代表</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r>
        <w:rPr>
          <w:rFonts w:ascii="Times New Roman" w:hAnsi="Times New Roman" w:cs="Times New Roman"/>
          <w:bCs/>
          <w:color w:val="000000" w:themeColor="text1"/>
          <w:highlight w:val="none"/>
          <w:shd w:val="clear" w:color="auto" w:fill="auto"/>
          <w14:textFill>
            <w14:solidFill>
              <w14:schemeClr w14:val="tx1"/>
            </w14:solidFill>
          </w14:textFill>
        </w:rPr>
        <w:t>。</w:t>
      </w:r>
      <w:bookmarkEnd w:id="192"/>
    </w:p>
    <w:p w14:paraId="12CB005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4.6 经最终磋商后，响应文件仍有下列情况之一的，应按照无效响应文件处理：</w:t>
      </w:r>
    </w:p>
    <w:p w14:paraId="7024B9A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（1）响应文件仍不能实质响应采购文件的实质性要求的；</w:t>
      </w:r>
    </w:p>
    <w:p w14:paraId="453646F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（2）响应文件中仍有磋商文件规定的其他无效响应情形的。</w:t>
      </w:r>
    </w:p>
    <w:p w14:paraId="352A126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4.7 磋商过程中，供应商向磋商小组提交的响应文件或澄清、说明、更正材料未按要求进行</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的，视为未提交书面材料。</w:t>
      </w:r>
    </w:p>
    <w:p w14:paraId="58B759D1">
      <w:pPr>
        <w:ind w:firstLine="480" w:firstLineChars="200"/>
        <w:rPr>
          <w:rFonts w:hint="eastAsia" w:ascii="Times New Roman" w:hAnsi="Times New Roman" w:eastAsia="仿宋" w:cs="Times New Roman"/>
          <w:bCs/>
          <w:color w:val="000000" w:themeColor="text1"/>
          <w:highlight w:val="none"/>
          <w:shd w:val="clear" w:color="auto" w:fill="auto"/>
          <w:lang w:eastAsia="zh-CN"/>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4.8 磋商小组对所有响应文件的有效性、完整性和响应程度进行审查后，确定最后报价的供应商名单</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p>
    <w:p w14:paraId="4927534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4.9 磋商过程中，磋商的任何一方不得透露与磋商有关的其他供应商的技术资料、价格和其他信息。</w:t>
      </w:r>
    </w:p>
    <w:p w14:paraId="104EA9C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4.10 磋商过程中，磋商小组发现或者知晓供应商存在违法行为的，应当在磋商情况记录表中予以注明，并向财政部门报告，依法应将该供应商响应文件作无效处理的，应当作无效处理。</w:t>
      </w:r>
    </w:p>
    <w:p w14:paraId="1EDFFA4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93" w:name="_Hlk77841742"/>
      <w:r>
        <w:rPr>
          <w:rFonts w:ascii="Times New Roman" w:hAnsi="Times New Roman" w:cs="Times New Roman"/>
          <w:bCs/>
          <w:color w:val="000000" w:themeColor="text1"/>
          <w:highlight w:val="none"/>
          <w:shd w:val="clear" w:color="auto" w:fill="auto"/>
          <w14:textFill>
            <w14:solidFill>
              <w14:schemeClr w14:val="tx1"/>
            </w14:solidFill>
          </w14:textFill>
        </w:rPr>
        <w:t>4.11 磋商完成后，磋商小组应出具磋商情况记录表，磋商情况记录表需包含磋商内容、磋商意见、实质性变动内容等。</w:t>
      </w:r>
    </w:p>
    <w:bookmarkEnd w:id="193"/>
    <w:p w14:paraId="0FB44F3E">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5.最后报价</w:t>
      </w:r>
    </w:p>
    <w:p w14:paraId="20D69A4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5.1 磋商文件能够详细列明采购标的技术、服务要求的，磋商结束后，磋商小组应当要求所有实质性响应的供应商在规定时间内提交最后报价，提交最后报价的供应商不得少于3家（法律法规规定另有规定的除外）。磋商文件不能详细列明采购标的技术、服务要求，需经磋商由供应商提供最终设计方案或解决方案的，磋商结束后，磋商小组应当按照少数服从多数的原则投票推荐3家（法律法规规定另有规定的除外）以上供应商的设计方案或者解决方案，并要求其在规定时间内提交最后报价。</w:t>
      </w:r>
    </w:p>
    <w:p w14:paraId="086987A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5.2 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w:t>
      </w:r>
    </w:p>
    <w:p w14:paraId="05352DD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5.3 参与报价的供应商按磋商小组要求进行报价。报价超过竞争性磋商文件规定的政府采购预算（或最高限价）或者相关报价不符合磋商文件其他的报价规定的，应按照无效响应文件处理。</w:t>
      </w:r>
    </w:p>
    <w:p w14:paraId="0D9DFCE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5.4 最后报价如果出现下列不一致的，按以下原则进行修正：</w:t>
      </w:r>
    </w:p>
    <w:p w14:paraId="3B7BB1C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（1）报价大写金额和小写金额不一致的，以大写金额为准。但大写金额文字存在错误的，应当先对大写金额的文字错误进行澄清、说明或者更正，再行修正。</w:t>
      </w:r>
    </w:p>
    <w:p w14:paraId="096AA2B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（2）单价金额小数点或者百分比有明显错位的，以总价为准，并修改单价。</w:t>
      </w:r>
    </w:p>
    <w:p w14:paraId="2286C49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（3）总价金额与按单价汇总金额不一致的，以单价金额计算结果为准。</w:t>
      </w:r>
    </w:p>
    <w:p w14:paraId="0F03ADA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94" w:name="_Hlk77793694"/>
      <w:r>
        <w:rPr>
          <w:rFonts w:ascii="Times New Roman" w:hAnsi="Times New Roman" w:cs="Times New Roman"/>
          <w:bCs/>
          <w:color w:val="000000" w:themeColor="text1"/>
          <w:highlight w:val="none"/>
          <w:shd w:val="clear" w:color="auto" w:fill="auto"/>
          <w14:textFill>
            <w14:solidFill>
              <w14:schemeClr w14:val="tx1"/>
            </w14:solidFill>
          </w14:textFill>
        </w:rPr>
        <w:t>修正后的报价经供应商确认后产生约束力，供应商不确认的，其响应文件作为无效处理。供应商确认采取书面方式并经供应商授权代表</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。磋商小组不得未经书面形式要求供应商确认，直接将供应商响应文件作为无效处理。</w:t>
      </w:r>
    </w:p>
    <w:bookmarkEnd w:id="194"/>
    <w:p w14:paraId="0DC134F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5.5 供应商最后报价属于明显低价不正当竞争的，磋商小组应按照</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磋商文件第二章</w:t>
      </w:r>
      <w:r>
        <w:rPr>
          <w:rFonts w:ascii="Times New Roman" w:hAnsi="Times New Roman" w:cs="Times New Roman"/>
          <w:bCs/>
          <w:color w:val="000000" w:themeColor="text1"/>
          <w:highlight w:val="none"/>
          <w:shd w:val="clear" w:color="auto" w:fill="auto"/>
          <w14:textFill>
            <w14:solidFill>
              <w14:schemeClr w14:val="tx1"/>
            </w14:solidFill>
          </w14:textFill>
        </w:rPr>
        <w:t>供应商须知附表第11</w:t>
      </w:r>
      <w:r>
        <w:rPr>
          <w:rFonts w:hint="eastAsia" w:ascii="Times New Roman" w:hAnsi="Times New Roman" w:cs="Times New Roman"/>
          <w:bCs/>
          <w:color w:val="000000" w:themeColor="text1"/>
          <w:highlight w:val="none"/>
          <w:shd w:val="clear" w:color="auto" w:fill="auto"/>
          <w14:textFill>
            <w14:solidFill>
              <w14:schemeClr w14:val="tx1"/>
            </w14:solidFill>
          </w14:textFill>
        </w:rPr>
        <w:t>条</w:t>
      </w:r>
      <w:r>
        <w:rPr>
          <w:rFonts w:ascii="Times New Roman" w:hAnsi="Times New Roman" w:cs="Times New Roman"/>
          <w:bCs/>
          <w:color w:val="000000" w:themeColor="text1"/>
          <w:highlight w:val="none"/>
          <w:shd w:val="clear" w:color="auto" w:fill="auto"/>
          <w14:textFill>
            <w14:solidFill>
              <w14:schemeClr w14:val="tx1"/>
            </w14:solidFill>
          </w14:textFill>
        </w:rPr>
        <w:t>规定处理。</w:t>
      </w:r>
    </w:p>
    <w:p w14:paraId="423C8FD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5.6 供应商报价</w:t>
      </w:r>
      <w:r>
        <w:rPr>
          <w:rFonts w:hint="eastAsia" w:ascii="Times New Roman" w:hAnsi="Times New Roman" w:cs="Times New Roman"/>
          <w:bCs/>
          <w:color w:val="000000" w:themeColor="text1"/>
          <w:highlight w:val="none"/>
          <w:shd w:val="clear" w:color="auto" w:fill="auto"/>
          <w14:textFill>
            <w14:solidFill>
              <w14:schemeClr w14:val="tx1"/>
            </w14:solidFill>
          </w14:textFill>
        </w:rPr>
        <w:t>应由法定代表人/负责人或授权代表</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。报价是供应商响应文件的有效组成部分。</w:t>
      </w:r>
    </w:p>
    <w:p w14:paraId="04624DCC">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6.比较与评价</w:t>
      </w:r>
    </w:p>
    <w:p w14:paraId="6981829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磋商小组采用综合评分法对提交最后报价的供应商的响应文件和最后报价进行综合评分，具体要求详见本章综合评分部分。</w:t>
      </w:r>
    </w:p>
    <w:p w14:paraId="48CBA362">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7.推荐成交候选供应商</w:t>
      </w:r>
    </w:p>
    <w:p w14:paraId="44ACC09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小组应当根据综合评分情况，按照评审得分由高到低顺序推荐3家（法律法规规定另有规定的除外）以上成交候选供应商，并编写磋商报告。评审得分相同的，按照最后报价由低到高的顺序推荐。评审得分且最后报价相同的，按照技术指标优劣（本项目技术指标</w:t>
      </w:r>
      <w:r>
        <w:rPr>
          <w:rFonts w:hint="eastAsia" w:ascii="Times New Roman" w:hAnsi="Times New Roman" w:cs="Times New Roman"/>
          <w:bCs/>
          <w:color w:val="000000" w:themeColor="text1"/>
          <w:highlight w:val="none"/>
          <w:shd w:val="clear" w:color="auto" w:fill="auto"/>
          <w14:textFill>
            <w14:solidFill>
              <w14:schemeClr w14:val="tx1"/>
            </w14:solidFill>
          </w14:textFill>
        </w:rPr>
        <w:t>优劣排序</w:t>
      </w:r>
      <w:r>
        <w:rPr>
          <w:rFonts w:ascii="Times New Roman" w:hAnsi="Times New Roman" w:cs="Times New Roman"/>
          <w:bCs/>
          <w:color w:val="000000" w:themeColor="text1"/>
          <w:highlight w:val="none"/>
          <w:shd w:val="clear" w:color="auto" w:fill="auto"/>
          <w14:textFill>
            <w14:solidFill>
              <w14:schemeClr w14:val="tx1"/>
            </w14:solidFill>
          </w14:textFill>
        </w:rPr>
        <w:t>为：</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研究保障措施、研究能力、其他、履约能力</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按照</w:t>
      </w:r>
      <w:r>
        <w:rPr>
          <w:rFonts w:hint="eastAsia" w:ascii="Times New Roman" w:hAnsi="Times New Roman" w:cs="Times New Roman"/>
          <w:bCs/>
          <w:color w:val="000000" w:themeColor="text1"/>
          <w:highlight w:val="none"/>
          <w:shd w:val="clear" w:color="auto" w:fill="auto"/>
          <w14:textFill>
            <w14:solidFill>
              <w14:schemeClr w14:val="tx1"/>
            </w14:solidFill>
          </w14:textFill>
        </w:rPr>
        <w:t>顺序</w:t>
      </w:r>
      <w:r>
        <w:rPr>
          <w:rFonts w:ascii="Times New Roman" w:hAnsi="Times New Roman" w:cs="Times New Roman"/>
          <w:bCs/>
          <w:color w:val="000000" w:themeColor="text1"/>
          <w:highlight w:val="none"/>
          <w:shd w:val="clear" w:color="auto" w:fill="auto"/>
          <w14:textFill>
            <w14:solidFill>
              <w14:schemeClr w14:val="tx1"/>
            </w14:solidFill>
          </w14:textFill>
        </w:rPr>
        <w:t>得分确定）顺序推荐，评审得分且最后报价且技术指标得分均相同的，成交候选供应商并列。</w:t>
      </w:r>
    </w:p>
    <w:p w14:paraId="6E67972A">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8.供应商澄清、说明或者更正</w:t>
      </w:r>
    </w:p>
    <w:p w14:paraId="618CF06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8.1 磋商小组在对响应文件的有效性、完整性和响应程度进行审查时，可以要求供应商对响应文件中含义不明确、同类问表述不一致或者有明显文字和计算错误的内容等作出必要的澄清、说明或者更正，供应商的澄清、说明或者更正不得超出响应文件的范围或者改变响应文件的实质性内容。</w:t>
      </w:r>
    </w:p>
    <w:p w14:paraId="53AE83E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8.2 磋商小组应当要求供应商在合理时间内（不得少于60分钟，但供应商已明确表示澄清、说明、更正完毕的除外）澄清、说明或者更正响应文件。供应商未在磋商小组要求的合理时间内按要求澄清、说明、更正的，视为放弃。</w:t>
      </w:r>
    </w:p>
    <w:p w14:paraId="6D1038C7">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9.磋商小组复核</w:t>
      </w:r>
    </w:p>
    <w:p w14:paraId="3A01CF9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磋商小组评分汇总结束后，磋商小组应当进行评审复核，对拟推荐为成交候选供应商的、报价最低的、供应商资格审查未通过的、供应商响应文件作无效处理的重点复核。</w:t>
      </w:r>
    </w:p>
    <w:p w14:paraId="7B985C0F">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10.采购组织单位现场复核评审结果</w:t>
      </w:r>
    </w:p>
    <w:p w14:paraId="7E1D39F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10.1 评审结果汇总完成后，磋商小组拟出具磋商评审报告前，省中心应当组织2名以上的本单位工作人员，在采购现场监督人员的监督之下，依据有关的法律制度和磋商文件对评审结果进行复核，出具复核报告，存在下列情形一的，省中心应当根据情况书面建议磋商小组现场修改评审结果：</w:t>
      </w:r>
    </w:p>
    <w:p w14:paraId="7C4CE9B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（1）资格性审查认定错误的；</w:t>
      </w:r>
    </w:p>
    <w:p w14:paraId="42262D9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（2）分值汇总计算错误的；</w:t>
      </w:r>
    </w:p>
    <w:p w14:paraId="12C7345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（3）分项评分超出评分标准范围的；</w:t>
      </w:r>
    </w:p>
    <w:p w14:paraId="29C81A1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（4）客观评分不一致的；</w:t>
      </w:r>
    </w:p>
    <w:p w14:paraId="4BA3234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（5）评分畸高或畸低的。</w:t>
      </w:r>
    </w:p>
    <w:p w14:paraId="597AFD3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1</w:t>
      </w:r>
      <w:r>
        <w:rPr>
          <w:rFonts w:ascii="Times New Roman" w:hAnsi="Times New Roman" w:cs="Times New Roman"/>
          <w:bCs/>
          <w:color w:val="000000" w:themeColor="text1"/>
          <w:highlight w:val="none"/>
          <w:shd w:val="clear" w:color="auto" w:fill="auto"/>
          <w14:textFill>
            <w14:solidFill>
              <w14:schemeClr w14:val="tx1"/>
            </w14:solidFill>
          </w14:textFill>
        </w:rPr>
        <w:t>0.2 省中心认为磋商小组评审结果不合法的，应当书面报告财政厅。</w:t>
      </w:r>
    </w:p>
    <w:p w14:paraId="2266A7F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1</w:t>
      </w:r>
      <w:r>
        <w:rPr>
          <w:rFonts w:ascii="Times New Roman" w:hAnsi="Times New Roman" w:cs="Times New Roman"/>
          <w:bCs/>
          <w:color w:val="000000" w:themeColor="text1"/>
          <w:highlight w:val="none"/>
          <w:shd w:val="clear" w:color="auto" w:fill="auto"/>
          <w14:textFill>
            <w14:solidFill>
              <w14:schemeClr w14:val="tx1"/>
            </w14:solidFill>
          </w14:textFill>
        </w:rPr>
        <w:t>0.3 省中心复核过程中，磋商小组成员不得离开评审现场。</w:t>
      </w:r>
    </w:p>
    <w:p w14:paraId="2588F986">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11.编写磋商报告</w:t>
      </w:r>
    </w:p>
    <w:p w14:paraId="3120DCB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磋商小组在推荐成交候选供应商后，应向省中心出具磋商报告，磋商报告应当包括以下主要内容：</w:t>
      </w:r>
    </w:p>
    <w:p w14:paraId="5DE7E1A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（1）邀请供应商参加采购活动的具体方式和相关情况；</w:t>
      </w:r>
    </w:p>
    <w:p w14:paraId="6EECC09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（2）响应文件开启日期和地点；</w:t>
      </w:r>
    </w:p>
    <w:p w14:paraId="1BC71BA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（3）获取磋商文件的供应商名单和磋商小组成员名单；</w:t>
      </w:r>
    </w:p>
    <w:p w14:paraId="619B141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（4）评审情况记录和说明，包括对供应商的资格审查情况、供应商响应文件审查情况、磋商情况、报价情况等；</w:t>
      </w:r>
    </w:p>
    <w:p w14:paraId="1028FD4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（5）提出的成交候选供应商的排序名单及理由。</w:t>
      </w:r>
    </w:p>
    <w:p w14:paraId="652FE1C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磋商报告应当由磋商小组全体人员</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又不书面说明其不同意见和理由的，视为同意磋商报告。</w:t>
      </w:r>
    </w:p>
    <w:p w14:paraId="719E3B50">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12.磋商异议处理规则</w:t>
      </w:r>
    </w:p>
    <w:p w14:paraId="08EB819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在磋商过程中，磋商小组成员对响应文件是否符合磋商文件规定存在争议的，应当以少数服从多数的原则处理，但不得违背磋商文件规定，有不同意见的磋商小组成员认为认定过程和结果不符合法律法规或者磋商文件规定的，应当在磋商报告中予以反映。</w:t>
      </w:r>
    </w:p>
    <w:p w14:paraId="029A729C">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13.终止磋商采购活动</w:t>
      </w:r>
    </w:p>
    <w:p w14:paraId="3547B26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出现下列情形之一的，采购人应当终止竞争性磋商采购活动，发布项目终止公告并说明原因，重新开展采购活动：</w:t>
      </w:r>
    </w:p>
    <w:p w14:paraId="2918AE0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（1）因情况变化，不再符合规定的竞争性磋商采购方式适用情形的；</w:t>
      </w:r>
    </w:p>
    <w:p w14:paraId="2D4FBC4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（2）出现影响采购公正的违法、违规行为的；</w:t>
      </w:r>
    </w:p>
    <w:p w14:paraId="4017326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（3）在采购过程中符合要求的供应商或者最后报价未超过采购预算的供应商不足3家的（法律法规规定另有规定的除外）。</w:t>
      </w:r>
    </w:p>
    <w:p w14:paraId="2A7D8D46">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14.综合评分</w:t>
      </w:r>
    </w:p>
    <w:p w14:paraId="02F5285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14.1 本次综合评分的评审因素及分值、评分标准详见综合评分明细表。</w:t>
      </w:r>
    </w:p>
    <w:p w14:paraId="733BF39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14.2 综合评分明细表中的报价应先按供应商须知附表中的相关要求进行价格调整，再进行报价评分。</w:t>
      </w:r>
    </w:p>
    <w:p w14:paraId="10CB738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14.3 除价格因素外，磋商小组成员应当根据自身专业情况独立对每个有效供应商的响应文件进行评价、打分。采购人代表原则上对技术、与技术有关的服务及其他技术类评分因素独立评分。价格及其他不能明确区分的评分因素由磋商小组成员共同评分</w:t>
      </w:r>
    </w:p>
    <w:p w14:paraId="026B1DC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14.4 综合评分明细表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66"/>
        <w:gridCol w:w="1130"/>
        <w:gridCol w:w="653"/>
        <w:gridCol w:w="6861"/>
      </w:tblGrid>
      <w:tr w14:paraId="5B84B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666" w:type="dxa"/>
            <w:noWrap w:val="0"/>
            <w:vAlign w:val="center"/>
          </w:tcPr>
          <w:p w14:paraId="286A7021">
            <w:pPr>
              <w:spacing w:line="240" w:lineRule="auto"/>
              <w:jc w:val="center"/>
              <w:rPr>
                <w:rFonts w:hint="eastAsia" w:ascii="华文仿宋" w:hAnsi="华文仿宋" w:eastAsia="华文仿宋" w:cs="华文仿宋"/>
                <w:b/>
                <w:bCs/>
                <w:color w:val="000000" w:themeColor="text1"/>
                <w:sz w:val="24"/>
                <w:szCs w:val="24"/>
                <w:shd w:val="clear" w:color="auto" w:fill="auto"/>
                <w14:textFill>
                  <w14:solidFill>
                    <w14:schemeClr w14:val="tx1"/>
                  </w14:solidFill>
                </w14:textFill>
              </w:rPr>
            </w:pPr>
            <w:r>
              <w:rPr>
                <w:rFonts w:hint="eastAsia" w:ascii="华文仿宋" w:hAnsi="华文仿宋" w:eastAsia="华文仿宋" w:cs="华文仿宋"/>
                <w:b/>
                <w:bCs/>
                <w:color w:val="000000" w:themeColor="text1"/>
                <w:sz w:val="24"/>
                <w:szCs w:val="24"/>
                <w:shd w:val="clear" w:color="auto" w:fill="auto"/>
                <w14:textFill>
                  <w14:solidFill>
                    <w14:schemeClr w14:val="tx1"/>
                  </w14:solidFill>
                </w14:textFill>
              </w:rPr>
              <w:t>序号</w:t>
            </w:r>
          </w:p>
        </w:tc>
        <w:tc>
          <w:tcPr>
            <w:tcW w:w="1130" w:type="dxa"/>
            <w:noWrap w:val="0"/>
            <w:vAlign w:val="center"/>
          </w:tcPr>
          <w:p w14:paraId="3454F337">
            <w:pPr>
              <w:spacing w:line="240" w:lineRule="auto"/>
              <w:jc w:val="center"/>
              <w:rPr>
                <w:rFonts w:hint="eastAsia" w:ascii="华文仿宋" w:hAnsi="华文仿宋" w:eastAsia="华文仿宋" w:cs="华文仿宋"/>
                <w:b/>
                <w:bCs/>
                <w:color w:val="000000" w:themeColor="text1"/>
                <w:sz w:val="21"/>
                <w:szCs w:val="21"/>
                <w:shd w:val="clear" w:color="auto" w:fill="auto"/>
                <w:lang w:val="en-US" w:eastAsia="zh-CN"/>
                <w14:textFill>
                  <w14:solidFill>
                    <w14:schemeClr w14:val="tx1"/>
                  </w14:solidFill>
                </w14:textFill>
              </w:rPr>
            </w:pPr>
            <w:r>
              <w:rPr>
                <w:rFonts w:hint="eastAsia" w:ascii="华文仿宋" w:hAnsi="华文仿宋" w:eastAsia="华文仿宋" w:cs="华文仿宋"/>
                <w:b/>
                <w:bCs/>
                <w:color w:val="000000" w:themeColor="text1"/>
                <w:sz w:val="21"/>
                <w:szCs w:val="21"/>
                <w:shd w:val="clear" w:color="auto" w:fill="auto"/>
                <w14:textFill>
                  <w14:solidFill>
                    <w14:schemeClr w14:val="tx1"/>
                  </w14:solidFill>
                </w14:textFill>
              </w:rPr>
              <w:t>评分因</w:t>
            </w:r>
            <w:r>
              <w:rPr>
                <w:rFonts w:hint="eastAsia" w:ascii="华文仿宋" w:hAnsi="华文仿宋" w:eastAsia="华文仿宋" w:cs="华文仿宋"/>
                <w:b/>
                <w:bCs/>
                <w:color w:val="000000" w:themeColor="text1"/>
                <w:sz w:val="21"/>
                <w:szCs w:val="21"/>
                <w:shd w:val="clear" w:color="auto" w:fill="auto"/>
                <w:lang w:val="en-US" w:eastAsia="zh-CN"/>
                <w14:textFill>
                  <w14:solidFill>
                    <w14:schemeClr w14:val="tx1"/>
                  </w14:solidFill>
                </w14:textFill>
              </w:rPr>
              <w:t>素</w:t>
            </w:r>
          </w:p>
          <w:p w14:paraId="7F70E640">
            <w:pPr>
              <w:spacing w:line="240" w:lineRule="auto"/>
              <w:jc w:val="center"/>
              <w:rPr>
                <w:rFonts w:hint="eastAsia" w:ascii="华文仿宋" w:hAnsi="华文仿宋" w:eastAsia="华文仿宋" w:cs="华文仿宋"/>
                <w:b/>
                <w:bCs/>
                <w:color w:val="000000" w:themeColor="text1"/>
                <w:sz w:val="24"/>
                <w:szCs w:val="24"/>
                <w:shd w:val="clear" w:color="auto" w:fill="auto"/>
                <w14:textFill>
                  <w14:solidFill>
                    <w14:schemeClr w14:val="tx1"/>
                  </w14:solidFill>
                </w14:textFill>
              </w:rPr>
            </w:pPr>
            <w:r>
              <w:rPr>
                <w:rFonts w:hint="eastAsia" w:ascii="华文仿宋" w:hAnsi="华文仿宋" w:eastAsia="华文仿宋" w:cs="华文仿宋"/>
                <w:b/>
                <w:bCs/>
                <w:color w:val="000000" w:themeColor="text1"/>
                <w:sz w:val="21"/>
                <w:szCs w:val="21"/>
                <w:shd w:val="clear" w:color="auto" w:fill="auto"/>
                <w14:textFill>
                  <w14:solidFill>
                    <w14:schemeClr w14:val="tx1"/>
                  </w14:solidFill>
                </w14:textFill>
              </w:rPr>
              <w:t>及权重</w:t>
            </w:r>
          </w:p>
        </w:tc>
        <w:tc>
          <w:tcPr>
            <w:tcW w:w="653" w:type="dxa"/>
            <w:noWrap w:val="0"/>
            <w:vAlign w:val="center"/>
          </w:tcPr>
          <w:p w14:paraId="4CFF3AE0">
            <w:pPr>
              <w:spacing w:line="240" w:lineRule="auto"/>
              <w:jc w:val="center"/>
              <w:rPr>
                <w:rFonts w:hint="eastAsia" w:ascii="华文仿宋" w:hAnsi="华文仿宋" w:eastAsia="华文仿宋" w:cs="华文仿宋"/>
                <w:b/>
                <w:bCs/>
                <w:color w:val="000000" w:themeColor="text1"/>
                <w:sz w:val="24"/>
                <w:szCs w:val="24"/>
                <w:shd w:val="clear" w:color="auto" w:fill="auto"/>
                <w14:textFill>
                  <w14:solidFill>
                    <w14:schemeClr w14:val="tx1"/>
                  </w14:solidFill>
                </w14:textFill>
              </w:rPr>
            </w:pPr>
            <w:r>
              <w:rPr>
                <w:rFonts w:hint="eastAsia" w:ascii="华文仿宋" w:hAnsi="华文仿宋" w:eastAsia="华文仿宋" w:cs="华文仿宋"/>
                <w:b/>
                <w:bCs/>
                <w:color w:val="000000" w:themeColor="text1"/>
                <w:sz w:val="24"/>
                <w:szCs w:val="24"/>
                <w:shd w:val="clear" w:color="auto" w:fill="auto"/>
                <w14:textFill>
                  <w14:solidFill>
                    <w14:schemeClr w14:val="tx1"/>
                  </w14:solidFill>
                </w14:textFill>
              </w:rPr>
              <w:t>分值</w:t>
            </w:r>
          </w:p>
        </w:tc>
        <w:tc>
          <w:tcPr>
            <w:tcW w:w="6861" w:type="dxa"/>
            <w:noWrap w:val="0"/>
            <w:vAlign w:val="center"/>
          </w:tcPr>
          <w:p w14:paraId="65AEC67A">
            <w:pPr>
              <w:spacing w:line="240" w:lineRule="auto"/>
              <w:jc w:val="center"/>
              <w:rPr>
                <w:rFonts w:hint="eastAsia" w:ascii="华文仿宋" w:hAnsi="华文仿宋" w:eastAsia="华文仿宋" w:cs="华文仿宋"/>
                <w:b/>
                <w:bCs/>
                <w:color w:val="000000" w:themeColor="text1"/>
                <w:sz w:val="24"/>
                <w:szCs w:val="24"/>
                <w:shd w:val="clear" w:color="auto" w:fill="auto"/>
                <w14:textFill>
                  <w14:solidFill>
                    <w14:schemeClr w14:val="tx1"/>
                  </w14:solidFill>
                </w14:textFill>
              </w:rPr>
            </w:pPr>
            <w:r>
              <w:rPr>
                <w:rFonts w:hint="eastAsia" w:ascii="华文仿宋" w:hAnsi="华文仿宋" w:eastAsia="华文仿宋" w:cs="华文仿宋"/>
                <w:b/>
                <w:bCs/>
                <w:color w:val="000000" w:themeColor="text1"/>
                <w:sz w:val="24"/>
                <w:szCs w:val="24"/>
                <w:shd w:val="clear" w:color="auto" w:fill="auto"/>
                <w14:textFill>
                  <w14:solidFill>
                    <w14:schemeClr w14:val="tx1"/>
                  </w14:solidFill>
                </w14:textFill>
              </w:rPr>
              <w:t>评分标准</w:t>
            </w:r>
          </w:p>
        </w:tc>
      </w:tr>
      <w:tr w14:paraId="55AE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1" w:hRule="atLeast"/>
          <w:jc w:val="center"/>
        </w:trPr>
        <w:tc>
          <w:tcPr>
            <w:tcW w:w="666" w:type="dxa"/>
            <w:noWrap w:val="0"/>
            <w:vAlign w:val="center"/>
          </w:tcPr>
          <w:p w14:paraId="44AAC089">
            <w:pPr>
              <w:spacing w:line="240" w:lineRule="auto"/>
              <w:jc w:val="center"/>
              <w:rPr>
                <w:rFonts w:hint="eastAsia" w:ascii="华文仿宋" w:hAnsi="华文仿宋" w:eastAsia="华文仿宋" w:cs="华文仿宋"/>
                <w:color w:val="000000" w:themeColor="text1"/>
                <w:sz w:val="24"/>
                <w:szCs w:val="24"/>
                <w:shd w:val="clear" w:color="auto" w:fill="auto"/>
                <w14:textFill>
                  <w14:solidFill>
                    <w14:schemeClr w14:val="tx1"/>
                  </w14:solidFill>
                </w14:textFill>
              </w:rPr>
            </w:pPr>
            <w:r>
              <w:rPr>
                <w:rFonts w:hint="eastAsia" w:ascii="华文仿宋" w:hAnsi="华文仿宋" w:eastAsia="华文仿宋" w:cs="华文仿宋"/>
                <w:color w:val="000000" w:themeColor="text1"/>
                <w:sz w:val="24"/>
                <w:szCs w:val="24"/>
                <w:shd w:val="clear" w:color="auto" w:fill="auto"/>
                <w14:textFill>
                  <w14:solidFill>
                    <w14:schemeClr w14:val="tx1"/>
                  </w14:solidFill>
                </w14:textFill>
              </w:rPr>
              <w:t>1</w:t>
            </w:r>
          </w:p>
        </w:tc>
        <w:tc>
          <w:tcPr>
            <w:tcW w:w="1130" w:type="dxa"/>
            <w:noWrap w:val="0"/>
            <w:vAlign w:val="center"/>
          </w:tcPr>
          <w:p w14:paraId="75E98E1C">
            <w:pPr>
              <w:pStyle w:val="5"/>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华文仿宋" w:hAnsi="华文仿宋" w:eastAsia="华文仿宋" w:cs="华文仿宋"/>
                <w:color w:val="000000" w:themeColor="text1"/>
                <w:sz w:val="24"/>
                <w:szCs w:val="24"/>
                <w:shd w:val="clear" w:color="auto" w:fill="auto"/>
                <w14:textFill>
                  <w14:solidFill>
                    <w14:schemeClr w14:val="tx1"/>
                  </w14:solidFill>
                </w14:textFill>
              </w:rPr>
            </w:pPr>
            <w:r>
              <w:rPr>
                <w:rFonts w:hint="eastAsia" w:ascii="华文仿宋" w:hAnsi="华文仿宋" w:eastAsia="华文仿宋" w:cs="华文仿宋"/>
                <w:color w:val="000000" w:themeColor="text1"/>
                <w:sz w:val="24"/>
                <w:szCs w:val="24"/>
                <w:shd w:val="clear" w:color="auto" w:fill="auto"/>
                <w14:textFill>
                  <w14:solidFill>
                    <w14:schemeClr w14:val="tx1"/>
                  </w14:solidFill>
                </w14:textFill>
              </w:rPr>
              <w:t>报价</w:t>
            </w:r>
          </w:p>
        </w:tc>
        <w:tc>
          <w:tcPr>
            <w:tcW w:w="653" w:type="dxa"/>
            <w:noWrap w:val="0"/>
            <w:vAlign w:val="center"/>
          </w:tcPr>
          <w:p w14:paraId="47A9F757">
            <w:pPr>
              <w:spacing w:line="240" w:lineRule="auto"/>
              <w:jc w:val="center"/>
              <w:rPr>
                <w:rFonts w:hint="eastAsia" w:ascii="华文仿宋" w:hAnsi="华文仿宋" w:eastAsia="华文仿宋" w:cs="华文仿宋"/>
                <w:color w:val="000000" w:themeColor="text1"/>
                <w:sz w:val="24"/>
                <w:szCs w:val="24"/>
                <w:shd w:val="clear" w:color="auto" w:fill="auto"/>
                <w14:textFill>
                  <w14:solidFill>
                    <w14:schemeClr w14:val="tx1"/>
                  </w14:solidFill>
                </w14:textFill>
              </w:rPr>
            </w:pPr>
            <w:r>
              <w:rPr>
                <w:rFonts w:hint="eastAsia" w:ascii="华文仿宋" w:hAnsi="华文仿宋" w:eastAsia="华文仿宋" w:cs="华文仿宋"/>
                <w:color w:val="000000" w:themeColor="text1"/>
                <w:sz w:val="24"/>
                <w:szCs w:val="24"/>
                <w:shd w:val="clear" w:color="auto" w:fill="auto"/>
                <w:lang w:val="en-US" w:eastAsia="zh-CN"/>
                <w14:textFill>
                  <w14:solidFill>
                    <w14:schemeClr w14:val="tx1"/>
                  </w14:solidFill>
                </w14:textFill>
              </w:rPr>
              <w:t>25</w:t>
            </w:r>
            <w:r>
              <w:rPr>
                <w:rFonts w:hint="eastAsia" w:ascii="华文仿宋" w:hAnsi="华文仿宋" w:eastAsia="华文仿宋" w:cs="华文仿宋"/>
                <w:color w:val="000000" w:themeColor="text1"/>
                <w:sz w:val="24"/>
                <w:szCs w:val="24"/>
                <w:shd w:val="clear" w:color="auto" w:fill="auto"/>
                <w14:textFill>
                  <w14:solidFill>
                    <w14:schemeClr w14:val="tx1"/>
                  </w14:solidFill>
                </w14:textFill>
              </w:rPr>
              <w:t>分</w:t>
            </w:r>
          </w:p>
        </w:tc>
        <w:tc>
          <w:tcPr>
            <w:tcW w:w="6861" w:type="dxa"/>
            <w:noWrap w:val="0"/>
            <w:vAlign w:val="center"/>
          </w:tcPr>
          <w:p w14:paraId="1AF4D602">
            <w:pPr>
              <w:keepNext w:val="0"/>
              <w:keepLines w:val="0"/>
              <w:pageBreakBefore w:val="0"/>
              <w:widowControl w:val="0"/>
              <w:kinsoku/>
              <w:wordWrap/>
              <w:overflowPunct/>
              <w:topLinePunct w:val="0"/>
              <w:autoSpaceDE/>
              <w:autoSpaceDN/>
              <w:bidi w:val="0"/>
              <w:adjustRightInd w:val="0"/>
              <w:snapToGrid/>
              <w:spacing w:line="360" w:lineRule="exact"/>
              <w:textAlignment w:val="baseline"/>
              <w:outlineLvl w:val="9"/>
              <w:rPr>
                <w:rFonts w:hint="eastAsia" w:ascii="华文仿宋" w:hAnsi="华文仿宋" w:eastAsia="华文仿宋" w:cs="华文仿宋"/>
                <w:color w:val="000000" w:themeColor="text1"/>
                <w:sz w:val="24"/>
                <w:szCs w:val="24"/>
                <w:shd w:val="clear" w:color="auto" w:fill="auto"/>
                <w14:textFill>
                  <w14:solidFill>
                    <w14:schemeClr w14:val="tx1"/>
                  </w14:solidFill>
                </w14:textFill>
              </w:rPr>
            </w:pPr>
            <w:r>
              <w:rPr>
                <w:rFonts w:hint="eastAsia" w:ascii="华文仿宋" w:hAnsi="华文仿宋" w:eastAsia="华文仿宋" w:cs="华文仿宋"/>
                <w:color w:val="000000" w:themeColor="text1"/>
                <w:sz w:val="24"/>
                <w:szCs w:val="24"/>
                <w:shd w:val="clear" w:color="auto" w:fill="auto"/>
                <w14:textFill>
                  <w14:solidFill>
                    <w14:schemeClr w14:val="tx1"/>
                  </w14:solidFill>
                </w14:textFill>
              </w:rPr>
              <w:t>满足采购文件要求且最后报价最低的供应商的价格为基准价，其价格分为满分。其他供应商的价格分统一按照下列公式计算：</w:t>
            </w:r>
          </w:p>
          <w:p w14:paraId="5B6AED8A">
            <w:pPr>
              <w:keepNext w:val="0"/>
              <w:keepLines w:val="0"/>
              <w:pageBreakBefore w:val="0"/>
              <w:widowControl w:val="0"/>
              <w:kinsoku/>
              <w:wordWrap/>
              <w:overflowPunct/>
              <w:topLinePunct w:val="0"/>
              <w:autoSpaceDE/>
              <w:autoSpaceDN/>
              <w:bidi w:val="0"/>
              <w:adjustRightInd w:val="0"/>
              <w:snapToGrid/>
              <w:spacing w:line="360" w:lineRule="exact"/>
              <w:textAlignment w:val="baseline"/>
              <w:outlineLvl w:val="9"/>
              <w:rPr>
                <w:rFonts w:hint="eastAsia" w:ascii="华文仿宋" w:hAnsi="华文仿宋" w:eastAsia="华文仿宋" w:cs="华文仿宋"/>
                <w:color w:val="000000" w:themeColor="text1"/>
                <w:sz w:val="24"/>
                <w:szCs w:val="24"/>
                <w:shd w:val="clear" w:color="auto" w:fill="auto"/>
                <w:lang w:eastAsia="zh-CN"/>
                <w14:textFill>
                  <w14:solidFill>
                    <w14:schemeClr w14:val="tx1"/>
                  </w14:solidFill>
                </w14:textFill>
              </w:rPr>
            </w:pPr>
            <w:r>
              <w:rPr>
                <w:rFonts w:hint="eastAsia" w:ascii="华文仿宋" w:hAnsi="华文仿宋" w:eastAsia="华文仿宋" w:cs="华文仿宋"/>
                <w:color w:val="000000" w:themeColor="text1"/>
                <w:sz w:val="24"/>
                <w:szCs w:val="24"/>
                <w:shd w:val="clear" w:color="auto" w:fill="auto"/>
                <w14:textFill>
                  <w14:solidFill>
                    <w14:schemeClr w14:val="tx1"/>
                  </w14:solidFill>
                </w14:textFill>
              </w:rPr>
              <w:t>报价得分=（基准价/报价）×</w:t>
            </w:r>
            <w:r>
              <w:rPr>
                <w:rFonts w:hint="eastAsia" w:ascii="华文仿宋" w:hAnsi="华文仿宋" w:eastAsia="华文仿宋" w:cs="华文仿宋"/>
                <w:color w:val="000000" w:themeColor="text1"/>
                <w:sz w:val="24"/>
                <w:szCs w:val="24"/>
                <w:shd w:val="clear" w:color="auto" w:fill="auto"/>
                <w:lang w:val="en-US" w:eastAsia="zh-CN"/>
                <w14:textFill>
                  <w14:solidFill>
                    <w14:schemeClr w14:val="tx1"/>
                  </w14:solidFill>
                </w14:textFill>
              </w:rPr>
              <w:t>25%</w:t>
            </w:r>
            <w:r>
              <w:rPr>
                <w:rFonts w:hint="eastAsia" w:ascii="华文仿宋" w:hAnsi="华文仿宋" w:eastAsia="华文仿宋" w:cs="华文仿宋"/>
                <w:color w:val="000000" w:themeColor="text1"/>
                <w:sz w:val="24"/>
                <w:szCs w:val="24"/>
                <w:shd w:val="clear" w:color="auto" w:fill="auto"/>
                <w14:textFill>
                  <w14:solidFill>
                    <w14:schemeClr w14:val="tx1"/>
                  </w14:solidFill>
                </w14:textFill>
              </w:rPr>
              <w:t>×</w:t>
            </w:r>
            <w:r>
              <w:rPr>
                <w:rFonts w:hint="eastAsia" w:ascii="华文仿宋" w:hAnsi="华文仿宋" w:eastAsia="华文仿宋" w:cs="华文仿宋"/>
                <w:color w:val="000000" w:themeColor="text1"/>
                <w:sz w:val="24"/>
                <w:szCs w:val="24"/>
                <w:shd w:val="clear" w:color="auto" w:fill="auto"/>
                <w:lang w:val="en-US" w:eastAsia="zh-CN"/>
                <w14:textFill>
                  <w14:solidFill>
                    <w14:schemeClr w14:val="tx1"/>
                  </w14:solidFill>
                </w14:textFill>
              </w:rPr>
              <w:t>100</w:t>
            </w:r>
            <w:r>
              <w:rPr>
                <w:rFonts w:hint="eastAsia" w:ascii="华文仿宋" w:hAnsi="华文仿宋" w:eastAsia="华文仿宋" w:cs="华文仿宋"/>
                <w:color w:val="000000" w:themeColor="text1"/>
                <w:sz w:val="24"/>
                <w:szCs w:val="24"/>
                <w:shd w:val="clear" w:color="auto" w:fill="auto"/>
                <w:lang w:eastAsia="zh-CN"/>
                <w14:textFill>
                  <w14:solidFill>
                    <w14:schemeClr w14:val="tx1"/>
                  </w14:solidFill>
                </w14:textFill>
              </w:rPr>
              <w:t>。</w:t>
            </w:r>
          </w:p>
        </w:tc>
      </w:tr>
      <w:tr w14:paraId="09C3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8" w:hRule="atLeast"/>
          <w:jc w:val="center"/>
        </w:trPr>
        <w:tc>
          <w:tcPr>
            <w:tcW w:w="666" w:type="dxa"/>
            <w:noWrap w:val="0"/>
            <w:vAlign w:val="center"/>
          </w:tcPr>
          <w:p w14:paraId="5F9E5EBB">
            <w:pPr>
              <w:spacing w:line="240" w:lineRule="auto"/>
              <w:jc w:val="center"/>
              <w:rPr>
                <w:rFonts w:hint="eastAsia" w:ascii="华文仿宋" w:hAnsi="华文仿宋" w:eastAsia="华文仿宋" w:cs="华文仿宋"/>
                <w:color w:val="000000" w:themeColor="text1"/>
                <w:sz w:val="24"/>
                <w:szCs w:val="24"/>
                <w:shd w:val="clear" w:color="auto" w:fill="auto"/>
                <w:lang w:val="en-US" w:eastAsia="zh-CN"/>
                <w14:textFill>
                  <w14:solidFill>
                    <w14:schemeClr w14:val="tx1"/>
                  </w14:solidFill>
                </w14:textFill>
              </w:rPr>
            </w:pPr>
            <w:r>
              <w:rPr>
                <w:rFonts w:hint="eastAsia" w:ascii="华文仿宋" w:hAnsi="华文仿宋" w:eastAsia="华文仿宋" w:cs="华文仿宋"/>
                <w:color w:val="000000" w:themeColor="text1"/>
                <w:sz w:val="24"/>
                <w:szCs w:val="24"/>
                <w:shd w:val="clear" w:color="auto" w:fill="auto"/>
                <w:lang w:val="en-US" w:eastAsia="zh-CN"/>
                <w14:textFill>
                  <w14:solidFill>
                    <w14:schemeClr w14:val="tx1"/>
                  </w14:solidFill>
                </w14:textFill>
              </w:rPr>
              <w:t>2</w:t>
            </w:r>
          </w:p>
        </w:tc>
        <w:tc>
          <w:tcPr>
            <w:tcW w:w="1130" w:type="dxa"/>
            <w:noWrap w:val="0"/>
            <w:vAlign w:val="center"/>
          </w:tcPr>
          <w:p w14:paraId="74263ED1">
            <w:pPr>
              <w:spacing w:line="240" w:lineRule="auto"/>
              <w:jc w:val="center"/>
              <w:rPr>
                <w:rFonts w:hint="eastAsia" w:ascii="华文仿宋" w:hAnsi="华文仿宋" w:eastAsia="华文仿宋" w:cs="华文仿宋"/>
                <w:color w:val="000000" w:themeColor="text1"/>
                <w:sz w:val="24"/>
                <w:szCs w:val="24"/>
                <w:shd w:val="clear" w:color="auto" w:fill="auto"/>
                <w:lang w:val="en-US" w:eastAsia="zh-CN"/>
                <w14:textFill>
                  <w14:solidFill>
                    <w14:schemeClr w14:val="tx1"/>
                  </w14:solidFill>
                </w14:textFill>
              </w:rPr>
            </w:pPr>
            <w:r>
              <w:rPr>
                <w:rFonts w:hint="eastAsia" w:ascii="华文仿宋" w:hAnsi="华文仿宋" w:eastAsia="华文仿宋" w:cs="华文仿宋"/>
                <w:color w:val="000000" w:themeColor="text1"/>
                <w:sz w:val="24"/>
                <w:szCs w:val="24"/>
                <w:shd w:val="clear" w:color="auto" w:fill="auto"/>
                <w:lang w:val="en-US" w:eastAsia="zh-CN"/>
                <w14:textFill>
                  <w14:solidFill>
                    <w14:schemeClr w14:val="tx1"/>
                  </w14:solidFill>
                </w14:textFill>
              </w:rPr>
              <w:t>研究组织设计</w:t>
            </w:r>
          </w:p>
        </w:tc>
        <w:tc>
          <w:tcPr>
            <w:tcW w:w="653" w:type="dxa"/>
            <w:noWrap w:val="0"/>
            <w:vAlign w:val="center"/>
          </w:tcPr>
          <w:p w14:paraId="6B2C07C2">
            <w:pPr>
              <w:spacing w:line="240" w:lineRule="auto"/>
              <w:jc w:val="center"/>
              <w:rPr>
                <w:rFonts w:hint="eastAsia" w:ascii="华文仿宋" w:hAnsi="华文仿宋" w:eastAsia="华文仿宋" w:cs="华文仿宋"/>
                <w:color w:val="000000" w:themeColor="text1"/>
                <w:sz w:val="24"/>
                <w:szCs w:val="24"/>
                <w:shd w:val="clear" w:color="auto" w:fill="auto"/>
                <w:lang w:val="en-US" w:eastAsia="zh-CN"/>
                <w14:textFill>
                  <w14:solidFill>
                    <w14:schemeClr w14:val="tx1"/>
                  </w14:solidFill>
                </w14:textFill>
              </w:rPr>
            </w:pPr>
            <w:r>
              <w:rPr>
                <w:rFonts w:hint="eastAsia" w:ascii="华文仿宋" w:hAnsi="华文仿宋" w:eastAsia="华文仿宋" w:cs="华文仿宋"/>
                <w:color w:val="000000" w:themeColor="text1"/>
                <w:sz w:val="24"/>
                <w:szCs w:val="24"/>
                <w:shd w:val="clear" w:color="auto" w:fill="auto"/>
                <w:lang w:val="en-US" w:eastAsia="zh-CN"/>
                <w14:textFill>
                  <w14:solidFill>
                    <w14:schemeClr w14:val="tx1"/>
                  </w14:solidFill>
                </w14:textFill>
              </w:rPr>
              <w:t>15</w:t>
            </w:r>
            <w:r>
              <w:rPr>
                <w:rFonts w:hint="eastAsia" w:ascii="华文仿宋" w:hAnsi="华文仿宋" w:eastAsia="华文仿宋" w:cs="华文仿宋"/>
                <w:color w:val="000000" w:themeColor="text1"/>
                <w:sz w:val="24"/>
                <w:szCs w:val="24"/>
                <w:shd w:val="clear" w:color="auto" w:fill="auto"/>
                <w14:textFill>
                  <w14:solidFill>
                    <w14:schemeClr w14:val="tx1"/>
                  </w14:solidFill>
                </w14:textFill>
              </w:rPr>
              <w:t>分</w:t>
            </w:r>
          </w:p>
        </w:tc>
        <w:tc>
          <w:tcPr>
            <w:tcW w:w="6861" w:type="dxa"/>
            <w:noWrap w:val="0"/>
            <w:vAlign w:val="center"/>
          </w:tcPr>
          <w:p w14:paraId="1620EFA9">
            <w:pPr>
              <w:pStyle w:val="5"/>
              <w:keepNext w:val="0"/>
              <w:keepLines w:val="0"/>
              <w:pageBreakBefore w:val="0"/>
              <w:widowControl w:val="0"/>
              <w:kinsoku/>
              <w:wordWrap/>
              <w:overflowPunct/>
              <w:topLinePunct w:val="0"/>
              <w:autoSpaceDE/>
              <w:autoSpaceDN/>
              <w:bidi w:val="0"/>
              <w:snapToGrid/>
              <w:spacing w:line="360" w:lineRule="exact"/>
              <w:ind w:firstLine="480" w:firstLineChars="200"/>
              <w:outlineLvl w:val="9"/>
              <w:rPr>
                <w:rFonts w:hint="eastAsia" w:ascii="华文仿宋" w:hAnsi="华文仿宋" w:eastAsia="华文仿宋" w:cs="华文仿宋"/>
                <w:color w:val="000000" w:themeColor="text1"/>
                <w:kern w:val="2"/>
                <w:sz w:val="24"/>
                <w:szCs w:val="24"/>
                <w:shd w:val="clear" w:color="auto" w:fill="auto"/>
                <w:lang w:val="en-US" w:eastAsia="zh-CN" w:bidi="ar-SA"/>
                <w14:textFill>
                  <w14:solidFill>
                    <w14:schemeClr w14:val="tx1"/>
                  </w14:solidFill>
                </w14:textFill>
              </w:rPr>
            </w:pPr>
            <w:r>
              <w:rPr>
                <w:rFonts w:hint="eastAsia" w:ascii="华文仿宋" w:hAnsi="华文仿宋" w:eastAsia="华文仿宋" w:cs="华文仿宋"/>
                <w:color w:val="000000" w:themeColor="text1"/>
                <w:kern w:val="2"/>
                <w:sz w:val="24"/>
                <w:szCs w:val="24"/>
                <w:shd w:val="clear" w:color="auto" w:fill="auto"/>
                <w:lang w:val="en-US" w:eastAsia="zh-CN" w:bidi="ar-SA"/>
                <w14:textFill>
                  <w14:solidFill>
                    <w14:schemeClr w14:val="tx1"/>
                  </w14:solidFill>
                </w14:textFill>
              </w:rPr>
              <w:t>着重评审：（1）课题研究思路、研究框架是否合理，研究重点是否突出，是否符合课题研究要求。（2）研究目标是否明确，预期研究成果的创新性、针对性和可操作性。（3）研究方法是否科学可行，是否应用创新性的理论、方法、技术手段。</w:t>
            </w:r>
          </w:p>
          <w:p w14:paraId="56F90091">
            <w:pPr>
              <w:pStyle w:val="5"/>
              <w:keepNext w:val="0"/>
              <w:keepLines w:val="0"/>
              <w:pageBreakBefore w:val="0"/>
              <w:widowControl w:val="0"/>
              <w:kinsoku/>
              <w:wordWrap/>
              <w:overflowPunct/>
              <w:topLinePunct w:val="0"/>
              <w:autoSpaceDE/>
              <w:autoSpaceDN/>
              <w:bidi w:val="0"/>
              <w:snapToGrid/>
              <w:spacing w:line="360" w:lineRule="exact"/>
              <w:ind w:firstLine="480" w:firstLineChars="200"/>
              <w:outlineLvl w:val="9"/>
              <w:rPr>
                <w:rFonts w:hint="eastAsia" w:ascii="华文仿宋" w:hAnsi="华文仿宋" w:eastAsia="华文仿宋" w:cs="华文仿宋"/>
                <w:color w:val="000000" w:themeColor="text1"/>
                <w:kern w:val="2"/>
                <w:sz w:val="24"/>
                <w:szCs w:val="24"/>
                <w:shd w:val="clear" w:color="auto" w:fill="auto"/>
                <w:lang w:val="en-US" w:eastAsia="zh-CN" w:bidi="ar-SA"/>
                <w14:textFill>
                  <w14:solidFill>
                    <w14:schemeClr w14:val="tx1"/>
                  </w14:solidFill>
                </w14:textFill>
              </w:rPr>
            </w:pPr>
            <w:r>
              <w:rPr>
                <w:rFonts w:hint="eastAsia" w:ascii="华文仿宋" w:hAnsi="华文仿宋" w:eastAsia="华文仿宋" w:cs="华文仿宋"/>
                <w:color w:val="000000" w:themeColor="text1"/>
                <w:kern w:val="2"/>
                <w:sz w:val="24"/>
                <w:szCs w:val="24"/>
                <w:shd w:val="clear" w:color="auto" w:fill="auto"/>
                <w:lang w:val="en-US" w:eastAsia="zh-CN" w:bidi="ar-SA"/>
                <w14:textFill>
                  <w14:solidFill>
                    <w14:schemeClr w14:val="tx1"/>
                  </w14:solidFill>
                </w14:textFill>
              </w:rPr>
              <w:t xml:space="preserve">研究内容要素齐全详尽且不存在缺陷得15分，每有一项内容缺失扣5分，每有一项缺陷扣2.5分，扣完为止。（注：缺陷是指与该项目无关的内容或错误语句或内容前后矛盾）  </w:t>
            </w:r>
          </w:p>
        </w:tc>
      </w:tr>
      <w:tr w14:paraId="1768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666" w:type="dxa"/>
            <w:noWrap w:val="0"/>
            <w:vAlign w:val="center"/>
          </w:tcPr>
          <w:p w14:paraId="5E6CCB82">
            <w:pPr>
              <w:adjustRightInd w:val="0"/>
              <w:snapToGrid w:val="0"/>
              <w:spacing w:line="240" w:lineRule="auto"/>
              <w:jc w:val="center"/>
              <w:rPr>
                <w:rFonts w:hint="eastAsia" w:ascii="华文仿宋" w:hAnsi="华文仿宋" w:eastAsia="华文仿宋" w:cs="华文仿宋"/>
                <w:color w:val="000000" w:themeColor="text1"/>
                <w:sz w:val="24"/>
                <w:szCs w:val="24"/>
                <w:shd w:val="clear" w:color="auto" w:fill="auto"/>
                <w14:textFill>
                  <w14:solidFill>
                    <w14:schemeClr w14:val="tx1"/>
                  </w14:solidFill>
                </w14:textFill>
              </w:rPr>
            </w:pPr>
            <w:r>
              <w:rPr>
                <w:rFonts w:hint="eastAsia" w:ascii="华文仿宋" w:hAnsi="华文仿宋" w:eastAsia="华文仿宋" w:cs="华文仿宋"/>
                <w:color w:val="000000" w:themeColor="text1"/>
                <w:sz w:val="24"/>
                <w:szCs w:val="24"/>
                <w:shd w:val="clear" w:color="auto" w:fill="auto"/>
                <w14:textFill>
                  <w14:solidFill>
                    <w14:schemeClr w14:val="tx1"/>
                  </w14:solidFill>
                </w14:textFill>
              </w:rPr>
              <w:t>3</w:t>
            </w:r>
          </w:p>
        </w:tc>
        <w:tc>
          <w:tcPr>
            <w:tcW w:w="1130" w:type="dxa"/>
            <w:noWrap w:val="0"/>
            <w:vAlign w:val="center"/>
          </w:tcPr>
          <w:p w14:paraId="284EBAC2">
            <w:pPr>
              <w:adjustRightInd w:val="0"/>
              <w:snapToGrid w:val="0"/>
              <w:spacing w:line="240" w:lineRule="auto"/>
              <w:jc w:val="left"/>
              <w:rPr>
                <w:rFonts w:hint="eastAsia" w:ascii="华文仿宋" w:hAnsi="华文仿宋" w:eastAsia="华文仿宋" w:cs="华文仿宋"/>
                <w:color w:val="000000" w:themeColor="text1"/>
                <w:sz w:val="24"/>
                <w:szCs w:val="24"/>
                <w:shd w:val="clear" w:color="auto" w:fill="auto"/>
                <w14:textFill>
                  <w14:solidFill>
                    <w14:schemeClr w14:val="tx1"/>
                  </w14:solidFill>
                </w14:textFill>
              </w:rPr>
            </w:pPr>
            <w:r>
              <w:rPr>
                <w:rFonts w:hint="eastAsia" w:ascii="华文仿宋" w:hAnsi="华文仿宋" w:eastAsia="华文仿宋" w:cs="华文仿宋"/>
                <w:color w:val="000000" w:themeColor="text1"/>
                <w:sz w:val="24"/>
                <w:szCs w:val="24"/>
                <w:shd w:val="clear" w:color="auto" w:fill="auto"/>
                <w14:textFill>
                  <w14:solidFill>
                    <w14:schemeClr w14:val="tx1"/>
                  </w14:solidFill>
                </w14:textFill>
              </w:rPr>
              <w:t>履约经验</w:t>
            </w:r>
          </w:p>
          <w:p w14:paraId="3EC53680">
            <w:pPr>
              <w:adjustRightInd w:val="0"/>
              <w:snapToGrid w:val="0"/>
              <w:spacing w:line="240" w:lineRule="auto"/>
              <w:jc w:val="left"/>
              <w:rPr>
                <w:rFonts w:hint="eastAsia" w:ascii="华文仿宋" w:hAnsi="华文仿宋" w:eastAsia="华文仿宋" w:cs="华文仿宋"/>
                <w:color w:val="000000" w:themeColor="text1"/>
                <w:sz w:val="24"/>
                <w:szCs w:val="24"/>
                <w:shd w:val="clear" w:color="auto" w:fill="auto"/>
                <w14:textFill>
                  <w14:solidFill>
                    <w14:schemeClr w14:val="tx1"/>
                  </w14:solidFill>
                </w14:textFill>
              </w:rPr>
            </w:pPr>
          </w:p>
        </w:tc>
        <w:tc>
          <w:tcPr>
            <w:tcW w:w="653" w:type="dxa"/>
            <w:noWrap w:val="0"/>
            <w:vAlign w:val="center"/>
          </w:tcPr>
          <w:p w14:paraId="61B697C7">
            <w:pPr>
              <w:adjustRightInd w:val="0"/>
              <w:snapToGrid w:val="0"/>
              <w:spacing w:line="240" w:lineRule="auto"/>
              <w:jc w:val="left"/>
              <w:rPr>
                <w:rFonts w:hint="eastAsia" w:ascii="华文仿宋" w:hAnsi="华文仿宋" w:eastAsia="华文仿宋" w:cs="华文仿宋"/>
                <w:color w:val="000000" w:themeColor="text1"/>
                <w:sz w:val="24"/>
                <w:szCs w:val="24"/>
                <w:shd w:val="clear" w:color="auto" w:fill="auto"/>
                <w14:textFill>
                  <w14:solidFill>
                    <w14:schemeClr w14:val="tx1"/>
                  </w14:solidFill>
                </w14:textFill>
              </w:rPr>
            </w:pPr>
            <w:r>
              <w:rPr>
                <w:rFonts w:hint="eastAsia" w:ascii="华文仿宋" w:hAnsi="华文仿宋" w:eastAsia="华文仿宋" w:cs="华文仿宋"/>
                <w:color w:val="000000" w:themeColor="text1"/>
                <w:sz w:val="24"/>
                <w:szCs w:val="24"/>
                <w:shd w:val="clear" w:color="auto" w:fill="auto"/>
                <w:lang w:val="en-US" w:eastAsia="zh-CN"/>
                <w14:textFill>
                  <w14:solidFill>
                    <w14:schemeClr w14:val="tx1"/>
                  </w14:solidFill>
                </w14:textFill>
              </w:rPr>
              <w:t>8</w:t>
            </w:r>
            <w:r>
              <w:rPr>
                <w:rFonts w:hint="eastAsia" w:ascii="华文仿宋" w:hAnsi="华文仿宋" w:eastAsia="华文仿宋" w:cs="华文仿宋"/>
                <w:color w:val="000000" w:themeColor="text1"/>
                <w:sz w:val="24"/>
                <w:szCs w:val="24"/>
                <w:shd w:val="clear" w:color="auto" w:fill="auto"/>
                <w14:textFill>
                  <w14:solidFill>
                    <w14:schemeClr w14:val="tx1"/>
                  </w14:solidFill>
                </w14:textFill>
              </w:rPr>
              <w:t>分</w:t>
            </w:r>
          </w:p>
        </w:tc>
        <w:tc>
          <w:tcPr>
            <w:tcW w:w="6861" w:type="dxa"/>
            <w:noWrap w:val="0"/>
            <w:vAlign w:val="center"/>
          </w:tcPr>
          <w:p w14:paraId="10359825">
            <w:pPr>
              <w:keepNext w:val="0"/>
              <w:keepLines w:val="0"/>
              <w:pageBreakBefore w:val="0"/>
              <w:widowControl w:val="0"/>
              <w:kinsoku/>
              <w:wordWrap/>
              <w:overflowPunct/>
              <w:topLinePunct w:val="0"/>
              <w:autoSpaceDE/>
              <w:autoSpaceDN/>
              <w:bidi w:val="0"/>
              <w:adjustRightInd w:val="0"/>
              <w:snapToGrid/>
              <w:spacing w:line="360" w:lineRule="exact"/>
              <w:textAlignment w:val="baseline"/>
              <w:outlineLvl w:val="9"/>
              <w:rPr>
                <w:rFonts w:hint="eastAsia" w:ascii="华文仿宋" w:hAnsi="华文仿宋" w:eastAsia="华文仿宋" w:cs="华文仿宋"/>
                <w:color w:val="000000" w:themeColor="text1"/>
                <w:kern w:val="2"/>
                <w:sz w:val="24"/>
                <w:szCs w:val="24"/>
                <w:shd w:val="clear" w:color="auto" w:fill="auto"/>
                <w:lang w:val="en-US" w:eastAsia="zh-CN" w:bidi="ar-SA"/>
                <w14:textFill>
                  <w14:solidFill>
                    <w14:schemeClr w14:val="tx1"/>
                  </w14:solidFill>
                </w14:textFill>
              </w:rPr>
            </w:pPr>
            <w:r>
              <w:rPr>
                <w:rFonts w:hint="eastAsia" w:ascii="华文仿宋" w:hAnsi="华文仿宋" w:eastAsia="华文仿宋" w:cs="华文仿宋"/>
                <w:color w:val="000000" w:themeColor="text1"/>
                <w:kern w:val="2"/>
                <w:sz w:val="24"/>
                <w:szCs w:val="24"/>
                <w:shd w:val="clear" w:color="auto" w:fill="auto"/>
                <w:lang w:val="en-US" w:eastAsia="zh-CN" w:bidi="ar-SA"/>
                <w14:textFill>
                  <w14:solidFill>
                    <w14:schemeClr w14:val="tx1"/>
                  </w14:solidFill>
                </w14:textFill>
              </w:rPr>
              <w:t>2021年以来承担过政府购买服务项目或相关课题研究经验，每提供一份证明材料得4分，最多8分。</w:t>
            </w:r>
          </w:p>
          <w:p w14:paraId="4F988450">
            <w:pPr>
              <w:keepNext w:val="0"/>
              <w:keepLines w:val="0"/>
              <w:pageBreakBefore w:val="0"/>
              <w:widowControl w:val="0"/>
              <w:kinsoku/>
              <w:wordWrap/>
              <w:overflowPunct/>
              <w:topLinePunct w:val="0"/>
              <w:autoSpaceDE/>
              <w:autoSpaceDN/>
              <w:bidi w:val="0"/>
              <w:adjustRightInd w:val="0"/>
              <w:snapToGrid/>
              <w:spacing w:line="360" w:lineRule="exact"/>
              <w:textAlignment w:val="baseline"/>
              <w:outlineLvl w:val="9"/>
              <w:rPr>
                <w:rFonts w:hint="eastAsia" w:ascii="华文仿宋" w:hAnsi="华文仿宋" w:eastAsia="华文仿宋" w:cs="华文仿宋"/>
                <w:color w:val="000000" w:themeColor="text1"/>
                <w:kern w:val="2"/>
                <w:sz w:val="24"/>
                <w:szCs w:val="24"/>
                <w:shd w:val="clear" w:color="auto" w:fill="auto"/>
                <w:lang w:val="en-US" w:eastAsia="zh-CN" w:bidi="ar-SA"/>
                <w14:textFill>
                  <w14:solidFill>
                    <w14:schemeClr w14:val="tx1"/>
                  </w14:solidFill>
                </w14:textFill>
              </w:rPr>
            </w:pPr>
            <w:r>
              <w:rPr>
                <w:rFonts w:hint="eastAsia" w:ascii="华文仿宋" w:hAnsi="华文仿宋" w:eastAsia="华文仿宋" w:cs="华文仿宋"/>
                <w:color w:val="000000" w:themeColor="text1"/>
                <w:kern w:val="2"/>
                <w:sz w:val="24"/>
                <w:szCs w:val="24"/>
                <w:shd w:val="clear" w:color="auto" w:fill="auto"/>
                <w:lang w:val="en-US" w:eastAsia="zh-CN" w:bidi="ar-SA"/>
                <w14:textFill>
                  <w14:solidFill>
                    <w14:schemeClr w14:val="tx1"/>
                  </w14:solidFill>
                </w14:textFill>
              </w:rPr>
              <w:t>注：提供合同关键页复印件或中标（成交）通知书复印件。</w:t>
            </w:r>
          </w:p>
        </w:tc>
      </w:tr>
      <w:tr w14:paraId="1572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666" w:type="dxa"/>
            <w:noWrap w:val="0"/>
            <w:vAlign w:val="center"/>
          </w:tcPr>
          <w:p w14:paraId="6C522DBC">
            <w:pPr>
              <w:adjustRightInd w:val="0"/>
              <w:snapToGrid w:val="0"/>
              <w:spacing w:line="240" w:lineRule="auto"/>
              <w:jc w:val="center"/>
              <w:rPr>
                <w:rFonts w:hint="eastAsia" w:ascii="华文仿宋" w:hAnsi="华文仿宋" w:eastAsia="华文仿宋" w:cs="华文仿宋"/>
                <w:color w:val="000000" w:themeColor="text1"/>
                <w:sz w:val="24"/>
                <w:szCs w:val="24"/>
                <w:shd w:val="clear" w:color="auto" w:fill="auto"/>
                <w14:textFill>
                  <w14:solidFill>
                    <w14:schemeClr w14:val="tx1"/>
                  </w14:solidFill>
                </w14:textFill>
              </w:rPr>
            </w:pPr>
            <w:r>
              <w:rPr>
                <w:rFonts w:hint="eastAsia" w:ascii="华文仿宋" w:hAnsi="华文仿宋" w:eastAsia="华文仿宋" w:cs="华文仿宋"/>
                <w:color w:val="000000" w:themeColor="text1"/>
                <w:sz w:val="24"/>
                <w:szCs w:val="24"/>
                <w:shd w:val="clear" w:color="auto" w:fill="auto"/>
                <w14:textFill>
                  <w14:solidFill>
                    <w14:schemeClr w14:val="tx1"/>
                  </w14:solidFill>
                </w14:textFill>
              </w:rPr>
              <w:t>4</w:t>
            </w:r>
          </w:p>
        </w:tc>
        <w:tc>
          <w:tcPr>
            <w:tcW w:w="1130" w:type="dxa"/>
            <w:noWrap w:val="0"/>
            <w:vAlign w:val="center"/>
          </w:tcPr>
          <w:p w14:paraId="59FB5823">
            <w:pPr>
              <w:adjustRightInd w:val="0"/>
              <w:snapToGrid w:val="0"/>
              <w:spacing w:line="240" w:lineRule="auto"/>
              <w:jc w:val="left"/>
              <w:rPr>
                <w:rFonts w:hint="eastAsia" w:ascii="华文仿宋" w:hAnsi="华文仿宋" w:eastAsia="华文仿宋" w:cs="华文仿宋"/>
                <w:color w:val="000000" w:themeColor="text1"/>
                <w:sz w:val="24"/>
                <w:szCs w:val="24"/>
                <w:shd w:val="clear" w:color="auto" w:fill="auto"/>
                <w:lang w:val="en-US" w:eastAsia="zh-CN"/>
                <w14:textFill>
                  <w14:solidFill>
                    <w14:schemeClr w14:val="tx1"/>
                  </w14:solidFill>
                </w14:textFill>
              </w:rPr>
            </w:pPr>
            <w:r>
              <w:rPr>
                <w:rFonts w:hint="eastAsia" w:ascii="华文仿宋" w:hAnsi="华文仿宋" w:eastAsia="华文仿宋" w:cs="华文仿宋"/>
                <w:color w:val="000000" w:themeColor="text1"/>
                <w:sz w:val="24"/>
                <w:szCs w:val="24"/>
                <w:shd w:val="clear" w:color="auto" w:fill="auto"/>
                <w:lang w:val="en-US" w:eastAsia="zh-CN"/>
                <w14:textFill>
                  <w14:solidFill>
                    <w14:schemeClr w14:val="tx1"/>
                  </w14:solidFill>
                </w14:textFill>
              </w:rPr>
              <w:t>研究保障措施</w:t>
            </w:r>
          </w:p>
        </w:tc>
        <w:tc>
          <w:tcPr>
            <w:tcW w:w="653" w:type="dxa"/>
            <w:noWrap w:val="0"/>
            <w:vAlign w:val="center"/>
          </w:tcPr>
          <w:p w14:paraId="347515D8">
            <w:pPr>
              <w:adjustRightInd w:val="0"/>
              <w:snapToGrid w:val="0"/>
              <w:spacing w:line="240" w:lineRule="auto"/>
              <w:jc w:val="left"/>
              <w:rPr>
                <w:rFonts w:hint="eastAsia" w:ascii="华文仿宋" w:hAnsi="华文仿宋" w:eastAsia="华文仿宋" w:cs="华文仿宋"/>
                <w:color w:val="000000" w:themeColor="text1"/>
                <w:sz w:val="24"/>
                <w:szCs w:val="24"/>
                <w:shd w:val="clear" w:color="auto" w:fill="auto"/>
                <w:lang w:val="en-US" w:eastAsia="zh-CN"/>
                <w14:textFill>
                  <w14:solidFill>
                    <w14:schemeClr w14:val="tx1"/>
                  </w14:solidFill>
                </w14:textFill>
              </w:rPr>
            </w:pPr>
            <w:r>
              <w:rPr>
                <w:rFonts w:hint="eastAsia" w:ascii="华文仿宋" w:hAnsi="华文仿宋" w:eastAsia="华文仿宋" w:cs="华文仿宋"/>
                <w:color w:val="000000" w:themeColor="text1"/>
                <w:sz w:val="24"/>
                <w:szCs w:val="24"/>
                <w:shd w:val="clear" w:color="auto" w:fill="auto"/>
                <w:lang w:val="en-US" w:eastAsia="zh-CN"/>
                <w14:textFill>
                  <w14:solidFill>
                    <w14:schemeClr w14:val="tx1"/>
                  </w14:solidFill>
                </w14:textFill>
              </w:rPr>
              <w:t>20</w:t>
            </w:r>
            <w:r>
              <w:rPr>
                <w:rFonts w:hint="eastAsia" w:ascii="华文仿宋" w:hAnsi="华文仿宋" w:eastAsia="华文仿宋" w:cs="华文仿宋"/>
                <w:color w:val="000000" w:themeColor="text1"/>
                <w:sz w:val="24"/>
                <w:szCs w:val="24"/>
                <w:shd w:val="clear" w:color="auto" w:fill="auto"/>
                <w14:textFill>
                  <w14:solidFill>
                    <w14:schemeClr w14:val="tx1"/>
                  </w14:solidFill>
                </w14:textFill>
              </w:rPr>
              <w:t>分</w:t>
            </w:r>
          </w:p>
        </w:tc>
        <w:tc>
          <w:tcPr>
            <w:tcW w:w="6861" w:type="dxa"/>
            <w:noWrap w:val="0"/>
            <w:vAlign w:val="center"/>
          </w:tcPr>
          <w:p w14:paraId="52BC6737">
            <w:pPr>
              <w:keepNext w:val="0"/>
              <w:keepLines w:val="0"/>
              <w:pageBreakBefore w:val="0"/>
              <w:widowControl w:val="0"/>
              <w:kinsoku/>
              <w:wordWrap/>
              <w:overflowPunct/>
              <w:topLinePunct w:val="0"/>
              <w:autoSpaceDE/>
              <w:autoSpaceDN/>
              <w:bidi w:val="0"/>
              <w:adjustRightInd w:val="0"/>
              <w:snapToGrid/>
              <w:spacing w:line="360" w:lineRule="exact"/>
              <w:textAlignment w:val="baseline"/>
              <w:outlineLvl w:val="9"/>
              <w:rPr>
                <w:rFonts w:hint="eastAsia" w:ascii="华文仿宋" w:hAnsi="华文仿宋" w:eastAsia="华文仿宋" w:cs="华文仿宋"/>
                <w:color w:val="000000" w:themeColor="text1"/>
                <w:kern w:val="2"/>
                <w:sz w:val="24"/>
                <w:szCs w:val="24"/>
                <w:shd w:val="clear" w:color="auto" w:fill="auto"/>
                <w:lang w:val="en-US" w:eastAsia="zh-CN" w:bidi="ar-SA"/>
                <w14:textFill>
                  <w14:solidFill>
                    <w14:schemeClr w14:val="tx1"/>
                  </w14:solidFill>
                </w14:textFill>
              </w:rPr>
            </w:pPr>
            <w:r>
              <w:rPr>
                <w:rFonts w:hint="eastAsia" w:ascii="华文仿宋" w:hAnsi="华文仿宋" w:eastAsia="华文仿宋" w:cs="华文仿宋"/>
                <w:color w:val="000000" w:themeColor="text1"/>
                <w:kern w:val="2"/>
                <w:sz w:val="24"/>
                <w:szCs w:val="24"/>
                <w:shd w:val="clear" w:color="auto" w:fill="auto"/>
                <w:lang w:val="en-US" w:eastAsia="zh-CN" w:bidi="ar-SA"/>
                <w14:textFill>
                  <w14:solidFill>
                    <w14:schemeClr w14:val="tx1"/>
                  </w14:solidFill>
                </w14:textFill>
              </w:rPr>
              <w:t>包括但不仅限于①实施进度计划；②组织机构和人员分工安排；③研究质量控制措施；④拟采用的研究方式方法及工具；⑤应急响应方案。</w:t>
            </w:r>
          </w:p>
          <w:p w14:paraId="147F745A">
            <w:pPr>
              <w:keepNext w:val="0"/>
              <w:keepLines w:val="0"/>
              <w:pageBreakBefore w:val="0"/>
              <w:widowControl w:val="0"/>
              <w:kinsoku/>
              <w:wordWrap/>
              <w:overflowPunct/>
              <w:topLinePunct w:val="0"/>
              <w:autoSpaceDE/>
              <w:autoSpaceDN/>
              <w:bidi w:val="0"/>
              <w:adjustRightInd w:val="0"/>
              <w:snapToGrid/>
              <w:spacing w:line="360" w:lineRule="exact"/>
              <w:textAlignment w:val="baseline"/>
              <w:outlineLvl w:val="9"/>
              <w:rPr>
                <w:rFonts w:hint="eastAsia" w:ascii="华文仿宋" w:hAnsi="华文仿宋" w:eastAsia="华文仿宋" w:cs="华文仿宋"/>
                <w:color w:val="000000" w:themeColor="text1"/>
                <w:kern w:val="2"/>
                <w:sz w:val="24"/>
                <w:szCs w:val="24"/>
                <w:shd w:val="clear" w:color="auto" w:fill="auto"/>
                <w:lang w:val="en-US" w:eastAsia="zh-CN" w:bidi="ar-SA"/>
                <w14:textFill>
                  <w14:solidFill>
                    <w14:schemeClr w14:val="tx1"/>
                  </w14:solidFill>
                </w14:textFill>
              </w:rPr>
            </w:pPr>
            <w:r>
              <w:rPr>
                <w:rFonts w:hint="eastAsia" w:ascii="华文仿宋" w:hAnsi="华文仿宋" w:eastAsia="华文仿宋" w:cs="华文仿宋"/>
                <w:color w:val="000000" w:themeColor="text1"/>
                <w:kern w:val="2"/>
                <w:sz w:val="24"/>
                <w:szCs w:val="24"/>
                <w:shd w:val="clear" w:color="auto" w:fill="auto"/>
                <w:lang w:val="en-US" w:eastAsia="zh-CN" w:bidi="ar-SA"/>
                <w14:textFill>
                  <w14:solidFill>
                    <w14:schemeClr w14:val="tx1"/>
                  </w14:solidFill>
                </w14:textFill>
              </w:rPr>
              <w:t>要素齐全详尽且不存在缺陷得20分，每有一项内容缺失扣4分，每有一项缺陷扣2分，扣完为止。（注：缺陷是指与该项目无关的内容或错误语句或内容前后矛盾）</w:t>
            </w:r>
          </w:p>
        </w:tc>
      </w:tr>
      <w:tr w14:paraId="20E4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666" w:type="dxa"/>
            <w:noWrap w:val="0"/>
            <w:vAlign w:val="center"/>
          </w:tcPr>
          <w:p w14:paraId="0F546ADA">
            <w:pPr>
              <w:adjustRightInd w:val="0"/>
              <w:snapToGrid w:val="0"/>
              <w:spacing w:line="240" w:lineRule="auto"/>
              <w:jc w:val="center"/>
              <w:rPr>
                <w:rFonts w:hint="eastAsia" w:ascii="华文仿宋" w:hAnsi="华文仿宋" w:eastAsia="华文仿宋" w:cs="华文仿宋"/>
                <w:color w:val="000000" w:themeColor="text1"/>
                <w:sz w:val="24"/>
                <w:szCs w:val="24"/>
                <w:shd w:val="clear" w:color="auto" w:fill="auto"/>
                <w:lang w:val="en-US" w:eastAsia="zh-CN"/>
                <w14:textFill>
                  <w14:solidFill>
                    <w14:schemeClr w14:val="tx1"/>
                  </w14:solidFill>
                </w14:textFill>
              </w:rPr>
            </w:pPr>
            <w:r>
              <w:rPr>
                <w:rFonts w:hint="eastAsia" w:ascii="华文仿宋" w:hAnsi="华文仿宋" w:eastAsia="华文仿宋" w:cs="华文仿宋"/>
                <w:color w:val="000000" w:themeColor="text1"/>
                <w:sz w:val="24"/>
                <w:szCs w:val="24"/>
                <w:shd w:val="clear" w:color="auto" w:fill="auto"/>
                <w:lang w:val="en-US" w:eastAsia="zh-CN"/>
                <w14:textFill>
                  <w14:solidFill>
                    <w14:schemeClr w14:val="tx1"/>
                  </w14:solidFill>
                </w14:textFill>
              </w:rPr>
              <w:t>5</w:t>
            </w:r>
          </w:p>
        </w:tc>
        <w:tc>
          <w:tcPr>
            <w:tcW w:w="1130" w:type="dxa"/>
            <w:noWrap w:val="0"/>
            <w:vAlign w:val="center"/>
          </w:tcPr>
          <w:p w14:paraId="6EF2347A">
            <w:pPr>
              <w:adjustRightInd w:val="0"/>
              <w:snapToGrid w:val="0"/>
              <w:spacing w:line="240" w:lineRule="auto"/>
              <w:jc w:val="left"/>
              <w:rPr>
                <w:rFonts w:hint="eastAsia" w:ascii="华文仿宋" w:hAnsi="华文仿宋" w:eastAsia="华文仿宋" w:cs="华文仿宋"/>
                <w:color w:val="000000" w:themeColor="text1"/>
                <w:sz w:val="24"/>
                <w:szCs w:val="24"/>
                <w:shd w:val="clear" w:color="auto" w:fill="auto"/>
                <w:lang w:val="en-US" w:eastAsia="zh-CN"/>
                <w14:textFill>
                  <w14:solidFill>
                    <w14:schemeClr w14:val="tx1"/>
                  </w14:solidFill>
                </w14:textFill>
              </w:rPr>
            </w:pPr>
            <w:r>
              <w:rPr>
                <w:rFonts w:hint="eastAsia" w:ascii="华文仿宋" w:hAnsi="华文仿宋" w:eastAsia="华文仿宋" w:cs="华文仿宋"/>
                <w:color w:val="000000" w:themeColor="text1"/>
                <w:sz w:val="24"/>
                <w:szCs w:val="24"/>
                <w:shd w:val="clear" w:color="auto" w:fill="auto"/>
                <w:lang w:val="en-US" w:eastAsia="zh-CN"/>
                <w14:textFill>
                  <w14:solidFill>
                    <w14:schemeClr w14:val="tx1"/>
                  </w14:solidFill>
                </w14:textFill>
              </w:rPr>
              <w:t>研究能力</w:t>
            </w:r>
          </w:p>
        </w:tc>
        <w:tc>
          <w:tcPr>
            <w:tcW w:w="653" w:type="dxa"/>
            <w:noWrap w:val="0"/>
            <w:vAlign w:val="center"/>
          </w:tcPr>
          <w:p w14:paraId="1586B4F5">
            <w:pPr>
              <w:adjustRightInd w:val="0"/>
              <w:snapToGrid w:val="0"/>
              <w:spacing w:line="240" w:lineRule="auto"/>
              <w:jc w:val="left"/>
              <w:rPr>
                <w:rFonts w:hint="eastAsia" w:ascii="华文仿宋" w:hAnsi="华文仿宋" w:eastAsia="华文仿宋" w:cs="华文仿宋"/>
                <w:color w:val="000000" w:themeColor="text1"/>
                <w:sz w:val="24"/>
                <w:szCs w:val="24"/>
                <w:shd w:val="clear" w:color="auto" w:fill="auto"/>
                <w:lang w:val="en-US" w:eastAsia="zh-CN"/>
                <w14:textFill>
                  <w14:solidFill>
                    <w14:schemeClr w14:val="tx1"/>
                  </w14:solidFill>
                </w14:textFill>
              </w:rPr>
            </w:pPr>
            <w:r>
              <w:rPr>
                <w:rFonts w:hint="eastAsia" w:ascii="华文仿宋" w:hAnsi="华文仿宋" w:eastAsia="华文仿宋" w:cs="华文仿宋"/>
                <w:color w:val="000000" w:themeColor="text1"/>
                <w:sz w:val="24"/>
                <w:szCs w:val="24"/>
                <w:shd w:val="clear" w:color="auto" w:fill="auto"/>
                <w:lang w:val="en-US" w:eastAsia="zh-CN"/>
                <w14:textFill>
                  <w14:solidFill>
                    <w14:schemeClr w14:val="tx1"/>
                  </w14:solidFill>
                </w14:textFill>
              </w:rPr>
              <w:t>17分</w:t>
            </w:r>
          </w:p>
        </w:tc>
        <w:tc>
          <w:tcPr>
            <w:tcW w:w="6861" w:type="dxa"/>
            <w:noWrap w:val="0"/>
            <w:vAlign w:val="center"/>
          </w:tcPr>
          <w:p w14:paraId="0B483241">
            <w:pPr>
              <w:keepNext w:val="0"/>
              <w:keepLines w:val="0"/>
              <w:pageBreakBefore w:val="0"/>
              <w:widowControl w:val="0"/>
              <w:kinsoku/>
              <w:wordWrap/>
              <w:overflowPunct/>
              <w:topLinePunct w:val="0"/>
              <w:autoSpaceDE/>
              <w:autoSpaceDN/>
              <w:bidi w:val="0"/>
              <w:adjustRightInd w:val="0"/>
              <w:snapToGrid/>
              <w:spacing w:line="360" w:lineRule="exact"/>
              <w:textAlignment w:val="baseline"/>
              <w:outlineLvl w:val="9"/>
              <w:rPr>
                <w:rFonts w:hint="eastAsia" w:ascii="华文仿宋" w:hAnsi="华文仿宋" w:eastAsia="华文仿宋" w:cs="华文仿宋"/>
                <w:color w:val="000000" w:themeColor="text1"/>
                <w:kern w:val="2"/>
                <w:sz w:val="24"/>
                <w:szCs w:val="24"/>
                <w:shd w:val="clear" w:color="auto" w:fill="auto"/>
                <w:lang w:val="en-US" w:eastAsia="zh-CN" w:bidi="ar-SA"/>
                <w14:textFill>
                  <w14:solidFill>
                    <w14:schemeClr w14:val="tx1"/>
                  </w14:solidFill>
                </w14:textFill>
              </w:rPr>
            </w:pPr>
            <w:r>
              <w:rPr>
                <w:rFonts w:hint="eastAsia" w:ascii="华文仿宋" w:hAnsi="华文仿宋" w:eastAsia="华文仿宋" w:cs="华文仿宋"/>
                <w:color w:val="000000" w:themeColor="text1"/>
                <w:kern w:val="2"/>
                <w:sz w:val="24"/>
                <w:szCs w:val="24"/>
                <w:shd w:val="clear" w:color="auto" w:fill="auto"/>
                <w:lang w:val="en-US" w:eastAsia="zh-CN" w:bidi="ar-SA"/>
                <w14:textFill>
                  <w14:solidFill>
                    <w14:schemeClr w14:val="tx1"/>
                  </w14:solidFill>
                </w14:textFill>
              </w:rPr>
              <w:t>拟投入本项目人员：1.项目负责人在招标投标相关行业从业20年以上（注：提供证明材料）或者具备法律从业资格A证且具有涉围标串标案件（行政、民事、刑事）辩护人经历得3分（注：提供律师证、案件辨护承揽合同）；担任过省级相关研究课题负责人或获得省级课题研究成果奖得4分（注：提供证明材料或获奖证明）；2.项目成员每提供1名具有工程或法学或经济管理或统计等专业本科（含）及以上学历或高级职称，得2分，最高得8分（注：提供学历证明或职称证明）；3.项目成员具有工程类评标专家入库资格，提供证书复印件，每提供一个得1分，最高得2分。</w:t>
            </w:r>
          </w:p>
        </w:tc>
      </w:tr>
      <w:tr w14:paraId="0478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666" w:type="dxa"/>
            <w:noWrap w:val="0"/>
            <w:vAlign w:val="center"/>
          </w:tcPr>
          <w:p w14:paraId="3F636E88">
            <w:pPr>
              <w:adjustRightInd w:val="0"/>
              <w:snapToGrid w:val="0"/>
              <w:spacing w:line="240" w:lineRule="auto"/>
              <w:jc w:val="center"/>
              <w:rPr>
                <w:rFonts w:hint="eastAsia" w:ascii="华文仿宋" w:hAnsi="华文仿宋" w:eastAsia="华文仿宋" w:cs="华文仿宋"/>
                <w:color w:val="000000" w:themeColor="text1"/>
                <w:sz w:val="24"/>
                <w:szCs w:val="24"/>
                <w:shd w:val="clear" w:color="auto" w:fill="auto"/>
                <w:lang w:val="en-US" w:eastAsia="zh-CN"/>
                <w14:textFill>
                  <w14:solidFill>
                    <w14:schemeClr w14:val="tx1"/>
                  </w14:solidFill>
                </w14:textFill>
              </w:rPr>
            </w:pPr>
            <w:r>
              <w:rPr>
                <w:rFonts w:hint="eastAsia" w:ascii="华文仿宋" w:hAnsi="华文仿宋" w:eastAsia="华文仿宋" w:cs="华文仿宋"/>
                <w:color w:val="000000" w:themeColor="text1"/>
                <w:sz w:val="24"/>
                <w:szCs w:val="24"/>
                <w:shd w:val="clear" w:color="auto" w:fill="auto"/>
                <w:lang w:val="en-US" w:eastAsia="zh-CN"/>
                <w14:textFill>
                  <w14:solidFill>
                    <w14:schemeClr w14:val="tx1"/>
                  </w14:solidFill>
                </w14:textFill>
              </w:rPr>
              <w:t>6</w:t>
            </w:r>
          </w:p>
        </w:tc>
        <w:tc>
          <w:tcPr>
            <w:tcW w:w="1130" w:type="dxa"/>
            <w:noWrap w:val="0"/>
            <w:vAlign w:val="center"/>
          </w:tcPr>
          <w:p w14:paraId="7BCECAE2">
            <w:pPr>
              <w:adjustRightInd w:val="0"/>
              <w:snapToGrid w:val="0"/>
              <w:spacing w:line="240" w:lineRule="auto"/>
              <w:jc w:val="left"/>
              <w:rPr>
                <w:rFonts w:hint="eastAsia" w:ascii="华文仿宋" w:hAnsi="华文仿宋" w:eastAsia="华文仿宋" w:cs="华文仿宋"/>
                <w:color w:val="000000" w:themeColor="text1"/>
                <w:sz w:val="24"/>
                <w:szCs w:val="24"/>
                <w:shd w:val="clear" w:color="auto" w:fill="auto"/>
                <w:lang w:val="en-US" w:eastAsia="zh-CN"/>
                <w14:textFill>
                  <w14:solidFill>
                    <w14:schemeClr w14:val="tx1"/>
                  </w14:solidFill>
                </w14:textFill>
              </w:rPr>
            </w:pPr>
            <w:r>
              <w:rPr>
                <w:rFonts w:hint="eastAsia" w:ascii="华文仿宋" w:hAnsi="华文仿宋" w:eastAsia="华文仿宋" w:cs="华文仿宋"/>
                <w:color w:val="000000" w:themeColor="text1"/>
                <w:sz w:val="24"/>
                <w:szCs w:val="24"/>
                <w:shd w:val="clear" w:color="auto" w:fill="auto"/>
                <w:lang w:val="en-US" w:eastAsia="zh-CN"/>
                <w14:textFill>
                  <w14:solidFill>
                    <w14:schemeClr w14:val="tx1"/>
                  </w14:solidFill>
                </w14:textFill>
              </w:rPr>
              <w:t>其他</w:t>
            </w:r>
          </w:p>
        </w:tc>
        <w:tc>
          <w:tcPr>
            <w:tcW w:w="653" w:type="dxa"/>
            <w:noWrap w:val="0"/>
            <w:vAlign w:val="center"/>
          </w:tcPr>
          <w:p w14:paraId="76A6A765">
            <w:pPr>
              <w:adjustRightInd w:val="0"/>
              <w:snapToGrid w:val="0"/>
              <w:spacing w:line="240" w:lineRule="auto"/>
              <w:jc w:val="left"/>
              <w:rPr>
                <w:rFonts w:hint="eastAsia" w:ascii="华文仿宋" w:hAnsi="华文仿宋" w:eastAsia="华文仿宋" w:cs="华文仿宋"/>
                <w:color w:val="000000" w:themeColor="text1"/>
                <w:sz w:val="24"/>
                <w:szCs w:val="24"/>
                <w:shd w:val="clear" w:color="auto" w:fill="auto"/>
                <w:lang w:val="en-US" w:eastAsia="zh-CN"/>
                <w14:textFill>
                  <w14:solidFill>
                    <w14:schemeClr w14:val="tx1"/>
                  </w14:solidFill>
                </w14:textFill>
              </w:rPr>
            </w:pPr>
            <w:r>
              <w:rPr>
                <w:rFonts w:hint="eastAsia" w:ascii="华文仿宋" w:hAnsi="华文仿宋" w:eastAsia="华文仿宋" w:cs="华文仿宋"/>
                <w:color w:val="000000" w:themeColor="text1"/>
                <w:sz w:val="24"/>
                <w:szCs w:val="24"/>
                <w:shd w:val="clear" w:color="auto" w:fill="auto"/>
                <w:lang w:val="en-US" w:eastAsia="zh-CN"/>
                <w14:textFill>
                  <w14:solidFill>
                    <w14:schemeClr w14:val="tx1"/>
                  </w14:solidFill>
                </w14:textFill>
              </w:rPr>
              <w:t>15分</w:t>
            </w:r>
          </w:p>
        </w:tc>
        <w:tc>
          <w:tcPr>
            <w:tcW w:w="6861" w:type="dxa"/>
            <w:noWrap w:val="0"/>
            <w:vAlign w:val="center"/>
          </w:tcPr>
          <w:p w14:paraId="4C5CEA1A">
            <w:pPr>
              <w:keepNext w:val="0"/>
              <w:keepLines w:val="0"/>
              <w:pageBreakBefore w:val="0"/>
              <w:widowControl w:val="0"/>
              <w:kinsoku/>
              <w:wordWrap/>
              <w:overflowPunct/>
              <w:topLinePunct w:val="0"/>
              <w:autoSpaceDE/>
              <w:autoSpaceDN/>
              <w:bidi w:val="0"/>
              <w:adjustRightInd w:val="0"/>
              <w:snapToGrid/>
              <w:spacing w:line="360" w:lineRule="exact"/>
              <w:textAlignment w:val="baseline"/>
              <w:outlineLvl w:val="9"/>
              <w:rPr>
                <w:rFonts w:hint="eastAsia" w:ascii="华文仿宋" w:hAnsi="华文仿宋" w:eastAsia="华文仿宋" w:cs="华文仿宋"/>
                <w:color w:val="000000" w:themeColor="text1"/>
                <w:kern w:val="2"/>
                <w:sz w:val="24"/>
                <w:szCs w:val="24"/>
                <w:shd w:val="clear" w:color="auto" w:fill="auto"/>
                <w:lang w:val="en-US" w:eastAsia="zh-CN" w:bidi="ar-SA"/>
                <w14:textFill>
                  <w14:solidFill>
                    <w14:schemeClr w14:val="tx1"/>
                  </w14:solidFill>
                </w14:textFill>
              </w:rPr>
            </w:pPr>
            <w:r>
              <w:rPr>
                <w:rFonts w:hint="eastAsia" w:ascii="华文仿宋" w:hAnsi="华文仿宋" w:eastAsia="华文仿宋" w:cs="华文仿宋"/>
                <w:color w:val="000000" w:themeColor="text1"/>
                <w:kern w:val="2"/>
                <w:sz w:val="24"/>
                <w:szCs w:val="24"/>
                <w:shd w:val="clear" w:color="auto" w:fill="auto"/>
                <w:lang w:val="en-US" w:eastAsia="zh-CN" w:bidi="ar-SA"/>
                <w14:textFill>
                  <w14:solidFill>
                    <w14:schemeClr w14:val="tx1"/>
                  </w14:solidFill>
                </w14:textFill>
              </w:rPr>
              <w:t>1.在招标采购或社会行业领域或得国家、政府、行业奖励的，每个奖励得2分，最高6分；2.其他可以对项目研究提供支撑的资源，如专家库、智库等，得3分（注：提供证明材料）；3.近两年内组织或参加跨省跨区域有关招标投标调研、学习会议的，组织一次得2分，最高4分，参加一次得1分，最高2分。</w:t>
            </w:r>
          </w:p>
        </w:tc>
      </w:tr>
    </w:tbl>
    <w:p w14:paraId="4620B60A">
      <w:pPr>
        <w:widowControl/>
        <w:numPr>
          <w:ilvl w:val="0"/>
          <w:numId w:val="0"/>
        </w:numPr>
        <w:spacing w:line="240" w:lineRule="auto"/>
        <w:jc w:val="left"/>
        <w:rPr>
          <w:rFonts w:hint="eastAsia" w:ascii="宋体" w:hAnsi="宋体" w:cs="宋体"/>
          <w:color w:val="000000" w:themeColor="text1"/>
          <w:sz w:val="22"/>
          <w:szCs w:val="22"/>
          <w:highlight w:val="none"/>
          <w:lang w:val="en-US" w:eastAsia="zh-CN"/>
          <w14:textFill>
            <w14:solidFill>
              <w14:schemeClr w14:val="tx1"/>
            </w14:solidFill>
          </w14:textFill>
        </w:rPr>
      </w:pPr>
    </w:p>
    <w:p w14:paraId="026B3DF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注：</w:t>
      </w:r>
      <w:bookmarkStart w:id="195" w:name="_Hlk76663153"/>
      <w:bookmarkStart w:id="196" w:name="_Hlk70090627"/>
      <w:r>
        <w:rPr>
          <w:rFonts w:hint="eastAsia" w:ascii="Times New Roman" w:hAnsi="Times New Roman" w:cs="Times New Roman"/>
          <w:bCs/>
          <w:color w:val="000000" w:themeColor="text1"/>
          <w:highlight w:val="none"/>
          <w:shd w:val="clear" w:color="auto" w:fill="auto"/>
          <w14:textFill>
            <w14:solidFill>
              <w14:schemeClr w14:val="tx1"/>
            </w14:solidFill>
          </w14:textFill>
        </w:rPr>
        <w:t>1.评分的取值按四舍五入法，保留小数点后两位。</w:t>
      </w:r>
    </w:p>
    <w:p w14:paraId="28CF81E2">
      <w:pPr>
        <w:ind w:firstLine="960" w:firstLineChars="4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2.国家强制标准（要求）不作为评分项。</w:t>
      </w:r>
    </w:p>
    <w:p w14:paraId="33E839A3">
      <w:pPr>
        <w:ind w:firstLine="960" w:firstLineChars="4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3.供应商提供虚假材料的，按相关法律法规规定处理。</w:t>
      </w:r>
    </w:p>
    <w:bookmarkEnd w:id="195"/>
    <w:bookmarkEnd w:id="196"/>
    <w:p w14:paraId="7BEEBC8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40A43605">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97" w:name="_Toc69936310"/>
      <w:bookmarkStart w:id="198" w:name="_Toc63423318"/>
      <w:bookmarkStart w:id="199" w:name="_Toc80303158"/>
      <w:bookmarkStart w:id="200" w:name="_Toc77273131"/>
      <w:bookmarkStart w:id="201" w:name="_Toc69651278"/>
      <w:r>
        <w:rPr>
          <w:rFonts w:ascii="Times New Roman" w:hAnsi="Times New Roman" w:cs="Times New Roman"/>
          <w:b/>
          <w:color w:val="000000" w:themeColor="text1"/>
          <w:highlight w:val="none"/>
          <w:shd w:val="clear" w:color="auto" w:fill="auto"/>
          <w14:textFill>
            <w14:solidFill>
              <w14:schemeClr w14:val="tx1"/>
            </w14:solidFill>
          </w14:textFill>
        </w:rPr>
        <w:t>四、磋商小组应承担的义务</w:t>
      </w:r>
      <w:bookmarkEnd w:id="197"/>
      <w:bookmarkEnd w:id="198"/>
      <w:bookmarkEnd w:id="199"/>
      <w:bookmarkEnd w:id="200"/>
      <w:bookmarkEnd w:id="201"/>
    </w:p>
    <w:p w14:paraId="1CACDD6A">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磋商小组在政府采购活动中承担以下义务：</w:t>
      </w:r>
    </w:p>
    <w:p w14:paraId="0ECEC29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（1）遵守评审工作纪律。</w:t>
      </w:r>
    </w:p>
    <w:p w14:paraId="49A8832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（2）按照客观、公正、审慎的原则，根据磋商文件规定的评审程序、评审方法和评审标准进行独立评审。</w:t>
      </w:r>
    </w:p>
    <w:p w14:paraId="571FDA3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（3）不得泄露评审文件、评审情况和在评审过程中获悉的商业秘密。</w:t>
      </w:r>
    </w:p>
    <w:p w14:paraId="003F263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（4）及时向财政部门报告评审过程中发现的采购人向评审专家做倾向性、误导性的解释或者说明，以及供应商行贿、提供虚假材料或者串通等违法行为。</w:t>
      </w:r>
    </w:p>
    <w:p w14:paraId="55507E2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（5）发现磋商文件内容违反国家有关强制性规定或者磋商文件存在歧义、重大缺陷导致评审工作无法进行时，停止评审并向采购人说明情况。</w:t>
      </w:r>
    </w:p>
    <w:p w14:paraId="4740947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（6）及时向财政、监察等部门举报在评审过程中受到非法干预的情况。</w:t>
      </w:r>
    </w:p>
    <w:p w14:paraId="6FE8CFF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（7）配合答复处理供应商的询问、质疑和投诉等事项。</w:t>
      </w:r>
    </w:p>
    <w:p w14:paraId="44C6AAA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（8）法律、法规和规章规定的其他义务。</w:t>
      </w:r>
    </w:p>
    <w:p w14:paraId="73E16CA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54CD0E63">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202" w:name="_Toc80303159"/>
      <w:bookmarkStart w:id="203" w:name="_Toc69936311"/>
      <w:bookmarkStart w:id="204" w:name="_Toc77273132"/>
      <w:bookmarkStart w:id="205" w:name="_Toc69651279"/>
    </w:p>
    <w:p w14:paraId="0C78E92B">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p>
    <w:p w14:paraId="683EC21E">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五、磋商小组应当遵守的工作纪律</w:t>
      </w:r>
      <w:bookmarkEnd w:id="202"/>
      <w:bookmarkEnd w:id="203"/>
      <w:bookmarkEnd w:id="204"/>
      <w:bookmarkEnd w:id="205"/>
    </w:p>
    <w:p w14:paraId="2E1ACCB6">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磋商小组在政府采购活动中遵守以下工作纪律：</w:t>
      </w:r>
    </w:p>
    <w:p w14:paraId="066AFD3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（1）不得参加与自己有《中华人民共和国政府采购法实施条例》第九条规定的利害关系的政府采购项目的评审活动。发现参加了与自己有利害关系的评审活动，应当主动提出回避，退出评审。</w:t>
      </w:r>
    </w:p>
    <w:p w14:paraId="56F605F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（2）评审前，应当将通讯工具或者相关电子设备交由省中心统一保管。</w:t>
      </w:r>
    </w:p>
    <w:p w14:paraId="43AC8ED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（3）评审过程中，不得与外界联系，因发生不可预见情况，确实需要与外界联系的，应当在监督人员监督之下办理。</w:t>
      </w:r>
    </w:p>
    <w:p w14:paraId="78FCD0F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确认。</w:t>
      </w:r>
    </w:p>
    <w:p w14:paraId="4EBF736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（5）在评审过程中和评审结束后，不得记录、复制或带走任何评审资料，不得向外界透露评审内容。</w:t>
      </w:r>
    </w:p>
    <w:p w14:paraId="296A6EB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（6）在评审现场服从省中心工作人员的管理，接受现场监督人员的合法监督。</w:t>
      </w:r>
    </w:p>
    <w:p w14:paraId="2C1C9FA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（7）遵守有关廉洁自律规定，不得私下接触供应商，不得收受供应商及有关业务单位和个人的财物或好处。</w:t>
      </w:r>
      <w:r>
        <w:rPr>
          <w:rFonts w:ascii="Times New Roman" w:hAnsi="Times New Roman" w:cs="Times New Roman"/>
          <w:bCs/>
          <w:color w:val="000000" w:themeColor="text1"/>
          <w:highlight w:val="none"/>
          <w:shd w:val="clear" w:color="auto" w:fill="auto"/>
          <w14:textFill>
            <w14:solidFill>
              <w14:schemeClr w14:val="tx1"/>
            </w14:solidFill>
          </w14:textFill>
        </w:rPr>
        <w:br w:type="page"/>
      </w:r>
    </w:p>
    <w:p w14:paraId="38EBA55D">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206" w:name="_Toc80303160"/>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十</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政府采购合同</w:t>
      </w:r>
      <w:bookmarkStart w:id="207" w:name="_Hlk64540225"/>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（草案</w:t>
      </w:r>
      <w:bookmarkEnd w:id="207"/>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w:t>
      </w:r>
      <w:bookmarkEnd w:id="206"/>
    </w:p>
    <w:p w14:paraId="4D60349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208" w:name="_Hlk77843196"/>
      <w:bookmarkStart w:id="209" w:name="_Hlk77843165"/>
    </w:p>
    <w:p w14:paraId="6EFC5A5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（依据采购人在申报书中的选择自动获取对应合同）</w:t>
      </w:r>
    </w:p>
    <w:p w14:paraId="69688F9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210" w:name="_Hlk80293067"/>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说明：</w:t>
      </w:r>
      <w:r>
        <w:rPr>
          <w:rFonts w:hint="eastAsia" w:ascii="Times New Roman" w:hAnsi="Times New Roman" w:cs="Times New Roman"/>
          <w:bCs/>
          <w:color w:val="000000" w:themeColor="text1"/>
          <w:highlight w:val="none"/>
          <w:shd w:val="clear" w:color="auto" w:fill="auto"/>
          <w14:textFill>
            <w14:solidFill>
              <w14:schemeClr w14:val="tx1"/>
            </w14:solidFill>
          </w14:textFill>
        </w:rPr>
        <w:t>本合同由采购人和供应商根据</w:t>
      </w:r>
      <w:r>
        <w:rPr>
          <w:rFonts w:ascii="Times New Roman" w:hAnsi="Times New Roman" w:cs="Times New Roman"/>
          <w:bCs/>
          <w:color w:val="000000" w:themeColor="text1"/>
          <w:highlight w:val="none"/>
          <w:shd w:val="clear" w:color="auto" w:fill="auto"/>
          <w14:textFill>
            <w14:solidFill>
              <w14:schemeClr w14:val="tx1"/>
            </w14:solidFill>
          </w14:textFill>
        </w:rPr>
        <w:t>《中华人民共和国民法典》及《政府采购需求管理办法》（财库〔2021〕22号）等相关规定</w:t>
      </w:r>
      <w:r>
        <w:rPr>
          <w:rFonts w:hint="eastAsia" w:ascii="Times New Roman" w:hAnsi="Times New Roman" w:cs="Times New Roman"/>
          <w:bCs/>
          <w:color w:val="000000" w:themeColor="text1"/>
          <w:highlight w:val="none"/>
          <w:shd w:val="clear" w:color="auto" w:fill="auto"/>
          <w14:textFill>
            <w14:solidFill>
              <w14:schemeClr w14:val="tx1"/>
            </w14:solidFill>
          </w14:textFill>
        </w:rPr>
        <w:t>，按照采购文件的要求和响应文件的响应科学合理签订）</w:t>
      </w:r>
    </w:p>
    <w:bookmarkEnd w:id="210"/>
    <w:p w14:paraId="53D927BD">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（服务类）</w:t>
      </w:r>
    </w:p>
    <w:p w14:paraId="67CD4D1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合同编号：XXX</w:t>
      </w:r>
    </w:p>
    <w:p w14:paraId="63A1680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签订地点：XXX</w:t>
      </w:r>
    </w:p>
    <w:p w14:paraId="00ECEC9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签订时间：XXXX年XX月XX日</w:t>
      </w:r>
    </w:p>
    <w:p w14:paraId="7799B64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采购人（甲方）：XXX</w:t>
      </w:r>
    </w:p>
    <w:p w14:paraId="761335B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供应商（乙方）：XXX</w:t>
      </w:r>
    </w:p>
    <w:p w14:paraId="42FA0EF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32F34C1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根据《中华人民共和国政府采购法》、《中华人民共和国民法典》及XXX采购项目（项目编号：XXX）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14:paraId="74CE3D6B">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一、项目基本情况</w:t>
      </w:r>
    </w:p>
    <w:p w14:paraId="52958F7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XXX。</w:t>
      </w:r>
    </w:p>
    <w:p w14:paraId="2241CEB8">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二、合同期限</w:t>
      </w:r>
    </w:p>
    <w:p w14:paraId="2E0DEC3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XXX。</w:t>
      </w:r>
    </w:p>
    <w:p w14:paraId="4C2DED7B">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三、服务内容与质量标准</w:t>
      </w:r>
    </w:p>
    <w:p w14:paraId="4CC72A3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1.XXX；</w:t>
      </w:r>
    </w:p>
    <w:p w14:paraId="10D85F8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2.XXX；</w:t>
      </w:r>
    </w:p>
    <w:p w14:paraId="464CD40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3.XXX；</w:t>
      </w:r>
    </w:p>
    <w:p w14:paraId="0D41FE6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p>
    <w:p w14:paraId="410EF9FB">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四、服务费用及支付方式</w:t>
      </w:r>
    </w:p>
    <w:p w14:paraId="6906F03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本项目服务费用由以下组成：</w:t>
      </w:r>
    </w:p>
    <w:p w14:paraId="42BB7618">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1.XX万元；</w:t>
      </w:r>
    </w:p>
    <w:p w14:paraId="1C76023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2.XX万元；</w:t>
      </w:r>
    </w:p>
    <w:p w14:paraId="3974FFE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3.XX万元。</w:t>
      </w:r>
    </w:p>
    <w:p w14:paraId="57EF669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p>
    <w:p w14:paraId="32404BE3">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五、服务费支付方式</w:t>
      </w:r>
    </w:p>
    <w:p w14:paraId="7FD8717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XXX。</w:t>
      </w:r>
    </w:p>
    <w:p w14:paraId="680D7936">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六、知识产权</w:t>
      </w:r>
    </w:p>
    <w:p w14:paraId="4C50E09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乙方应保证所提供的服务或其任何一部分均不会侵犯任何第三方的专利权、商标权或著作权。</w:t>
      </w:r>
    </w:p>
    <w:p w14:paraId="068CCA05">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七、无产权瑕疵条款</w:t>
      </w:r>
    </w:p>
    <w:p w14:paraId="36291C8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乙方保证所提供的服务的所有权完全属于乙方且无任何抵押、查封等产权瑕疵。如有产权瑕疵的，视为乙方违约。乙方应负担由此而产生的一切损失。</w:t>
      </w:r>
    </w:p>
    <w:p w14:paraId="4870F9A6">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八、甲方的权利和义务</w:t>
      </w:r>
    </w:p>
    <w:p w14:paraId="43F796C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1.甲方有权对合同规定范围内乙方的服务行为进行监督和检查，拥有监管权。有权定期核对乙方提供服务所配备的人员数量。对甲方认为不合理的部分有权下达整改通知书，并要求乙方限期整改。</w:t>
      </w:r>
    </w:p>
    <w:p w14:paraId="0391704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2.负责检查监督乙方管理工作的实施及制度的执行情况。</w:t>
      </w:r>
    </w:p>
    <w:p w14:paraId="7FEA262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3.根据本合同规定，按时向乙方支付应付服务费用。</w:t>
      </w:r>
    </w:p>
    <w:p w14:paraId="645896B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4.国家法律、法规所规定由甲方承担的其它责任。</w:t>
      </w:r>
    </w:p>
    <w:p w14:paraId="4E6FF4A7">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九、乙方的权利和义务</w:t>
      </w:r>
    </w:p>
    <w:p w14:paraId="3C4CB32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1.对本合同规定的委托服务范围内的项目享有管理权及服务义务。</w:t>
      </w:r>
    </w:p>
    <w:p w14:paraId="067C9B4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2.根据本合同的规定向甲方收取相关服务费用，并有权在本项目管理范围内管理及合理使用。</w:t>
      </w:r>
    </w:p>
    <w:p w14:paraId="4F7BE38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3.及时向甲方通告本项目服务范围内有关服务的重大事项，及时配合处理投诉。</w:t>
      </w:r>
    </w:p>
    <w:p w14:paraId="0EFE47F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4.接受项目行业管理部门及政府有关部门的指导，接受甲方的监督。</w:t>
      </w:r>
    </w:p>
    <w:p w14:paraId="43AAAD7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5.国家法律、法规所规定由乙方承担的其它责任。</w:t>
      </w:r>
    </w:p>
    <w:p w14:paraId="340D861A">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十、违约责任</w:t>
      </w:r>
    </w:p>
    <w:p w14:paraId="1DEA051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1.甲乙双方应当遵守本合同并执行合同中的各项规定，保证本合同的正常履行。如有未尽事宜，由双方依法订立补充合同。</w:t>
      </w:r>
    </w:p>
    <w:p w14:paraId="554974B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75F2A552">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十一、不可抗力事件处理</w:t>
      </w:r>
    </w:p>
    <w:p w14:paraId="26B54EB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1.在合同有效期内，任何一方因不可抗力事件导致不能履行合同，则合同履行期可延长，其延长期与不可抗力影响期相同。</w:t>
      </w:r>
    </w:p>
    <w:p w14:paraId="29B751E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2.不可抗力事件发生后，应立即通知对方，并寄送有关权威机构出具的证明。</w:t>
      </w:r>
    </w:p>
    <w:p w14:paraId="7C399D3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3.不可抗力事件延续XX天以上，双方应通过友好协商，确定是否继续履行合同。</w:t>
      </w:r>
    </w:p>
    <w:p w14:paraId="39B1F46E">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十二、解决合同纠纷的方式</w:t>
      </w:r>
    </w:p>
    <w:p w14:paraId="45286E3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1.在执行本合同中发生的或与本合同有关的争端，双方应通过友好协商解决，经协商在XX天内不能达成协议时，应提交成都仲裁委员会仲裁。</w:t>
      </w:r>
    </w:p>
    <w:p w14:paraId="589D497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2.仲裁裁决应为最终决定，并对双方具有约束力。</w:t>
      </w:r>
    </w:p>
    <w:p w14:paraId="13D1E40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3.除另有裁决外，仲裁费应由败诉方负担。</w:t>
      </w:r>
    </w:p>
    <w:p w14:paraId="1ED6DC5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4.在仲裁期间，除正在进行仲裁部分外，合同其他部分继续执行。</w:t>
      </w:r>
    </w:p>
    <w:p w14:paraId="323AC60E">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十三、合同生效及其他</w:t>
      </w:r>
    </w:p>
    <w:p w14:paraId="0DB3FCC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1.合同经双方法定代表人</w:t>
      </w:r>
      <w:r>
        <w:rPr>
          <w:rFonts w:hint="eastAsia" w:ascii="Times New Roman" w:hAnsi="Times New Roman" w:cs="Times New Roman"/>
          <w:bCs/>
          <w:color w:val="000000" w:themeColor="text1"/>
          <w:highlight w:val="none"/>
          <w:shd w:val="clear" w:color="auto" w:fill="auto"/>
          <w14:textFill>
            <w14:solidFill>
              <w14:schemeClr w14:val="tx1"/>
            </w14:solidFill>
          </w14:textFill>
        </w:rPr>
        <w:t>/授权人</w:t>
      </w:r>
      <w:r>
        <w:rPr>
          <w:rFonts w:ascii="Times New Roman" w:hAnsi="Times New Roman" w:cs="Times New Roman"/>
          <w:bCs/>
          <w:color w:val="000000" w:themeColor="text1"/>
          <w:highlight w:val="none"/>
          <w:shd w:val="clear" w:color="auto" w:fill="auto"/>
          <w14:textFill>
            <w14:solidFill>
              <w14:schemeClr w14:val="tx1"/>
            </w14:solidFill>
          </w14:textFill>
        </w:rPr>
        <w:t>或授权</w:t>
      </w:r>
      <w:r>
        <w:rPr>
          <w:rFonts w:hint="eastAsia" w:ascii="Times New Roman" w:hAnsi="Times New Roman" w:cs="Times New Roman"/>
          <w:bCs/>
          <w:color w:val="000000" w:themeColor="text1"/>
          <w:highlight w:val="none"/>
          <w:shd w:val="clear" w:color="auto" w:fill="auto"/>
          <w14:textFill>
            <w14:solidFill>
              <w14:schemeClr w14:val="tx1"/>
            </w14:solidFill>
          </w14:textFill>
        </w:rPr>
        <w:t>代表</w:t>
      </w:r>
      <w:r>
        <w:rPr>
          <w:rFonts w:ascii="Times New Roman" w:hAnsi="Times New Roman" w:cs="Times New Roman"/>
          <w:bCs/>
          <w:color w:val="000000" w:themeColor="text1"/>
          <w:highlight w:val="none"/>
          <w:shd w:val="clear" w:color="auto" w:fill="auto"/>
          <w14:textFill>
            <w14:solidFill>
              <w14:schemeClr w14:val="tx1"/>
            </w14:solidFill>
          </w14:textFill>
        </w:rPr>
        <w:t>签字并加盖单位公章后生效。</w:t>
      </w:r>
    </w:p>
    <w:p w14:paraId="2FE52F0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2.合同执行中涉及采购资金和采购内容修改或补充的，应当经政府采购监管部门审批，并签书面补充协议报政府采购监督管理部门备案，方可作为主合同不可分割的一部分。</w:t>
      </w:r>
    </w:p>
    <w:p w14:paraId="2CA140C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3.本合同一式XX份，自双方签章之日起起效。甲方XX份，乙方XX份，同级财政部门备案XX份，具有同等法律效力。</w:t>
      </w:r>
    </w:p>
    <w:p w14:paraId="7A432ED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附件</w:t>
      </w:r>
    </w:p>
    <w:p w14:paraId="03B207F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1、项目磋商文件</w:t>
      </w:r>
    </w:p>
    <w:p w14:paraId="50F3874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2、项目修改澄清文件</w:t>
      </w:r>
    </w:p>
    <w:p w14:paraId="326738C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3、项目响应文件</w:t>
      </w:r>
    </w:p>
    <w:p w14:paraId="2F2EC24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4、成交通知书</w:t>
      </w:r>
    </w:p>
    <w:p w14:paraId="16513DC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5、其他</w:t>
      </w:r>
    </w:p>
    <w:p w14:paraId="5A16D2E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15B2A4D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4"/>
      </w:tblGrid>
      <w:tr w14:paraId="30866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7" w:hRule="atLeast"/>
        </w:trPr>
        <w:tc>
          <w:tcPr>
            <w:tcW w:w="2500" w:type="pct"/>
          </w:tcPr>
          <w:p w14:paraId="2846CD81">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甲方：</w:t>
            </w:r>
          </w:p>
          <w:p w14:paraId="23C14E8C">
            <w:pPr>
              <w:rPr>
                <w:rFonts w:ascii="Times New Roman" w:hAnsi="Times New Roman" w:cs="Times New Roman"/>
                <w:bCs/>
                <w:color w:val="000000" w:themeColor="text1"/>
                <w:highlight w:val="none"/>
                <w:shd w:val="clear" w:color="auto" w:fill="auto"/>
                <w14:textFill>
                  <w14:solidFill>
                    <w14:schemeClr w14:val="tx1"/>
                  </w14:solidFill>
                </w14:textFill>
              </w:rPr>
            </w:pPr>
          </w:p>
          <w:p w14:paraId="78533482">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（公章）</w:t>
            </w:r>
          </w:p>
        </w:tc>
        <w:tc>
          <w:tcPr>
            <w:tcW w:w="2500" w:type="pct"/>
          </w:tcPr>
          <w:p w14:paraId="2264E194">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乙方：</w:t>
            </w:r>
          </w:p>
          <w:p w14:paraId="6025DC3F">
            <w:pPr>
              <w:rPr>
                <w:rFonts w:ascii="Times New Roman" w:hAnsi="Times New Roman" w:cs="Times New Roman"/>
                <w:bCs/>
                <w:color w:val="000000" w:themeColor="text1"/>
                <w:highlight w:val="none"/>
                <w:shd w:val="clear" w:color="auto" w:fill="auto"/>
                <w14:textFill>
                  <w14:solidFill>
                    <w14:schemeClr w14:val="tx1"/>
                  </w14:solidFill>
                </w14:textFill>
              </w:rPr>
            </w:pPr>
          </w:p>
          <w:p w14:paraId="055706D2">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（公章）</w:t>
            </w:r>
          </w:p>
        </w:tc>
      </w:tr>
      <w:tr w14:paraId="3BB77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2290233C">
            <w:pP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法定代表人</w:t>
            </w:r>
            <w:r>
              <w:rPr>
                <w:rFonts w:hint="eastAsia" w:ascii="Times New Roman" w:hAnsi="Times New Roman" w:cs="Times New Roman"/>
                <w:color w:val="000000" w:themeColor="text1"/>
                <w:szCs w:val="24"/>
                <w:highlight w:val="none"/>
                <w:shd w:val="clear" w:color="auto" w:fill="auto"/>
                <w14:textFill>
                  <w14:solidFill>
                    <w14:schemeClr w14:val="tx1"/>
                  </w14:solidFill>
                </w14:textFill>
              </w:rPr>
              <w:t>/负责人</w:t>
            </w:r>
            <w:r>
              <w:rPr>
                <w:rFonts w:ascii="Times New Roman" w:hAnsi="Times New Roman" w:cs="Times New Roman"/>
                <w:color w:val="000000" w:themeColor="text1"/>
                <w:szCs w:val="24"/>
                <w:highlight w:val="none"/>
                <w:shd w:val="clear" w:color="auto" w:fill="auto"/>
                <w14:textFill>
                  <w14:solidFill>
                    <w14:schemeClr w14:val="tx1"/>
                  </w14:solidFill>
                </w14:textFill>
              </w:rPr>
              <w:t>或其委托代理人：</w:t>
            </w:r>
          </w:p>
          <w:p w14:paraId="25F3E670">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（签字）</w:t>
            </w:r>
          </w:p>
        </w:tc>
        <w:tc>
          <w:tcPr>
            <w:tcW w:w="2500" w:type="pct"/>
          </w:tcPr>
          <w:p w14:paraId="1CDF0618">
            <w:pP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法定代表人</w:t>
            </w:r>
            <w:r>
              <w:rPr>
                <w:rFonts w:hint="eastAsia" w:ascii="Times New Roman" w:hAnsi="Times New Roman" w:cs="Times New Roman"/>
                <w:color w:val="000000" w:themeColor="text1"/>
                <w:szCs w:val="24"/>
                <w:highlight w:val="none"/>
                <w:shd w:val="clear" w:color="auto" w:fill="auto"/>
                <w14:textFill>
                  <w14:solidFill>
                    <w14:schemeClr w14:val="tx1"/>
                  </w14:solidFill>
                </w14:textFill>
              </w:rPr>
              <w:t>/负责人</w:t>
            </w:r>
            <w:r>
              <w:rPr>
                <w:rFonts w:ascii="Times New Roman" w:hAnsi="Times New Roman" w:cs="Times New Roman"/>
                <w:color w:val="000000" w:themeColor="text1"/>
                <w:szCs w:val="24"/>
                <w:highlight w:val="none"/>
                <w:shd w:val="clear" w:color="auto" w:fill="auto"/>
                <w14:textFill>
                  <w14:solidFill>
                    <w14:schemeClr w14:val="tx1"/>
                  </w14:solidFill>
                </w14:textFill>
              </w:rPr>
              <w:t>或其委托代理人：</w:t>
            </w:r>
          </w:p>
          <w:p w14:paraId="4C37EDB3">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（签字）</w:t>
            </w:r>
          </w:p>
        </w:tc>
      </w:tr>
      <w:tr w14:paraId="01BAD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3CC4323F">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统一社会信用代码编号：</w:t>
            </w:r>
          </w:p>
        </w:tc>
        <w:tc>
          <w:tcPr>
            <w:tcW w:w="2500" w:type="pct"/>
          </w:tcPr>
          <w:p w14:paraId="436C766A">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统一社会信用代码编号：</w:t>
            </w:r>
          </w:p>
        </w:tc>
      </w:tr>
      <w:tr w14:paraId="08C60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4EDF61C1">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邮政编码：</w:t>
            </w:r>
          </w:p>
        </w:tc>
        <w:tc>
          <w:tcPr>
            <w:tcW w:w="2500" w:type="pct"/>
          </w:tcPr>
          <w:p w14:paraId="504E55EE">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邮政编码：</w:t>
            </w:r>
          </w:p>
        </w:tc>
      </w:tr>
      <w:tr w14:paraId="0D472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477B8C70">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法定代表人姓名：</w:t>
            </w:r>
          </w:p>
        </w:tc>
        <w:tc>
          <w:tcPr>
            <w:tcW w:w="2500" w:type="pct"/>
          </w:tcPr>
          <w:p w14:paraId="06073A78">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法定代表人姓名：</w:t>
            </w:r>
          </w:p>
        </w:tc>
      </w:tr>
      <w:tr w14:paraId="3E256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0FF6FA98">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委托代理人姓名：</w:t>
            </w:r>
          </w:p>
        </w:tc>
        <w:tc>
          <w:tcPr>
            <w:tcW w:w="2500" w:type="pct"/>
          </w:tcPr>
          <w:p w14:paraId="0C985BB7">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委托代理人姓名：</w:t>
            </w:r>
          </w:p>
        </w:tc>
      </w:tr>
      <w:tr w14:paraId="758E9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06C0146C">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联系电话：</w:t>
            </w:r>
          </w:p>
        </w:tc>
        <w:tc>
          <w:tcPr>
            <w:tcW w:w="2500" w:type="pct"/>
          </w:tcPr>
          <w:p w14:paraId="06E40353">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联系电话：</w:t>
            </w:r>
          </w:p>
        </w:tc>
      </w:tr>
      <w:tr w14:paraId="75BF4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4A88AB0E">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传真：</w:t>
            </w:r>
          </w:p>
        </w:tc>
        <w:tc>
          <w:tcPr>
            <w:tcW w:w="2500" w:type="pct"/>
          </w:tcPr>
          <w:p w14:paraId="5C30E09B">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传真：</w:t>
            </w:r>
          </w:p>
        </w:tc>
      </w:tr>
      <w:tr w14:paraId="01029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38625EC3">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电子信箱：</w:t>
            </w:r>
          </w:p>
        </w:tc>
        <w:tc>
          <w:tcPr>
            <w:tcW w:w="2500" w:type="pct"/>
          </w:tcPr>
          <w:p w14:paraId="5084F958">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电子信箱：</w:t>
            </w:r>
          </w:p>
        </w:tc>
      </w:tr>
      <w:tr w14:paraId="7E093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2129C4C8">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开户银行：</w:t>
            </w:r>
          </w:p>
        </w:tc>
        <w:tc>
          <w:tcPr>
            <w:tcW w:w="2500" w:type="pct"/>
          </w:tcPr>
          <w:p w14:paraId="7E484464">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开户银行：</w:t>
            </w:r>
          </w:p>
        </w:tc>
      </w:tr>
      <w:tr w14:paraId="58424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14:paraId="5512E89A">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账号：</w:t>
            </w:r>
          </w:p>
        </w:tc>
        <w:tc>
          <w:tcPr>
            <w:tcW w:w="2500" w:type="pct"/>
          </w:tcPr>
          <w:p w14:paraId="310EEC6B">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账号：</w:t>
            </w:r>
          </w:p>
        </w:tc>
      </w:tr>
    </w:tbl>
    <w:p w14:paraId="13BE4E6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44C1985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br w:type="page"/>
      </w:r>
    </w:p>
    <w:bookmarkEnd w:id="208"/>
    <w:p w14:paraId="0B972846">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211" w:name="_Toc80303161"/>
      <w:bookmarkStart w:id="212" w:name="_Toc77272911"/>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十一</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 质疑函标准文本</w:t>
      </w:r>
      <w:bookmarkEnd w:id="211"/>
      <w:bookmarkEnd w:id="212"/>
    </w:p>
    <w:p w14:paraId="5D0A150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0DB8BFA2">
      <w:pPr>
        <w:jc w:val="center"/>
        <w:rPr>
          <w:rFonts w:ascii="Times New Roman" w:hAnsi="Times New Roman" w:cs="Times New Roman"/>
          <w:b/>
          <w:color w:val="000000" w:themeColor="text1"/>
          <w:sz w:val="28"/>
          <w:szCs w:val="24"/>
          <w:highlight w:val="none"/>
          <w:shd w:val="clear" w:color="auto" w:fill="auto"/>
          <w14:textFill>
            <w14:solidFill>
              <w14:schemeClr w14:val="tx1"/>
            </w14:solidFill>
          </w14:textFill>
        </w:rPr>
      </w:pPr>
      <w:r>
        <w:rPr>
          <w:rFonts w:ascii="Times New Roman" w:hAnsi="Times New Roman" w:cs="Times New Roman"/>
          <w:b/>
          <w:color w:val="000000" w:themeColor="text1"/>
          <w:sz w:val="28"/>
          <w:szCs w:val="24"/>
          <w:highlight w:val="none"/>
          <w:shd w:val="clear" w:color="auto" w:fill="auto"/>
          <w14:textFill>
            <w14:solidFill>
              <w14:schemeClr w14:val="tx1"/>
            </w14:solidFill>
          </w14:textFill>
        </w:rPr>
        <w:t>质疑函</w:t>
      </w:r>
    </w:p>
    <w:p w14:paraId="47DA825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33D22D05">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一、质疑供应商基本信息</w:t>
      </w:r>
    </w:p>
    <w:p w14:paraId="3DC2506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质疑供应商名称：___________________________________。</w:t>
      </w:r>
    </w:p>
    <w:p w14:paraId="4AD62F0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地址：_____________________________________________。</w:t>
      </w:r>
    </w:p>
    <w:p w14:paraId="4775557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邮编：_____________________________________________。</w:t>
      </w:r>
    </w:p>
    <w:p w14:paraId="04A619E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联系人：___________________________________________。</w:t>
      </w:r>
    </w:p>
    <w:p w14:paraId="37B040E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联系电话：_________________________________________。</w:t>
      </w:r>
    </w:p>
    <w:p w14:paraId="7D15160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法定代表人/负责人姓名：_____________________________。</w:t>
      </w:r>
    </w:p>
    <w:p w14:paraId="086B41A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法定代表人/负责人联系电话：_________________________。</w:t>
      </w:r>
    </w:p>
    <w:p w14:paraId="5E9F710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授权代表姓名：_____________________________________。</w:t>
      </w:r>
    </w:p>
    <w:p w14:paraId="7EAF329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授权代表联系电话：_________________________________。</w:t>
      </w:r>
    </w:p>
    <w:p w14:paraId="58AFC00A">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二、质疑项目基本情况</w:t>
      </w:r>
    </w:p>
    <w:p w14:paraId="6625E1A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质疑项目名称：_____________________________________。</w:t>
      </w:r>
    </w:p>
    <w:p w14:paraId="7072481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质疑项目编号：_____________________________________。</w:t>
      </w:r>
    </w:p>
    <w:p w14:paraId="05A243D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包件号：___________________________________________。</w:t>
      </w:r>
    </w:p>
    <w:p w14:paraId="4B7DFF6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采购人名称：_______________________________________。</w:t>
      </w:r>
    </w:p>
    <w:p w14:paraId="4A6D198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采购代理机构名称：_________________________________。</w:t>
      </w:r>
    </w:p>
    <w:p w14:paraId="09109D32">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采购文件获取日期：_________________________________。</w:t>
      </w:r>
    </w:p>
    <w:p w14:paraId="5E2521C8">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三、质疑事项具体内容</w:t>
      </w:r>
    </w:p>
    <w:p w14:paraId="73DBBA3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质疑事项1：_______________________________________。</w:t>
      </w:r>
    </w:p>
    <w:p w14:paraId="2617BBF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事实依据：_________________________________________。</w:t>
      </w:r>
    </w:p>
    <w:p w14:paraId="404518B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法律依据：_________________________________________。</w:t>
      </w:r>
    </w:p>
    <w:p w14:paraId="533F49F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78217E0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质疑事项2：_______________________________________。</w:t>
      </w:r>
    </w:p>
    <w:p w14:paraId="1A4910EA">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事实依据：_________________________________________。</w:t>
      </w:r>
    </w:p>
    <w:p w14:paraId="4C196D0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法律依据：_________________________________________。</w:t>
      </w:r>
    </w:p>
    <w:p w14:paraId="141DDF7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p>
    <w:p w14:paraId="4988842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p>
    <w:p w14:paraId="65F6A180">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四、与质疑事项相关的请求</w:t>
      </w:r>
    </w:p>
    <w:p w14:paraId="56A3E41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请求：_____________________________________________。</w:t>
      </w:r>
    </w:p>
    <w:p w14:paraId="282101BF">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0642EA7C">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附：</w:t>
      </w:r>
    </w:p>
    <w:p w14:paraId="13226BF4">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1.具有独立承担民事责任能力的证明材料；</w:t>
      </w:r>
    </w:p>
    <w:p w14:paraId="7E4D2E2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2.法定代表人/负责人身份证明；</w:t>
      </w:r>
    </w:p>
    <w:p w14:paraId="33444955">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3.法定代表人/负责人授权书（非法定代表人/负责人办理质疑事宜的应提供）及授权代表身份证明。</w:t>
      </w:r>
    </w:p>
    <w:p w14:paraId="2B185487">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19FFF856">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46BECF2B">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供应商名称：XXX（盖章）</w:t>
      </w:r>
    </w:p>
    <w:p w14:paraId="00F2C75C">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法定代表人/负责人或授权代表（签字）：</w:t>
      </w:r>
    </w:p>
    <w:p w14:paraId="0654383D">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日期：XXXX年XX月XX日</w:t>
      </w:r>
    </w:p>
    <w:p w14:paraId="59867D09">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557E85E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14:paraId="39CE5BE0">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注：</w:t>
      </w:r>
    </w:p>
    <w:p w14:paraId="7A1EE1D3">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具有独立承担民事责任能力的证明材料”指：供应商若为企业法人的“统一社会信用代码营业执照”（未换证的为“营业执照、税务登记证、组织机构代码证”或“三证合一”的营业执照）；供应商若为事业法人的“统一社会信用代码法人登记证书”（未换证的为“事业法人登记证书、组织机构代码证”）；供应商若为其他组织的“对应主管部门颁发的准许执业证明文件或营业执照”。</w:t>
      </w:r>
    </w:p>
    <w:p w14:paraId="7CD818EE">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2.“身份证明”指：居民身份证（包括正反两面）或护照（为外籍人士的，则提供护照）或户口本。</w:t>
      </w:r>
    </w:p>
    <w:bookmarkEnd w:id="209"/>
    <w:p w14:paraId="17D34541">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sectPr>
      <w:footerReference r:id="rId6" w:type="default"/>
      <w:pgSz w:w="11906" w:h="16838"/>
      <w:pgMar w:top="1440" w:right="1134" w:bottom="1440" w:left="1701"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A2138">
    <w:pPr>
      <w:pStyle w:val="7"/>
      <w:jc w:val="center"/>
    </w:pPr>
  </w:p>
  <w:p w14:paraId="5C4D578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AA2D3">
    <w:pPr>
      <w:pStyle w:val="7"/>
      <w:jc w:val="center"/>
      <w:rPr>
        <w:sz w:val="21"/>
        <w:szCs w:val="21"/>
      </w:rPr>
    </w:pPr>
    <w:r>
      <w:rPr>
        <w:rFonts w:hint="eastAsia"/>
        <w:sz w:val="21"/>
        <w:szCs w:val="21"/>
      </w:rPr>
      <w:t>—</w:t>
    </w:r>
    <w:sdt>
      <w:sdtPr>
        <w:rPr>
          <w:sz w:val="21"/>
          <w:szCs w:val="21"/>
        </w:rPr>
        <w:id w:val="478043008"/>
        <w:docPartObj>
          <w:docPartGallery w:val="autotext"/>
        </w:docPartObj>
      </w:sdtPr>
      <w:sdtEndPr>
        <w:rPr>
          <w:sz w:val="21"/>
          <w:szCs w:val="21"/>
        </w:rPr>
      </w:sdtEndPr>
      <w:sdtContent>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50</w:t>
        </w:r>
        <w:r>
          <w:rPr>
            <w:sz w:val="21"/>
            <w:szCs w:val="21"/>
          </w:rPr>
          <w:fldChar w:fldCharType="end"/>
        </w:r>
        <w:r>
          <w:rPr>
            <w:rFonts w:hint="eastAsia"/>
            <w:sz w:val="21"/>
            <w:szCs w:val="21"/>
          </w:rPr>
          <w:t>—</w:t>
        </w:r>
      </w:sdtContent>
    </w:sdt>
  </w:p>
  <w:p w14:paraId="1F4D6B0A">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Dk4MTViODgxOWNlOTIyMGRkNjRmYjc5NGI3ZTAifQ=="/>
  </w:docVars>
  <w:rsids>
    <w:rsidRoot w:val="00E674C9"/>
    <w:rsid w:val="000010D8"/>
    <w:rsid w:val="0000241B"/>
    <w:rsid w:val="00002CC6"/>
    <w:rsid w:val="00002E02"/>
    <w:rsid w:val="00002FE3"/>
    <w:rsid w:val="000035AB"/>
    <w:rsid w:val="000051E3"/>
    <w:rsid w:val="00006307"/>
    <w:rsid w:val="00006CA4"/>
    <w:rsid w:val="0001275A"/>
    <w:rsid w:val="00015039"/>
    <w:rsid w:val="00016979"/>
    <w:rsid w:val="00016EB9"/>
    <w:rsid w:val="00016F17"/>
    <w:rsid w:val="00021B65"/>
    <w:rsid w:val="00021C65"/>
    <w:rsid w:val="00022CC1"/>
    <w:rsid w:val="0002312A"/>
    <w:rsid w:val="000248F3"/>
    <w:rsid w:val="0002584F"/>
    <w:rsid w:val="00026AAF"/>
    <w:rsid w:val="00030959"/>
    <w:rsid w:val="0003161D"/>
    <w:rsid w:val="0003233F"/>
    <w:rsid w:val="00032AC9"/>
    <w:rsid w:val="00034285"/>
    <w:rsid w:val="00034F45"/>
    <w:rsid w:val="00035F2E"/>
    <w:rsid w:val="00035FF8"/>
    <w:rsid w:val="00037524"/>
    <w:rsid w:val="00037620"/>
    <w:rsid w:val="0003774D"/>
    <w:rsid w:val="00040764"/>
    <w:rsid w:val="00040BCE"/>
    <w:rsid w:val="00041126"/>
    <w:rsid w:val="00041B65"/>
    <w:rsid w:val="00041EC4"/>
    <w:rsid w:val="00042060"/>
    <w:rsid w:val="00043275"/>
    <w:rsid w:val="00043BA5"/>
    <w:rsid w:val="000443F5"/>
    <w:rsid w:val="00046700"/>
    <w:rsid w:val="00046E7A"/>
    <w:rsid w:val="000471B3"/>
    <w:rsid w:val="00050023"/>
    <w:rsid w:val="0005196D"/>
    <w:rsid w:val="0005268A"/>
    <w:rsid w:val="0005288D"/>
    <w:rsid w:val="00053571"/>
    <w:rsid w:val="000559C4"/>
    <w:rsid w:val="00057220"/>
    <w:rsid w:val="000577AF"/>
    <w:rsid w:val="00061363"/>
    <w:rsid w:val="00061C2F"/>
    <w:rsid w:val="0006224B"/>
    <w:rsid w:val="00063493"/>
    <w:rsid w:val="000636AC"/>
    <w:rsid w:val="000653DE"/>
    <w:rsid w:val="000672DC"/>
    <w:rsid w:val="00067F8B"/>
    <w:rsid w:val="00071186"/>
    <w:rsid w:val="00071B4B"/>
    <w:rsid w:val="00074280"/>
    <w:rsid w:val="00075834"/>
    <w:rsid w:val="00076A3D"/>
    <w:rsid w:val="000771BF"/>
    <w:rsid w:val="0007770F"/>
    <w:rsid w:val="000804B2"/>
    <w:rsid w:val="00080583"/>
    <w:rsid w:val="00080892"/>
    <w:rsid w:val="00082E10"/>
    <w:rsid w:val="00082EA1"/>
    <w:rsid w:val="00083FC8"/>
    <w:rsid w:val="00084DF9"/>
    <w:rsid w:val="00085C99"/>
    <w:rsid w:val="00085D7D"/>
    <w:rsid w:val="000871B6"/>
    <w:rsid w:val="00090E70"/>
    <w:rsid w:val="000917D0"/>
    <w:rsid w:val="00093542"/>
    <w:rsid w:val="00093B13"/>
    <w:rsid w:val="00094315"/>
    <w:rsid w:val="00096119"/>
    <w:rsid w:val="000971BE"/>
    <w:rsid w:val="000A1ECD"/>
    <w:rsid w:val="000A3CAB"/>
    <w:rsid w:val="000A5421"/>
    <w:rsid w:val="000A575D"/>
    <w:rsid w:val="000A585C"/>
    <w:rsid w:val="000A6939"/>
    <w:rsid w:val="000A7A81"/>
    <w:rsid w:val="000A7B22"/>
    <w:rsid w:val="000A7F9C"/>
    <w:rsid w:val="000B2AE5"/>
    <w:rsid w:val="000B3D73"/>
    <w:rsid w:val="000B42B2"/>
    <w:rsid w:val="000B4A87"/>
    <w:rsid w:val="000C294E"/>
    <w:rsid w:val="000C2FDA"/>
    <w:rsid w:val="000C32A2"/>
    <w:rsid w:val="000C3533"/>
    <w:rsid w:val="000C47F8"/>
    <w:rsid w:val="000C5DEC"/>
    <w:rsid w:val="000C6860"/>
    <w:rsid w:val="000D187A"/>
    <w:rsid w:val="000D1BD3"/>
    <w:rsid w:val="000D26DC"/>
    <w:rsid w:val="000D56EB"/>
    <w:rsid w:val="000D619F"/>
    <w:rsid w:val="000D67C3"/>
    <w:rsid w:val="000D6CB5"/>
    <w:rsid w:val="000D72F0"/>
    <w:rsid w:val="000D743D"/>
    <w:rsid w:val="000E0059"/>
    <w:rsid w:val="000E1460"/>
    <w:rsid w:val="000E1BA0"/>
    <w:rsid w:val="000E33C1"/>
    <w:rsid w:val="000E3B4C"/>
    <w:rsid w:val="000E3F4B"/>
    <w:rsid w:val="000E48F7"/>
    <w:rsid w:val="000E5108"/>
    <w:rsid w:val="000E574E"/>
    <w:rsid w:val="000E5C37"/>
    <w:rsid w:val="000E60BD"/>
    <w:rsid w:val="000E6FFB"/>
    <w:rsid w:val="000E7FE9"/>
    <w:rsid w:val="000F04BE"/>
    <w:rsid w:val="000F2AF0"/>
    <w:rsid w:val="000F3438"/>
    <w:rsid w:val="000F3AFB"/>
    <w:rsid w:val="000F4EE5"/>
    <w:rsid w:val="000F5601"/>
    <w:rsid w:val="000F5B84"/>
    <w:rsid w:val="0010059E"/>
    <w:rsid w:val="00100E16"/>
    <w:rsid w:val="001019BD"/>
    <w:rsid w:val="00101CEB"/>
    <w:rsid w:val="00102AF3"/>
    <w:rsid w:val="00103111"/>
    <w:rsid w:val="001036CF"/>
    <w:rsid w:val="00103FA2"/>
    <w:rsid w:val="00105128"/>
    <w:rsid w:val="001057B6"/>
    <w:rsid w:val="00105C6A"/>
    <w:rsid w:val="00105D55"/>
    <w:rsid w:val="001062FF"/>
    <w:rsid w:val="00106693"/>
    <w:rsid w:val="00106E63"/>
    <w:rsid w:val="001101BB"/>
    <w:rsid w:val="00110453"/>
    <w:rsid w:val="0011079B"/>
    <w:rsid w:val="0011146C"/>
    <w:rsid w:val="00111478"/>
    <w:rsid w:val="00111931"/>
    <w:rsid w:val="00112FA6"/>
    <w:rsid w:val="00114724"/>
    <w:rsid w:val="00115EC4"/>
    <w:rsid w:val="00115F78"/>
    <w:rsid w:val="00116706"/>
    <w:rsid w:val="0011752A"/>
    <w:rsid w:val="00121C81"/>
    <w:rsid w:val="00123C9D"/>
    <w:rsid w:val="00124391"/>
    <w:rsid w:val="0012555A"/>
    <w:rsid w:val="00125810"/>
    <w:rsid w:val="00126549"/>
    <w:rsid w:val="00126A51"/>
    <w:rsid w:val="0012704D"/>
    <w:rsid w:val="00131BE4"/>
    <w:rsid w:val="00132A62"/>
    <w:rsid w:val="00132BFF"/>
    <w:rsid w:val="0013309B"/>
    <w:rsid w:val="001330A3"/>
    <w:rsid w:val="00133E8B"/>
    <w:rsid w:val="001347A7"/>
    <w:rsid w:val="00134B71"/>
    <w:rsid w:val="001363F6"/>
    <w:rsid w:val="001368CB"/>
    <w:rsid w:val="0013783D"/>
    <w:rsid w:val="001400C8"/>
    <w:rsid w:val="00141A01"/>
    <w:rsid w:val="00142336"/>
    <w:rsid w:val="001435DD"/>
    <w:rsid w:val="00144319"/>
    <w:rsid w:val="00144A6F"/>
    <w:rsid w:val="00145E05"/>
    <w:rsid w:val="00146C0B"/>
    <w:rsid w:val="0014797A"/>
    <w:rsid w:val="001503F3"/>
    <w:rsid w:val="001529DC"/>
    <w:rsid w:val="00152E9C"/>
    <w:rsid w:val="001532BD"/>
    <w:rsid w:val="00154B6F"/>
    <w:rsid w:val="0015613A"/>
    <w:rsid w:val="00157629"/>
    <w:rsid w:val="00157AEA"/>
    <w:rsid w:val="00160F61"/>
    <w:rsid w:val="00161C15"/>
    <w:rsid w:val="0016200A"/>
    <w:rsid w:val="00165317"/>
    <w:rsid w:val="001667A4"/>
    <w:rsid w:val="00167A49"/>
    <w:rsid w:val="00170606"/>
    <w:rsid w:val="00172936"/>
    <w:rsid w:val="00172A36"/>
    <w:rsid w:val="00172C9D"/>
    <w:rsid w:val="00172DB9"/>
    <w:rsid w:val="00172F5E"/>
    <w:rsid w:val="00174765"/>
    <w:rsid w:val="001762BD"/>
    <w:rsid w:val="00180133"/>
    <w:rsid w:val="0018028E"/>
    <w:rsid w:val="00181C3E"/>
    <w:rsid w:val="00182DF6"/>
    <w:rsid w:val="001838D3"/>
    <w:rsid w:val="00183A8E"/>
    <w:rsid w:val="00183D7C"/>
    <w:rsid w:val="00185275"/>
    <w:rsid w:val="0018555C"/>
    <w:rsid w:val="00185939"/>
    <w:rsid w:val="00185CC5"/>
    <w:rsid w:val="00185EAC"/>
    <w:rsid w:val="001924F5"/>
    <w:rsid w:val="001925E4"/>
    <w:rsid w:val="00192CF6"/>
    <w:rsid w:val="00192F70"/>
    <w:rsid w:val="00193265"/>
    <w:rsid w:val="001932BC"/>
    <w:rsid w:val="0019364F"/>
    <w:rsid w:val="0019365A"/>
    <w:rsid w:val="00193DC4"/>
    <w:rsid w:val="001949D7"/>
    <w:rsid w:val="00194BFA"/>
    <w:rsid w:val="001969BF"/>
    <w:rsid w:val="00196DDF"/>
    <w:rsid w:val="0019723B"/>
    <w:rsid w:val="00197AB3"/>
    <w:rsid w:val="001A0E01"/>
    <w:rsid w:val="001A2ADB"/>
    <w:rsid w:val="001A32DB"/>
    <w:rsid w:val="001A44BF"/>
    <w:rsid w:val="001A51FB"/>
    <w:rsid w:val="001A6100"/>
    <w:rsid w:val="001A6368"/>
    <w:rsid w:val="001A7CAE"/>
    <w:rsid w:val="001B1B63"/>
    <w:rsid w:val="001B2DA2"/>
    <w:rsid w:val="001B352B"/>
    <w:rsid w:val="001B36ED"/>
    <w:rsid w:val="001B4F52"/>
    <w:rsid w:val="001B65E5"/>
    <w:rsid w:val="001B68BE"/>
    <w:rsid w:val="001B6A7B"/>
    <w:rsid w:val="001B7232"/>
    <w:rsid w:val="001B769F"/>
    <w:rsid w:val="001C07B5"/>
    <w:rsid w:val="001C0A9C"/>
    <w:rsid w:val="001C26B1"/>
    <w:rsid w:val="001C3B48"/>
    <w:rsid w:val="001C3D99"/>
    <w:rsid w:val="001C434C"/>
    <w:rsid w:val="001C5B80"/>
    <w:rsid w:val="001D0EF8"/>
    <w:rsid w:val="001D1CD5"/>
    <w:rsid w:val="001D2A4C"/>
    <w:rsid w:val="001D2CA8"/>
    <w:rsid w:val="001D34BB"/>
    <w:rsid w:val="001D4DC0"/>
    <w:rsid w:val="001D4EA8"/>
    <w:rsid w:val="001D5956"/>
    <w:rsid w:val="001E0F8E"/>
    <w:rsid w:val="001E2EA0"/>
    <w:rsid w:val="001E417B"/>
    <w:rsid w:val="001E4761"/>
    <w:rsid w:val="001E515A"/>
    <w:rsid w:val="001E6664"/>
    <w:rsid w:val="001E7F2C"/>
    <w:rsid w:val="001F023F"/>
    <w:rsid w:val="001F1477"/>
    <w:rsid w:val="001F258C"/>
    <w:rsid w:val="001F5C6A"/>
    <w:rsid w:val="001F710A"/>
    <w:rsid w:val="001F7A5D"/>
    <w:rsid w:val="001F7FB4"/>
    <w:rsid w:val="002015E1"/>
    <w:rsid w:val="002057E9"/>
    <w:rsid w:val="00211565"/>
    <w:rsid w:val="00211CFD"/>
    <w:rsid w:val="00211DF1"/>
    <w:rsid w:val="00212DB6"/>
    <w:rsid w:val="0021618A"/>
    <w:rsid w:val="00221009"/>
    <w:rsid w:val="00223193"/>
    <w:rsid w:val="002252CC"/>
    <w:rsid w:val="00226947"/>
    <w:rsid w:val="00226FC6"/>
    <w:rsid w:val="00230A62"/>
    <w:rsid w:val="00230F63"/>
    <w:rsid w:val="00233CAA"/>
    <w:rsid w:val="00233D64"/>
    <w:rsid w:val="00233EE6"/>
    <w:rsid w:val="00234BC3"/>
    <w:rsid w:val="00236B3D"/>
    <w:rsid w:val="00236CFD"/>
    <w:rsid w:val="002373F0"/>
    <w:rsid w:val="00237B7B"/>
    <w:rsid w:val="002401D0"/>
    <w:rsid w:val="00240C2B"/>
    <w:rsid w:val="00241A3F"/>
    <w:rsid w:val="00242A24"/>
    <w:rsid w:val="00242FD8"/>
    <w:rsid w:val="002439DA"/>
    <w:rsid w:val="002445AB"/>
    <w:rsid w:val="002461F3"/>
    <w:rsid w:val="0024638E"/>
    <w:rsid w:val="0024710A"/>
    <w:rsid w:val="00247C2A"/>
    <w:rsid w:val="00250E24"/>
    <w:rsid w:val="00251B97"/>
    <w:rsid w:val="0025342E"/>
    <w:rsid w:val="00253467"/>
    <w:rsid w:val="002553F9"/>
    <w:rsid w:val="00255D11"/>
    <w:rsid w:val="00255FCD"/>
    <w:rsid w:val="00256A28"/>
    <w:rsid w:val="00256D82"/>
    <w:rsid w:val="0026177D"/>
    <w:rsid w:val="00265885"/>
    <w:rsid w:val="00265905"/>
    <w:rsid w:val="00266403"/>
    <w:rsid w:val="00266737"/>
    <w:rsid w:val="00266AE6"/>
    <w:rsid w:val="00267675"/>
    <w:rsid w:val="00267C59"/>
    <w:rsid w:val="002708D7"/>
    <w:rsid w:val="00271B92"/>
    <w:rsid w:val="002730C9"/>
    <w:rsid w:val="0027647C"/>
    <w:rsid w:val="00282451"/>
    <w:rsid w:val="0028284D"/>
    <w:rsid w:val="00284650"/>
    <w:rsid w:val="00287A3C"/>
    <w:rsid w:val="00287E6D"/>
    <w:rsid w:val="002914DB"/>
    <w:rsid w:val="00291AD4"/>
    <w:rsid w:val="0029320D"/>
    <w:rsid w:val="00293407"/>
    <w:rsid w:val="002934FE"/>
    <w:rsid w:val="00293997"/>
    <w:rsid w:val="00294125"/>
    <w:rsid w:val="0029519A"/>
    <w:rsid w:val="002955AC"/>
    <w:rsid w:val="00296CCF"/>
    <w:rsid w:val="002972A0"/>
    <w:rsid w:val="002A0144"/>
    <w:rsid w:val="002A0F2A"/>
    <w:rsid w:val="002A1381"/>
    <w:rsid w:val="002A195A"/>
    <w:rsid w:val="002A195E"/>
    <w:rsid w:val="002A24D3"/>
    <w:rsid w:val="002A25B9"/>
    <w:rsid w:val="002A3717"/>
    <w:rsid w:val="002A529C"/>
    <w:rsid w:val="002A61C5"/>
    <w:rsid w:val="002A64CA"/>
    <w:rsid w:val="002A6811"/>
    <w:rsid w:val="002A7470"/>
    <w:rsid w:val="002A7F90"/>
    <w:rsid w:val="002B1882"/>
    <w:rsid w:val="002B1F7C"/>
    <w:rsid w:val="002B228F"/>
    <w:rsid w:val="002B262C"/>
    <w:rsid w:val="002B68C4"/>
    <w:rsid w:val="002B6B6B"/>
    <w:rsid w:val="002B7CD6"/>
    <w:rsid w:val="002C0129"/>
    <w:rsid w:val="002C0A8D"/>
    <w:rsid w:val="002C17EF"/>
    <w:rsid w:val="002C1DA0"/>
    <w:rsid w:val="002C3FF5"/>
    <w:rsid w:val="002C4200"/>
    <w:rsid w:val="002C62D9"/>
    <w:rsid w:val="002C687A"/>
    <w:rsid w:val="002C6C95"/>
    <w:rsid w:val="002C6FC4"/>
    <w:rsid w:val="002D051A"/>
    <w:rsid w:val="002D18E0"/>
    <w:rsid w:val="002D1D86"/>
    <w:rsid w:val="002D1F25"/>
    <w:rsid w:val="002D2487"/>
    <w:rsid w:val="002D27CD"/>
    <w:rsid w:val="002D3155"/>
    <w:rsid w:val="002D418B"/>
    <w:rsid w:val="002D45DA"/>
    <w:rsid w:val="002D597F"/>
    <w:rsid w:val="002D64FB"/>
    <w:rsid w:val="002D75A3"/>
    <w:rsid w:val="002E01C9"/>
    <w:rsid w:val="002E2D15"/>
    <w:rsid w:val="002E39B4"/>
    <w:rsid w:val="002E428D"/>
    <w:rsid w:val="002E49D5"/>
    <w:rsid w:val="002E4A82"/>
    <w:rsid w:val="002E4F4C"/>
    <w:rsid w:val="002E531C"/>
    <w:rsid w:val="002E5BA1"/>
    <w:rsid w:val="002E750F"/>
    <w:rsid w:val="002E7C5B"/>
    <w:rsid w:val="002F0708"/>
    <w:rsid w:val="002F0F33"/>
    <w:rsid w:val="002F1169"/>
    <w:rsid w:val="002F157D"/>
    <w:rsid w:val="002F2780"/>
    <w:rsid w:val="002F307B"/>
    <w:rsid w:val="002F3595"/>
    <w:rsid w:val="002F35E4"/>
    <w:rsid w:val="002F3744"/>
    <w:rsid w:val="002F4506"/>
    <w:rsid w:val="002F5373"/>
    <w:rsid w:val="002F53E1"/>
    <w:rsid w:val="002F5823"/>
    <w:rsid w:val="002F5CFC"/>
    <w:rsid w:val="002F682C"/>
    <w:rsid w:val="002F7389"/>
    <w:rsid w:val="002F7443"/>
    <w:rsid w:val="002F7A5C"/>
    <w:rsid w:val="003015CE"/>
    <w:rsid w:val="0030283E"/>
    <w:rsid w:val="003034D8"/>
    <w:rsid w:val="003042E5"/>
    <w:rsid w:val="0030434D"/>
    <w:rsid w:val="003044A7"/>
    <w:rsid w:val="003047AC"/>
    <w:rsid w:val="003055C0"/>
    <w:rsid w:val="00306EA9"/>
    <w:rsid w:val="003073AC"/>
    <w:rsid w:val="00307617"/>
    <w:rsid w:val="00311AC3"/>
    <w:rsid w:val="003135C6"/>
    <w:rsid w:val="00313687"/>
    <w:rsid w:val="00314080"/>
    <w:rsid w:val="0031470F"/>
    <w:rsid w:val="003177A4"/>
    <w:rsid w:val="00320D2A"/>
    <w:rsid w:val="00320E1E"/>
    <w:rsid w:val="003211F2"/>
    <w:rsid w:val="003225EE"/>
    <w:rsid w:val="00322944"/>
    <w:rsid w:val="00323008"/>
    <w:rsid w:val="00325D58"/>
    <w:rsid w:val="00330932"/>
    <w:rsid w:val="0033106B"/>
    <w:rsid w:val="00331187"/>
    <w:rsid w:val="00331990"/>
    <w:rsid w:val="0033338C"/>
    <w:rsid w:val="00333779"/>
    <w:rsid w:val="00336E76"/>
    <w:rsid w:val="003413D7"/>
    <w:rsid w:val="00341D00"/>
    <w:rsid w:val="003424F4"/>
    <w:rsid w:val="00342E0E"/>
    <w:rsid w:val="00344A3F"/>
    <w:rsid w:val="00344D58"/>
    <w:rsid w:val="0034503A"/>
    <w:rsid w:val="0034554A"/>
    <w:rsid w:val="00345D4B"/>
    <w:rsid w:val="00345E29"/>
    <w:rsid w:val="003478A9"/>
    <w:rsid w:val="00347BA6"/>
    <w:rsid w:val="003513B1"/>
    <w:rsid w:val="0035147B"/>
    <w:rsid w:val="00354510"/>
    <w:rsid w:val="00356DDF"/>
    <w:rsid w:val="003600AB"/>
    <w:rsid w:val="00361B5B"/>
    <w:rsid w:val="00364450"/>
    <w:rsid w:val="003673C6"/>
    <w:rsid w:val="003678C8"/>
    <w:rsid w:val="00367FFE"/>
    <w:rsid w:val="0037094A"/>
    <w:rsid w:val="00372589"/>
    <w:rsid w:val="00373411"/>
    <w:rsid w:val="00375A4D"/>
    <w:rsid w:val="00375EDA"/>
    <w:rsid w:val="00375F05"/>
    <w:rsid w:val="003772E4"/>
    <w:rsid w:val="00377919"/>
    <w:rsid w:val="00377A44"/>
    <w:rsid w:val="00377F9B"/>
    <w:rsid w:val="003800C8"/>
    <w:rsid w:val="00380BB1"/>
    <w:rsid w:val="0038271D"/>
    <w:rsid w:val="00383763"/>
    <w:rsid w:val="00384207"/>
    <w:rsid w:val="003851F4"/>
    <w:rsid w:val="0038781A"/>
    <w:rsid w:val="00391F92"/>
    <w:rsid w:val="00393FAA"/>
    <w:rsid w:val="003947A1"/>
    <w:rsid w:val="00394FC3"/>
    <w:rsid w:val="0039555E"/>
    <w:rsid w:val="003A09AB"/>
    <w:rsid w:val="003A2F6A"/>
    <w:rsid w:val="003A408C"/>
    <w:rsid w:val="003A43A4"/>
    <w:rsid w:val="003A4A76"/>
    <w:rsid w:val="003A54C9"/>
    <w:rsid w:val="003A6C02"/>
    <w:rsid w:val="003A7291"/>
    <w:rsid w:val="003B0303"/>
    <w:rsid w:val="003B0B1C"/>
    <w:rsid w:val="003B0F71"/>
    <w:rsid w:val="003B0F85"/>
    <w:rsid w:val="003B13F1"/>
    <w:rsid w:val="003B2999"/>
    <w:rsid w:val="003B64FE"/>
    <w:rsid w:val="003B66E5"/>
    <w:rsid w:val="003C136F"/>
    <w:rsid w:val="003C1998"/>
    <w:rsid w:val="003C2946"/>
    <w:rsid w:val="003C3119"/>
    <w:rsid w:val="003C33B7"/>
    <w:rsid w:val="003C4880"/>
    <w:rsid w:val="003C50B9"/>
    <w:rsid w:val="003C5CBD"/>
    <w:rsid w:val="003D0530"/>
    <w:rsid w:val="003D1E02"/>
    <w:rsid w:val="003D2648"/>
    <w:rsid w:val="003D2940"/>
    <w:rsid w:val="003D2C5E"/>
    <w:rsid w:val="003E1E03"/>
    <w:rsid w:val="003E2E2C"/>
    <w:rsid w:val="003E3610"/>
    <w:rsid w:val="003E389A"/>
    <w:rsid w:val="003E3C6C"/>
    <w:rsid w:val="003E4192"/>
    <w:rsid w:val="003E4ED7"/>
    <w:rsid w:val="003E5FDD"/>
    <w:rsid w:val="003E6AAB"/>
    <w:rsid w:val="003F09F4"/>
    <w:rsid w:val="003F1480"/>
    <w:rsid w:val="003F2276"/>
    <w:rsid w:val="003F67B6"/>
    <w:rsid w:val="003F77C5"/>
    <w:rsid w:val="003F7E69"/>
    <w:rsid w:val="0040008B"/>
    <w:rsid w:val="00401991"/>
    <w:rsid w:val="00401AD4"/>
    <w:rsid w:val="00406BB0"/>
    <w:rsid w:val="004114A7"/>
    <w:rsid w:val="00412673"/>
    <w:rsid w:val="00413D9D"/>
    <w:rsid w:val="00414733"/>
    <w:rsid w:val="00414CB7"/>
    <w:rsid w:val="004169B5"/>
    <w:rsid w:val="004169FA"/>
    <w:rsid w:val="00417D30"/>
    <w:rsid w:val="004200B3"/>
    <w:rsid w:val="004230F0"/>
    <w:rsid w:val="00423996"/>
    <w:rsid w:val="00423C6A"/>
    <w:rsid w:val="00424902"/>
    <w:rsid w:val="0042583D"/>
    <w:rsid w:val="00425E01"/>
    <w:rsid w:val="0043132F"/>
    <w:rsid w:val="00433867"/>
    <w:rsid w:val="00434D2C"/>
    <w:rsid w:val="004362FC"/>
    <w:rsid w:val="00436868"/>
    <w:rsid w:val="0043741C"/>
    <w:rsid w:val="0044045A"/>
    <w:rsid w:val="00440503"/>
    <w:rsid w:val="004407CF"/>
    <w:rsid w:val="004417C6"/>
    <w:rsid w:val="00441AED"/>
    <w:rsid w:val="0044235A"/>
    <w:rsid w:val="00442EAC"/>
    <w:rsid w:val="00443901"/>
    <w:rsid w:val="00444B72"/>
    <w:rsid w:val="00444F57"/>
    <w:rsid w:val="004452C3"/>
    <w:rsid w:val="004456CD"/>
    <w:rsid w:val="00446BBF"/>
    <w:rsid w:val="00447A16"/>
    <w:rsid w:val="00450F85"/>
    <w:rsid w:val="0045328B"/>
    <w:rsid w:val="0045462C"/>
    <w:rsid w:val="0045490A"/>
    <w:rsid w:val="0045527B"/>
    <w:rsid w:val="004557D1"/>
    <w:rsid w:val="00455BA8"/>
    <w:rsid w:val="0045617F"/>
    <w:rsid w:val="0045619B"/>
    <w:rsid w:val="004568A2"/>
    <w:rsid w:val="00456B77"/>
    <w:rsid w:val="004570E3"/>
    <w:rsid w:val="0046088B"/>
    <w:rsid w:val="00461140"/>
    <w:rsid w:val="00461B87"/>
    <w:rsid w:val="0046211F"/>
    <w:rsid w:val="00462CDF"/>
    <w:rsid w:val="0046313B"/>
    <w:rsid w:val="004655EC"/>
    <w:rsid w:val="0046789F"/>
    <w:rsid w:val="00470386"/>
    <w:rsid w:val="004711A0"/>
    <w:rsid w:val="004713AA"/>
    <w:rsid w:val="004722F6"/>
    <w:rsid w:val="004726DF"/>
    <w:rsid w:val="004738BA"/>
    <w:rsid w:val="00473EC1"/>
    <w:rsid w:val="00475E99"/>
    <w:rsid w:val="00475F99"/>
    <w:rsid w:val="00475FE9"/>
    <w:rsid w:val="00477711"/>
    <w:rsid w:val="00483CD3"/>
    <w:rsid w:val="00484666"/>
    <w:rsid w:val="00484CC5"/>
    <w:rsid w:val="004866BE"/>
    <w:rsid w:val="004869CF"/>
    <w:rsid w:val="00486D37"/>
    <w:rsid w:val="00491250"/>
    <w:rsid w:val="00493778"/>
    <w:rsid w:val="0049468D"/>
    <w:rsid w:val="00495026"/>
    <w:rsid w:val="00496306"/>
    <w:rsid w:val="004969D7"/>
    <w:rsid w:val="00496F3C"/>
    <w:rsid w:val="004A1279"/>
    <w:rsid w:val="004A1A84"/>
    <w:rsid w:val="004A2172"/>
    <w:rsid w:val="004A2751"/>
    <w:rsid w:val="004A4728"/>
    <w:rsid w:val="004A4E28"/>
    <w:rsid w:val="004A6720"/>
    <w:rsid w:val="004A7365"/>
    <w:rsid w:val="004A7988"/>
    <w:rsid w:val="004B11E8"/>
    <w:rsid w:val="004B23F8"/>
    <w:rsid w:val="004B6A36"/>
    <w:rsid w:val="004B6DD8"/>
    <w:rsid w:val="004B6DF5"/>
    <w:rsid w:val="004B6FC8"/>
    <w:rsid w:val="004B7A9F"/>
    <w:rsid w:val="004C12B8"/>
    <w:rsid w:val="004C1592"/>
    <w:rsid w:val="004C276E"/>
    <w:rsid w:val="004C3699"/>
    <w:rsid w:val="004C559C"/>
    <w:rsid w:val="004D2F92"/>
    <w:rsid w:val="004D3888"/>
    <w:rsid w:val="004D3B12"/>
    <w:rsid w:val="004D6115"/>
    <w:rsid w:val="004D6A6F"/>
    <w:rsid w:val="004D7CA3"/>
    <w:rsid w:val="004E25CE"/>
    <w:rsid w:val="004E3A11"/>
    <w:rsid w:val="004E495B"/>
    <w:rsid w:val="004E62EA"/>
    <w:rsid w:val="004E6F60"/>
    <w:rsid w:val="004E7A92"/>
    <w:rsid w:val="004F0014"/>
    <w:rsid w:val="004F18F7"/>
    <w:rsid w:val="004F1CA5"/>
    <w:rsid w:val="004F1F57"/>
    <w:rsid w:val="004F28DC"/>
    <w:rsid w:val="004F4C1F"/>
    <w:rsid w:val="004F5F56"/>
    <w:rsid w:val="004F6583"/>
    <w:rsid w:val="004F7BDC"/>
    <w:rsid w:val="00500515"/>
    <w:rsid w:val="005011AC"/>
    <w:rsid w:val="00501F8B"/>
    <w:rsid w:val="00504A91"/>
    <w:rsid w:val="00505896"/>
    <w:rsid w:val="005109C6"/>
    <w:rsid w:val="005111F7"/>
    <w:rsid w:val="005112D1"/>
    <w:rsid w:val="00511E49"/>
    <w:rsid w:val="00512824"/>
    <w:rsid w:val="00513041"/>
    <w:rsid w:val="005130F0"/>
    <w:rsid w:val="00513182"/>
    <w:rsid w:val="00514905"/>
    <w:rsid w:val="005160F9"/>
    <w:rsid w:val="00516573"/>
    <w:rsid w:val="00516B39"/>
    <w:rsid w:val="005209AA"/>
    <w:rsid w:val="0052117E"/>
    <w:rsid w:val="00522C54"/>
    <w:rsid w:val="005234C7"/>
    <w:rsid w:val="005235CF"/>
    <w:rsid w:val="00523A76"/>
    <w:rsid w:val="0052418E"/>
    <w:rsid w:val="0052556A"/>
    <w:rsid w:val="00525959"/>
    <w:rsid w:val="005266AB"/>
    <w:rsid w:val="00526C15"/>
    <w:rsid w:val="005308DA"/>
    <w:rsid w:val="0053093C"/>
    <w:rsid w:val="005310DC"/>
    <w:rsid w:val="00531436"/>
    <w:rsid w:val="0053168D"/>
    <w:rsid w:val="00531A65"/>
    <w:rsid w:val="00532F78"/>
    <w:rsid w:val="005334DF"/>
    <w:rsid w:val="00533DB1"/>
    <w:rsid w:val="00534095"/>
    <w:rsid w:val="00534CC6"/>
    <w:rsid w:val="00534D5B"/>
    <w:rsid w:val="00534DC2"/>
    <w:rsid w:val="00537E93"/>
    <w:rsid w:val="00540380"/>
    <w:rsid w:val="005406F7"/>
    <w:rsid w:val="005433F0"/>
    <w:rsid w:val="00543DBF"/>
    <w:rsid w:val="005452EB"/>
    <w:rsid w:val="00545E56"/>
    <w:rsid w:val="00545F6D"/>
    <w:rsid w:val="00546AA5"/>
    <w:rsid w:val="00547897"/>
    <w:rsid w:val="005505EC"/>
    <w:rsid w:val="00551884"/>
    <w:rsid w:val="00551952"/>
    <w:rsid w:val="00551DBC"/>
    <w:rsid w:val="00551ECD"/>
    <w:rsid w:val="005521CE"/>
    <w:rsid w:val="00552732"/>
    <w:rsid w:val="00552773"/>
    <w:rsid w:val="00552853"/>
    <w:rsid w:val="00552A59"/>
    <w:rsid w:val="005541B2"/>
    <w:rsid w:val="0055467A"/>
    <w:rsid w:val="0055467E"/>
    <w:rsid w:val="00554E2C"/>
    <w:rsid w:val="00556AD6"/>
    <w:rsid w:val="00556C27"/>
    <w:rsid w:val="005574BC"/>
    <w:rsid w:val="00564A76"/>
    <w:rsid w:val="00564ECA"/>
    <w:rsid w:val="00566AD6"/>
    <w:rsid w:val="0056707A"/>
    <w:rsid w:val="005678EF"/>
    <w:rsid w:val="00567E66"/>
    <w:rsid w:val="005751BA"/>
    <w:rsid w:val="00575890"/>
    <w:rsid w:val="00575BA9"/>
    <w:rsid w:val="00575BCF"/>
    <w:rsid w:val="00575D67"/>
    <w:rsid w:val="0057681C"/>
    <w:rsid w:val="00576BF2"/>
    <w:rsid w:val="005771DD"/>
    <w:rsid w:val="005774F5"/>
    <w:rsid w:val="00577B67"/>
    <w:rsid w:val="00580A11"/>
    <w:rsid w:val="00584A99"/>
    <w:rsid w:val="00584EE5"/>
    <w:rsid w:val="005857F8"/>
    <w:rsid w:val="00586672"/>
    <w:rsid w:val="005877C9"/>
    <w:rsid w:val="0058799A"/>
    <w:rsid w:val="00590E9C"/>
    <w:rsid w:val="00591342"/>
    <w:rsid w:val="0059193B"/>
    <w:rsid w:val="005928A1"/>
    <w:rsid w:val="00592DD7"/>
    <w:rsid w:val="0059425E"/>
    <w:rsid w:val="005946EB"/>
    <w:rsid w:val="00594929"/>
    <w:rsid w:val="00594DB6"/>
    <w:rsid w:val="0059579F"/>
    <w:rsid w:val="00595EA4"/>
    <w:rsid w:val="00596A7B"/>
    <w:rsid w:val="00597ADF"/>
    <w:rsid w:val="005A00FB"/>
    <w:rsid w:val="005A03F6"/>
    <w:rsid w:val="005A1570"/>
    <w:rsid w:val="005A1B53"/>
    <w:rsid w:val="005A42EE"/>
    <w:rsid w:val="005A58A4"/>
    <w:rsid w:val="005A5F1C"/>
    <w:rsid w:val="005A7761"/>
    <w:rsid w:val="005A784B"/>
    <w:rsid w:val="005B0CA8"/>
    <w:rsid w:val="005B1191"/>
    <w:rsid w:val="005B43E2"/>
    <w:rsid w:val="005B499E"/>
    <w:rsid w:val="005B64A8"/>
    <w:rsid w:val="005B66D3"/>
    <w:rsid w:val="005B73DA"/>
    <w:rsid w:val="005C067D"/>
    <w:rsid w:val="005C22AB"/>
    <w:rsid w:val="005C3EDC"/>
    <w:rsid w:val="005C4512"/>
    <w:rsid w:val="005C6CBF"/>
    <w:rsid w:val="005C6F81"/>
    <w:rsid w:val="005C7D7E"/>
    <w:rsid w:val="005D3117"/>
    <w:rsid w:val="005D3863"/>
    <w:rsid w:val="005D3FC7"/>
    <w:rsid w:val="005D41CA"/>
    <w:rsid w:val="005D4B5B"/>
    <w:rsid w:val="005D51F3"/>
    <w:rsid w:val="005D6810"/>
    <w:rsid w:val="005D6BA6"/>
    <w:rsid w:val="005D7457"/>
    <w:rsid w:val="005D75B5"/>
    <w:rsid w:val="005D77B8"/>
    <w:rsid w:val="005E1108"/>
    <w:rsid w:val="005E2181"/>
    <w:rsid w:val="005E2D6A"/>
    <w:rsid w:val="005E3BF9"/>
    <w:rsid w:val="005E3D02"/>
    <w:rsid w:val="005E444F"/>
    <w:rsid w:val="005E48BA"/>
    <w:rsid w:val="005E5200"/>
    <w:rsid w:val="005E63E4"/>
    <w:rsid w:val="005E7106"/>
    <w:rsid w:val="005E7665"/>
    <w:rsid w:val="005E7C70"/>
    <w:rsid w:val="005E7E87"/>
    <w:rsid w:val="005E7F7C"/>
    <w:rsid w:val="005F0B11"/>
    <w:rsid w:val="005F0F8F"/>
    <w:rsid w:val="005F1728"/>
    <w:rsid w:val="005F1FFA"/>
    <w:rsid w:val="005F2A56"/>
    <w:rsid w:val="005F2CE1"/>
    <w:rsid w:val="005F469B"/>
    <w:rsid w:val="005F4986"/>
    <w:rsid w:val="005F4CFA"/>
    <w:rsid w:val="005F79F0"/>
    <w:rsid w:val="006014BB"/>
    <w:rsid w:val="0060175D"/>
    <w:rsid w:val="00602179"/>
    <w:rsid w:val="0060304E"/>
    <w:rsid w:val="0060339A"/>
    <w:rsid w:val="00604BED"/>
    <w:rsid w:val="00605758"/>
    <w:rsid w:val="006059B8"/>
    <w:rsid w:val="00605B39"/>
    <w:rsid w:val="00607ACE"/>
    <w:rsid w:val="00607D71"/>
    <w:rsid w:val="0061038E"/>
    <w:rsid w:val="00611B43"/>
    <w:rsid w:val="00611DD1"/>
    <w:rsid w:val="00613A69"/>
    <w:rsid w:val="0061474A"/>
    <w:rsid w:val="00614B8C"/>
    <w:rsid w:val="00614EBC"/>
    <w:rsid w:val="006179FC"/>
    <w:rsid w:val="00617F29"/>
    <w:rsid w:val="00620F64"/>
    <w:rsid w:val="00621822"/>
    <w:rsid w:val="006230B5"/>
    <w:rsid w:val="00623C29"/>
    <w:rsid w:val="0062627E"/>
    <w:rsid w:val="00630B7B"/>
    <w:rsid w:val="00631EBA"/>
    <w:rsid w:val="00631F1D"/>
    <w:rsid w:val="006335EF"/>
    <w:rsid w:val="006337B0"/>
    <w:rsid w:val="0063462D"/>
    <w:rsid w:val="00635BE6"/>
    <w:rsid w:val="00637AEE"/>
    <w:rsid w:val="00640498"/>
    <w:rsid w:val="00640A63"/>
    <w:rsid w:val="00641C98"/>
    <w:rsid w:val="00642C6A"/>
    <w:rsid w:val="006433A2"/>
    <w:rsid w:val="00643C46"/>
    <w:rsid w:val="0064493D"/>
    <w:rsid w:val="00645988"/>
    <w:rsid w:val="00645F5F"/>
    <w:rsid w:val="00645FC9"/>
    <w:rsid w:val="00647D50"/>
    <w:rsid w:val="00650AEB"/>
    <w:rsid w:val="00650ECB"/>
    <w:rsid w:val="006518EB"/>
    <w:rsid w:val="00651BEF"/>
    <w:rsid w:val="00652AB4"/>
    <w:rsid w:val="006539A1"/>
    <w:rsid w:val="00654636"/>
    <w:rsid w:val="00654DC2"/>
    <w:rsid w:val="00657F44"/>
    <w:rsid w:val="00660EB7"/>
    <w:rsid w:val="00661C84"/>
    <w:rsid w:val="00664882"/>
    <w:rsid w:val="00664F01"/>
    <w:rsid w:val="00667606"/>
    <w:rsid w:val="00670AEA"/>
    <w:rsid w:val="00670C85"/>
    <w:rsid w:val="00671534"/>
    <w:rsid w:val="00672024"/>
    <w:rsid w:val="006720FF"/>
    <w:rsid w:val="006725CC"/>
    <w:rsid w:val="00674476"/>
    <w:rsid w:val="006749CB"/>
    <w:rsid w:val="006751D2"/>
    <w:rsid w:val="006753B3"/>
    <w:rsid w:val="006753DD"/>
    <w:rsid w:val="006765D5"/>
    <w:rsid w:val="0067665D"/>
    <w:rsid w:val="006769C3"/>
    <w:rsid w:val="00677C40"/>
    <w:rsid w:val="00680745"/>
    <w:rsid w:val="00680849"/>
    <w:rsid w:val="00680C0B"/>
    <w:rsid w:val="00681186"/>
    <w:rsid w:val="006829C5"/>
    <w:rsid w:val="00682B62"/>
    <w:rsid w:val="006831D2"/>
    <w:rsid w:val="006835F9"/>
    <w:rsid w:val="0068397D"/>
    <w:rsid w:val="0069088F"/>
    <w:rsid w:val="00690928"/>
    <w:rsid w:val="00691786"/>
    <w:rsid w:val="00691BA5"/>
    <w:rsid w:val="00691FF0"/>
    <w:rsid w:val="006924E0"/>
    <w:rsid w:val="006931E6"/>
    <w:rsid w:val="00693AAF"/>
    <w:rsid w:val="006A09AE"/>
    <w:rsid w:val="006A137A"/>
    <w:rsid w:val="006A15A3"/>
    <w:rsid w:val="006A1E11"/>
    <w:rsid w:val="006A3EF6"/>
    <w:rsid w:val="006A4320"/>
    <w:rsid w:val="006A4960"/>
    <w:rsid w:val="006A4E3B"/>
    <w:rsid w:val="006A58AB"/>
    <w:rsid w:val="006B0669"/>
    <w:rsid w:val="006B0D86"/>
    <w:rsid w:val="006B1376"/>
    <w:rsid w:val="006B26DA"/>
    <w:rsid w:val="006B2D09"/>
    <w:rsid w:val="006B2D23"/>
    <w:rsid w:val="006B2E5A"/>
    <w:rsid w:val="006B3630"/>
    <w:rsid w:val="006B46AB"/>
    <w:rsid w:val="006B48AD"/>
    <w:rsid w:val="006B58B0"/>
    <w:rsid w:val="006B5BBD"/>
    <w:rsid w:val="006B6044"/>
    <w:rsid w:val="006C04A6"/>
    <w:rsid w:val="006C2EB9"/>
    <w:rsid w:val="006C3141"/>
    <w:rsid w:val="006C3C8A"/>
    <w:rsid w:val="006C4635"/>
    <w:rsid w:val="006C471E"/>
    <w:rsid w:val="006C4D9D"/>
    <w:rsid w:val="006C6798"/>
    <w:rsid w:val="006C7F7D"/>
    <w:rsid w:val="006D0A80"/>
    <w:rsid w:val="006D2ECF"/>
    <w:rsid w:val="006D36CA"/>
    <w:rsid w:val="006D48B4"/>
    <w:rsid w:val="006D60A8"/>
    <w:rsid w:val="006E0A53"/>
    <w:rsid w:val="006E1332"/>
    <w:rsid w:val="006E28E5"/>
    <w:rsid w:val="006E2C8D"/>
    <w:rsid w:val="006E2ECB"/>
    <w:rsid w:val="006E3320"/>
    <w:rsid w:val="006E42AF"/>
    <w:rsid w:val="006E47AE"/>
    <w:rsid w:val="006E6570"/>
    <w:rsid w:val="006E6D33"/>
    <w:rsid w:val="006E713A"/>
    <w:rsid w:val="006E73E6"/>
    <w:rsid w:val="006F2B8F"/>
    <w:rsid w:val="006F2E0D"/>
    <w:rsid w:val="006F34DA"/>
    <w:rsid w:val="006F416A"/>
    <w:rsid w:val="006F50D2"/>
    <w:rsid w:val="006F6D0E"/>
    <w:rsid w:val="007002A8"/>
    <w:rsid w:val="007008FE"/>
    <w:rsid w:val="007009C4"/>
    <w:rsid w:val="007009FF"/>
    <w:rsid w:val="00702D66"/>
    <w:rsid w:val="00703EFC"/>
    <w:rsid w:val="00704C1F"/>
    <w:rsid w:val="00705330"/>
    <w:rsid w:val="00706A00"/>
    <w:rsid w:val="00706AB2"/>
    <w:rsid w:val="00706D2F"/>
    <w:rsid w:val="0071028E"/>
    <w:rsid w:val="007110E4"/>
    <w:rsid w:val="00712FAB"/>
    <w:rsid w:val="0071379F"/>
    <w:rsid w:val="0071433C"/>
    <w:rsid w:val="007148B0"/>
    <w:rsid w:val="00716825"/>
    <w:rsid w:val="007200A1"/>
    <w:rsid w:val="007203F7"/>
    <w:rsid w:val="007209C1"/>
    <w:rsid w:val="00720C6F"/>
    <w:rsid w:val="00720F01"/>
    <w:rsid w:val="007216E5"/>
    <w:rsid w:val="00723A3E"/>
    <w:rsid w:val="0072464F"/>
    <w:rsid w:val="00725A54"/>
    <w:rsid w:val="007265B1"/>
    <w:rsid w:val="007265CB"/>
    <w:rsid w:val="007272CB"/>
    <w:rsid w:val="00727FDC"/>
    <w:rsid w:val="00731D22"/>
    <w:rsid w:val="00732481"/>
    <w:rsid w:val="00733183"/>
    <w:rsid w:val="00733239"/>
    <w:rsid w:val="00733AE7"/>
    <w:rsid w:val="00734441"/>
    <w:rsid w:val="007365DC"/>
    <w:rsid w:val="00740F35"/>
    <w:rsid w:val="00741B99"/>
    <w:rsid w:val="00744AF3"/>
    <w:rsid w:val="00745251"/>
    <w:rsid w:val="007457D9"/>
    <w:rsid w:val="00746A52"/>
    <w:rsid w:val="00746DA2"/>
    <w:rsid w:val="00747E54"/>
    <w:rsid w:val="00751445"/>
    <w:rsid w:val="0075168C"/>
    <w:rsid w:val="00752BEC"/>
    <w:rsid w:val="00752BFD"/>
    <w:rsid w:val="00753174"/>
    <w:rsid w:val="00756901"/>
    <w:rsid w:val="00757A41"/>
    <w:rsid w:val="00757E7A"/>
    <w:rsid w:val="007602FD"/>
    <w:rsid w:val="007607CD"/>
    <w:rsid w:val="00762C90"/>
    <w:rsid w:val="00764E35"/>
    <w:rsid w:val="00765BB5"/>
    <w:rsid w:val="00765BFB"/>
    <w:rsid w:val="00770EE6"/>
    <w:rsid w:val="0077121A"/>
    <w:rsid w:val="007719CC"/>
    <w:rsid w:val="0077298A"/>
    <w:rsid w:val="007729A0"/>
    <w:rsid w:val="00772AEB"/>
    <w:rsid w:val="00775940"/>
    <w:rsid w:val="007808A1"/>
    <w:rsid w:val="00780D7A"/>
    <w:rsid w:val="00781D15"/>
    <w:rsid w:val="00781EBA"/>
    <w:rsid w:val="00782182"/>
    <w:rsid w:val="00782793"/>
    <w:rsid w:val="00783B66"/>
    <w:rsid w:val="007867AD"/>
    <w:rsid w:val="00787E6E"/>
    <w:rsid w:val="00790466"/>
    <w:rsid w:val="00790D1A"/>
    <w:rsid w:val="007940E1"/>
    <w:rsid w:val="00795384"/>
    <w:rsid w:val="00795CB9"/>
    <w:rsid w:val="00796014"/>
    <w:rsid w:val="0079604B"/>
    <w:rsid w:val="00796C07"/>
    <w:rsid w:val="007A14A4"/>
    <w:rsid w:val="007A1C24"/>
    <w:rsid w:val="007A1C56"/>
    <w:rsid w:val="007A2A42"/>
    <w:rsid w:val="007A5BC6"/>
    <w:rsid w:val="007A6FA3"/>
    <w:rsid w:val="007A71D8"/>
    <w:rsid w:val="007A7603"/>
    <w:rsid w:val="007A7B38"/>
    <w:rsid w:val="007A7C5E"/>
    <w:rsid w:val="007B05E8"/>
    <w:rsid w:val="007B05F5"/>
    <w:rsid w:val="007B079B"/>
    <w:rsid w:val="007B2061"/>
    <w:rsid w:val="007B32CB"/>
    <w:rsid w:val="007B3906"/>
    <w:rsid w:val="007B4175"/>
    <w:rsid w:val="007B4346"/>
    <w:rsid w:val="007B4E7F"/>
    <w:rsid w:val="007B6FA5"/>
    <w:rsid w:val="007B6FBD"/>
    <w:rsid w:val="007B6FF2"/>
    <w:rsid w:val="007B7EEF"/>
    <w:rsid w:val="007C1D72"/>
    <w:rsid w:val="007C2339"/>
    <w:rsid w:val="007C2E99"/>
    <w:rsid w:val="007C360E"/>
    <w:rsid w:val="007C3AC5"/>
    <w:rsid w:val="007C3C4B"/>
    <w:rsid w:val="007C4DC1"/>
    <w:rsid w:val="007C51A5"/>
    <w:rsid w:val="007C521F"/>
    <w:rsid w:val="007C5A7D"/>
    <w:rsid w:val="007C5D66"/>
    <w:rsid w:val="007C657E"/>
    <w:rsid w:val="007C74F9"/>
    <w:rsid w:val="007C7A4F"/>
    <w:rsid w:val="007D1590"/>
    <w:rsid w:val="007D1AD6"/>
    <w:rsid w:val="007D295E"/>
    <w:rsid w:val="007D29C0"/>
    <w:rsid w:val="007D3BE1"/>
    <w:rsid w:val="007D403C"/>
    <w:rsid w:val="007D41C6"/>
    <w:rsid w:val="007D484B"/>
    <w:rsid w:val="007D4F52"/>
    <w:rsid w:val="007D5769"/>
    <w:rsid w:val="007D5B16"/>
    <w:rsid w:val="007E1A38"/>
    <w:rsid w:val="007E2E71"/>
    <w:rsid w:val="007E3E19"/>
    <w:rsid w:val="007E5516"/>
    <w:rsid w:val="007E5AEC"/>
    <w:rsid w:val="007E5D17"/>
    <w:rsid w:val="007E7D45"/>
    <w:rsid w:val="007F083B"/>
    <w:rsid w:val="007F0C43"/>
    <w:rsid w:val="007F3A46"/>
    <w:rsid w:val="007F5233"/>
    <w:rsid w:val="007F5A8D"/>
    <w:rsid w:val="00800ECE"/>
    <w:rsid w:val="008028D0"/>
    <w:rsid w:val="008034CB"/>
    <w:rsid w:val="0080405B"/>
    <w:rsid w:val="0080581A"/>
    <w:rsid w:val="00805B64"/>
    <w:rsid w:val="00805C7C"/>
    <w:rsid w:val="008067FF"/>
    <w:rsid w:val="00807867"/>
    <w:rsid w:val="008078C9"/>
    <w:rsid w:val="008108DF"/>
    <w:rsid w:val="00811471"/>
    <w:rsid w:val="008117E7"/>
    <w:rsid w:val="00814216"/>
    <w:rsid w:val="0081481F"/>
    <w:rsid w:val="00815B85"/>
    <w:rsid w:val="00815F2F"/>
    <w:rsid w:val="00816476"/>
    <w:rsid w:val="00816BA2"/>
    <w:rsid w:val="00816DD8"/>
    <w:rsid w:val="008208AA"/>
    <w:rsid w:val="00820FE3"/>
    <w:rsid w:val="008213A7"/>
    <w:rsid w:val="008213DA"/>
    <w:rsid w:val="0082184E"/>
    <w:rsid w:val="0082185B"/>
    <w:rsid w:val="008232B0"/>
    <w:rsid w:val="008233F8"/>
    <w:rsid w:val="00823B33"/>
    <w:rsid w:val="008257AE"/>
    <w:rsid w:val="00827C4F"/>
    <w:rsid w:val="008320C3"/>
    <w:rsid w:val="008320D5"/>
    <w:rsid w:val="00832988"/>
    <w:rsid w:val="008329B4"/>
    <w:rsid w:val="008331B3"/>
    <w:rsid w:val="00834017"/>
    <w:rsid w:val="0083498F"/>
    <w:rsid w:val="008361A4"/>
    <w:rsid w:val="00836A8E"/>
    <w:rsid w:val="00840DDB"/>
    <w:rsid w:val="00841B22"/>
    <w:rsid w:val="008436D1"/>
    <w:rsid w:val="0084472C"/>
    <w:rsid w:val="00845AEA"/>
    <w:rsid w:val="00846018"/>
    <w:rsid w:val="00847617"/>
    <w:rsid w:val="00847EAC"/>
    <w:rsid w:val="00850117"/>
    <w:rsid w:val="00851C59"/>
    <w:rsid w:val="008530FB"/>
    <w:rsid w:val="008544D9"/>
    <w:rsid w:val="00855A1A"/>
    <w:rsid w:val="008566CF"/>
    <w:rsid w:val="00860FBF"/>
    <w:rsid w:val="00863C9A"/>
    <w:rsid w:val="00865006"/>
    <w:rsid w:val="00865B7B"/>
    <w:rsid w:val="00865CA5"/>
    <w:rsid w:val="00866280"/>
    <w:rsid w:val="00866D33"/>
    <w:rsid w:val="00867092"/>
    <w:rsid w:val="00870C81"/>
    <w:rsid w:val="00871EDE"/>
    <w:rsid w:val="00872176"/>
    <w:rsid w:val="00872FE2"/>
    <w:rsid w:val="008736A7"/>
    <w:rsid w:val="00875814"/>
    <w:rsid w:val="008759F3"/>
    <w:rsid w:val="0088096D"/>
    <w:rsid w:val="00882DFE"/>
    <w:rsid w:val="00883788"/>
    <w:rsid w:val="0088421F"/>
    <w:rsid w:val="00884A46"/>
    <w:rsid w:val="00884A6D"/>
    <w:rsid w:val="00884CFE"/>
    <w:rsid w:val="00885A3E"/>
    <w:rsid w:val="00885B07"/>
    <w:rsid w:val="00885E1F"/>
    <w:rsid w:val="00887165"/>
    <w:rsid w:val="00887AD9"/>
    <w:rsid w:val="00892339"/>
    <w:rsid w:val="0089276B"/>
    <w:rsid w:val="0089279B"/>
    <w:rsid w:val="008929C1"/>
    <w:rsid w:val="008938B2"/>
    <w:rsid w:val="0089552F"/>
    <w:rsid w:val="008963EA"/>
    <w:rsid w:val="008A07D6"/>
    <w:rsid w:val="008A0AB1"/>
    <w:rsid w:val="008A1DAD"/>
    <w:rsid w:val="008A2679"/>
    <w:rsid w:val="008A30CF"/>
    <w:rsid w:val="008A521E"/>
    <w:rsid w:val="008A627E"/>
    <w:rsid w:val="008B061C"/>
    <w:rsid w:val="008B0734"/>
    <w:rsid w:val="008B0CD8"/>
    <w:rsid w:val="008B1860"/>
    <w:rsid w:val="008B4667"/>
    <w:rsid w:val="008B49BB"/>
    <w:rsid w:val="008B51BE"/>
    <w:rsid w:val="008B5BD1"/>
    <w:rsid w:val="008B71CC"/>
    <w:rsid w:val="008B72EB"/>
    <w:rsid w:val="008B7C42"/>
    <w:rsid w:val="008B7D8C"/>
    <w:rsid w:val="008C0BDF"/>
    <w:rsid w:val="008C3C4E"/>
    <w:rsid w:val="008C6083"/>
    <w:rsid w:val="008C68EE"/>
    <w:rsid w:val="008C6C07"/>
    <w:rsid w:val="008C7BB2"/>
    <w:rsid w:val="008D1ED8"/>
    <w:rsid w:val="008D5F6C"/>
    <w:rsid w:val="008D6483"/>
    <w:rsid w:val="008D6589"/>
    <w:rsid w:val="008D6854"/>
    <w:rsid w:val="008E1122"/>
    <w:rsid w:val="008E240E"/>
    <w:rsid w:val="008E50CE"/>
    <w:rsid w:val="008E50EB"/>
    <w:rsid w:val="008E5D80"/>
    <w:rsid w:val="008E6913"/>
    <w:rsid w:val="008F256C"/>
    <w:rsid w:val="008F2C6E"/>
    <w:rsid w:val="008F2CD6"/>
    <w:rsid w:val="008F2D95"/>
    <w:rsid w:val="008F32ED"/>
    <w:rsid w:val="008F38C8"/>
    <w:rsid w:val="008F611D"/>
    <w:rsid w:val="008F654E"/>
    <w:rsid w:val="008F67F4"/>
    <w:rsid w:val="008F7228"/>
    <w:rsid w:val="0090186F"/>
    <w:rsid w:val="00902F96"/>
    <w:rsid w:val="00904AF4"/>
    <w:rsid w:val="00904D63"/>
    <w:rsid w:val="00905C0B"/>
    <w:rsid w:val="00906652"/>
    <w:rsid w:val="00906972"/>
    <w:rsid w:val="009073EF"/>
    <w:rsid w:val="00907507"/>
    <w:rsid w:val="00907D96"/>
    <w:rsid w:val="0091292D"/>
    <w:rsid w:val="009134FD"/>
    <w:rsid w:val="00913614"/>
    <w:rsid w:val="0091542A"/>
    <w:rsid w:val="00915C66"/>
    <w:rsid w:val="009161D6"/>
    <w:rsid w:val="009202A8"/>
    <w:rsid w:val="00923036"/>
    <w:rsid w:val="009237E9"/>
    <w:rsid w:val="0092516E"/>
    <w:rsid w:val="00926469"/>
    <w:rsid w:val="0092692A"/>
    <w:rsid w:val="00927D44"/>
    <w:rsid w:val="0093119B"/>
    <w:rsid w:val="0093131A"/>
    <w:rsid w:val="00933022"/>
    <w:rsid w:val="009345E3"/>
    <w:rsid w:val="00934CED"/>
    <w:rsid w:val="00935F2E"/>
    <w:rsid w:val="009360EA"/>
    <w:rsid w:val="00936CA7"/>
    <w:rsid w:val="00940CBD"/>
    <w:rsid w:val="00940E55"/>
    <w:rsid w:val="00941495"/>
    <w:rsid w:val="009415CC"/>
    <w:rsid w:val="009420F5"/>
    <w:rsid w:val="009430ED"/>
    <w:rsid w:val="009439F6"/>
    <w:rsid w:val="00944324"/>
    <w:rsid w:val="00945C05"/>
    <w:rsid w:val="009470D8"/>
    <w:rsid w:val="00947BD2"/>
    <w:rsid w:val="00947F8F"/>
    <w:rsid w:val="00953468"/>
    <w:rsid w:val="009535D7"/>
    <w:rsid w:val="009551D9"/>
    <w:rsid w:val="00956C8D"/>
    <w:rsid w:val="00956FF3"/>
    <w:rsid w:val="00957468"/>
    <w:rsid w:val="00960781"/>
    <w:rsid w:val="009611AF"/>
    <w:rsid w:val="009616DA"/>
    <w:rsid w:val="009628C1"/>
    <w:rsid w:val="00962B99"/>
    <w:rsid w:val="00962BD8"/>
    <w:rsid w:val="00964F20"/>
    <w:rsid w:val="0096502B"/>
    <w:rsid w:val="009656C0"/>
    <w:rsid w:val="00965A19"/>
    <w:rsid w:val="00965AA7"/>
    <w:rsid w:val="009677FE"/>
    <w:rsid w:val="009715CD"/>
    <w:rsid w:val="00971A96"/>
    <w:rsid w:val="00971BAC"/>
    <w:rsid w:val="00972CF0"/>
    <w:rsid w:val="0097306D"/>
    <w:rsid w:val="00973E04"/>
    <w:rsid w:val="009759F7"/>
    <w:rsid w:val="009766F7"/>
    <w:rsid w:val="00976745"/>
    <w:rsid w:val="00976D40"/>
    <w:rsid w:val="00977824"/>
    <w:rsid w:val="00977CBF"/>
    <w:rsid w:val="009813E9"/>
    <w:rsid w:val="00983675"/>
    <w:rsid w:val="009842E2"/>
    <w:rsid w:val="00984AC0"/>
    <w:rsid w:val="0098595E"/>
    <w:rsid w:val="00986831"/>
    <w:rsid w:val="00986EA7"/>
    <w:rsid w:val="00987306"/>
    <w:rsid w:val="009904FC"/>
    <w:rsid w:val="0099261C"/>
    <w:rsid w:val="00992F1A"/>
    <w:rsid w:val="009932B3"/>
    <w:rsid w:val="0099483F"/>
    <w:rsid w:val="00995396"/>
    <w:rsid w:val="009954EC"/>
    <w:rsid w:val="00995D33"/>
    <w:rsid w:val="0099696C"/>
    <w:rsid w:val="00997CA7"/>
    <w:rsid w:val="009A03A1"/>
    <w:rsid w:val="009A0737"/>
    <w:rsid w:val="009A0750"/>
    <w:rsid w:val="009A0C5F"/>
    <w:rsid w:val="009A1931"/>
    <w:rsid w:val="009A39AA"/>
    <w:rsid w:val="009A40B8"/>
    <w:rsid w:val="009A4DC1"/>
    <w:rsid w:val="009A71F6"/>
    <w:rsid w:val="009A7843"/>
    <w:rsid w:val="009B0A93"/>
    <w:rsid w:val="009B17F5"/>
    <w:rsid w:val="009B30C9"/>
    <w:rsid w:val="009B3E91"/>
    <w:rsid w:val="009B79BC"/>
    <w:rsid w:val="009C0480"/>
    <w:rsid w:val="009C1618"/>
    <w:rsid w:val="009C17D5"/>
    <w:rsid w:val="009C3803"/>
    <w:rsid w:val="009C3B31"/>
    <w:rsid w:val="009C5747"/>
    <w:rsid w:val="009C7254"/>
    <w:rsid w:val="009C7FA1"/>
    <w:rsid w:val="009D1A8A"/>
    <w:rsid w:val="009D2465"/>
    <w:rsid w:val="009D3FC8"/>
    <w:rsid w:val="009D54E3"/>
    <w:rsid w:val="009D568B"/>
    <w:rsid w:val="009D7D40"/>
    <w:rsid w:val="009E158B"/>
    <w:rsid w:val="009E22BA"/>
    <w:rsid w:val="009E33B4"/>
    <w:rsid w:val="009E3AEA"/>
    <w:rsid w:val="009E56B9"/>
    <w:rsid w:val="009E6855"/>
    <w:rsid w:val="009E7B50"/>
    <w:rsid w:val="009E7C9F"/>
    <w:rsid w:val="009E7EE0"/>
    <w:rsid w:val="009F0997"/>
    <w:rsid w:val="009F443A"/>
    <w:rsid w:val="009F4A0D"/>
    <w:rsid w:val="009F6462"/>
    <w:rsid w:val="009F6656"/>
    <w:rsid w:val="009F6A70"/>
    <w:rsid w:val="009F6C9B"/>
    <w:rsid w:val="009F78D9"/>
    <w:rsid w:val="00A01808"/>
    <w:rsid w:val="00A020C7"/>
    <w:rsid w:val="00A03177"/>
    <w:rsid w:val="00A03F95"/>
    <w:rsid w:val="00A0577F"/>
    <w:rsid w:val="00A05867"/>
    <w:rsid w:val="00A05BAA"/>
    <w:rsid w:val="00A05D9F"/>
    <w:rsid w:val="00A06263"/>
    <w:rsid w:val="00A0770A"/>
    <w:rsid w:val="00A079A5"/>
    <w:rsid w:val="00A10264"/>
    <w:rsid w:val="00A11D20"/>
    <w:rsid w:val="00A12296"/>
    <w:rsid w:val="00A12A1B"/>
    <w:rsid w:val="00A12E3B"/>
    <w:rsid w:val="00A130B0"/>
    <w:rsid w:val="00A132F4"/>
    <w:rsid w:val="00A13A22"/>
    <w:rsid w:val="00A13B15"/>
    <w:rsid w:val="00A13B52"/>
    <w:rsid w:val="00A1457B"/>
    <w:rsid w:val="00A1484A"/>
    <w:rsid w:val="00A14CB0"/>
    <w:rsid w:val="00A15A03"/>
    <w:rsid w:val="00A15B12"/>
    <w:rsid w:val="00A15C4E"/>
    <w:rsid w:val="00A200DF"/>
    <w:rsid w:val="00A201B0"/>
    <w:rsid w:val="00A22754"/>
    <w:rsid w:val="00A2368D"/>
    <w:rsid w:val="00A236B1"/>
    <w:rsid w:val="00A23A37"/>
    <w:rsid w:val="00A24329"/>
    <w:rsid w:val="00A246D3"/>
    <w:rsid w:val="00A2650E"/>
    <w:rsid w:val="00A26662"/>
    <w:rsid w:val="00A2685D"/>
    <w:rsid w:val="00A26FF7"/>
    <w:rsid w:val="00A27738"/>
    <w:rsid w:val="00A31037"/>
    <w:rsid w:val="00A31735"/>
    <w:rsid w:val="00A31A4C"/>
    <w:rsid w:val="00A325CB"/>
    <w:rsid w:val="00A327EB"/>
    <w:rsid w:val="00A33C6E"/>
    <w:rsid w:val="00A36436"/>
    <w:rsid w:val="00A37614"/>
    <w:rsid w:val="00A40EAF"/>
    <w:rsid w:val="00A41540"/>
    <w:rsid w:val="00A41FB9"/>
    <w:rsid w:val="00A42791"/>
    <w:rsid w:val="00A42FD4"/>
    <w:rsid w:val="00A435F5"/>
    <w:rsid w:val="00A45124"/>
    <w:rsid w:val="00A452A2"/>
    <w:rsid w:val="00A456B9"/>
    <w:rsid w:val="00A4671D"/>
    <w:rsid w:val="00A47CC5"/>
    <w:rsid w:val="00A47CDD"/>
    <w:rsid w:val="00A5033A"/>
    <w:rsid w:val="00A50E10"/>
    <w:rsid w:val="00A51EDE"/>
    <w:rsid w:val="00A5465B"/>
    <w:rsid w:val="00A54FAB"/>
    <w:rsid w:val="00A55802"/>
    <w:rsid w:val="00A565D9"/>
    <w:rsid w:val="00A57014"/>
    <w:rsid w:val="00A608E8"/>
    <w:rsid w:val="00A6179F"/>
    <w:rsid w:val="00A61E7A"/>
    <w:rsid w:val="00A627A2"/>
    <w:rsid w:val="00A62C0A"/>
    <w:rsid w:val="00A630A1"/>
    <w:rsid w:val="00A63353"/>
    <w:rsid w:val="00A63915"/>
    <w:rsid w:val="00A63FFE"/>
    <w:rsid w:val="00A650DB"/>
    <w:rsid w:val="00A66663"/>
    <w:rsid w:val="00A668E0"/>
    <w:rsid w:val="00A67523"/>
    <w:rsid w:val="00A67718"/>
    <w:rsid w:val="00A67C02"/>
    <w:rsid w:val="00A707FD"/>
    <w:rsid w:val="00A72725"/>
    <w:rsid w:val="00A73D72"/>
    <w:rsid w:val="00A755E8"/>
    <w:rsid w:val="00A76550"/>
    <w:rsid w:val="00A802F4"/>
    <w:rsid w:val="00A8049B"/>
    <w:rsid w:val="00A80E6E"/>
    <w:rsid w:val="00A818BB"/>
    <w:rsid w:val="00A81965"/>
    <w:rsid w:val="00A81A54"/>
    <w:rsid w:val="00A83677"/>
    <w:rsid w:val="00A84F45"/>
    <w:rsid w:val="00A8613F"/>
    <w:rsid w:val="00A879C8"/>
    <w:rsid w:val="00A87E04"/>
    <w:rsid w:val="00A91D39"/>
    <w:rsid w:val="00A91F15"/>
    <w:rsid w:val="00A93A39"/>
    <w:rsid w:val="00A9434C"/>
    <w:rsid w:val="00A94B89"/>
    <w:rsid w:val="00A95311"/>
    <w:rsid w:val="00A95E6D"/>
    <w:rsid w:val="00A97854"/>
    <w:rsid w:val="00AA1CF1"/>
    <w:rsid w:val="00AA205D"/>
    <w:rsid w:val="00AA3091"/>
    <w:rsid w:val="00AA3948"/>
    <w:rsid w:val="00AA4336"/>
    <w:rsid w:val="00AA53C8"/>
    <w:rsid w:val="00AA5428"/>
    <w:rsid w:val="00AA6142"/>
    <w:rsid w:val="00AB05FF"/>
    <w:rsid w:val="00AB19FB"/>
    <w:rsid w:val="00AB390F"/>
    <w:rsid w:val="00AB6585"/>
    <w:rsid w:val="00AB67D2"/>
    <w:rsid w:val="00AB7DA2"/>
    <w:rsid w:val="00AC018F"/>
    <w:rsid w:val="00AC0688"/>
    <w:rsid w:val="00AC0741"/>
    <w:rsid w:val="00AC2C0C"/>
    <w:rsid w:val="00AC43FF"/>
    <w:rsid w:val="00AC5839"/>
    <w:rsid w:val="00AC589A"/>
    <w:rsid w:val="00AC724B"/>
    <w:rsid w:val="00AC73D0"/>
    <w:rsid w:val="00AD2B5A"/>
    <w:rsid w:val="00AD318A"/>
    <w:rsid w:val="00AD7D06"/>
    <w:rsid w:val="00AD7ECD"/>
    <w:rsid w:val="00AD7FA6"/>
    <w:rsid w:val="00AE0294"/>
    <w:rsid w:val="00AE1FEA"/>
    <w:rsid w:val="00AE2443"/>
    <w:rsid w:val="00AE258B"/>
    <w:rsid w:val="00AE2FF8"/>
    <w:rsid w:val="00AE4109"/>
    <w:rsid w:val="00AE52CD"/>
    <w:rsid w:val="00AE61E9"/>
    <w:rsid w:val="00AE7243"/>
    <w:rsid w:val="00AE7905"/>
    <w:rsid w:val="00AF11A8"/>
    <w:rsid w:val="00AF28E2"/>
    <w:rsid w:val="00AF306C"/>
    <w:rsid w:val="00AF3B9B"/>
    <w:rsid w:val="00AF59A9"/>
    <w:rsid w:val="00AF7330"/>
    <w:rsid w:val="00AF7E0B"/>
    <w:rsid w:val="00AF7E7B"/>
    <w:rsid w:val="00B044BB"/>
    <w:rsid w:val="00B073C1"/>
    <w:rsid w:val="00B074D8"/>
    <w:rsid w:val="00B07DED"/>
    <w:rsid w:val="00B12273"/>
    <w:rsid w:val="00B12745"/>
    <w:rsid w:val="00B12C83"/>
    <w:rsid w:val="00B12E7B"/>
    <w:rsid w:val="00B13407"/>
    <w:rsid w:val="00B136DC"/>
    <w:rsid w:val="00B14183"/>
    <w:rsid w:val="00B17266"/>
    <w:rsid w:val="00B17FE1"/>
    <w:rsid w:val="00B2070A"/>
    <w:rsid w:val="00B21B74"/>
    <w:rsid w:val="00B21D1C"/>
    <w:rsid w:val="00B21F81"/>
    <w:rsid w:val="00B2217E"/>
    <w:rsid w:val="00B225A3"/>
    <w:rsid w:val="00B22CF4"/>
    <w:rsid w:val="00B22E3F"/>
    <w:rsid w:val="00B257D8"/>
    <w:rsid w:val="00B2622B"/>
    <w:rsid w:val="00B30CEF"/>
    <w:rsid w:val="00B312DE"/>
    <w:rsid w:val="00B31FE5"/>
    <w:rsid w:val="00B326B5"/>
    <w:rsid w:val="00B3282F"/>
    <w:rsid w:val="00B32DF1"/>
    <w:rsid w:val="00B3385B"/>
    <w:rsid w:val="00B3434D"/>
    <w:rsid w:val="00B358B5"/>
    <w:rsid w:val="00B35BC2"/>
    <w:rsid w:val="00B36982"/>
    <w:rsid w:val="00B36C93"/>
    <w:rsid w:val="00B40442"/>
    <w:rsid w:val="00B40527"/>
    <w:rsid w:val="00B42478"/>
    <w:rsid w:val="00B4440C"/>
    <w:rsid w:val="00B44C0C"/>
    <w:rsid w:val="00B45399"/>
    <w:rsid w:val="00B54060"/>
    <w:rsid w:val="00B5622C"/>
    <w:rsid w:val="00B562AD"/>
    <w:rsid w:val="00B56826"/>
    <w:rsid w:val="00B6153F"/>
    <w:rsid w:val="00B6334B"/>
    <w:rsid w:val="00B6373B"/>
    <w:rsid w:val="00B6636B"/>
    <w:rsid w:val="00B6771A"/>
    <w:rsid w:val="00B70286"/>
    <w:rsid w:val="00B70F27"/>
    <w:rsid w:val="00B71F22"/>
    <w:rsid w:val="00B7205F"/>
    <w:rsid w:val="00B7208A"/>
    <w:rsid w:val="00B720EE"/>
    <w:rsid w:val="00B720FF"/>
    <w:rsid w:val="00B755C0"/>
    <w:rsid w:val="00B76C35"/>
    <w:rsid w:val="00B774FB"/>
    <w:rsid w:val="00B77BE4"/>
    <w:rsid w:val="00B8209F"/>
    <w:rsid w:val="00B8333C"/>
    <w:rsid w:val="00B84335"/>
    <w:rsid w:val="00B84BAF"/>
    <w:rsid w:val="00B84C31"/>
    <w:rsid w:val="00B853F3"/>
    <w:rsid w:val="00B85746"/>
    <w:rsid w:val="00B85DB0"/>
    <w:rsid w:val="00B929F3"/>
    <w:rsid w:val="00B9320E"/>
    <w:rsid w:val="00B93287"/>
    <w:rsid w:val="00B950D0"/>
    <w:rsid w:val="00B95457"/>
    <w:rsid w:val="00B97175"/>
    <w:rsid w:val="00B977B1"/>
    <w:rsid w:val="00BA4B8C"/>
    <w:rsid w:val="00BA4E25"/>
    <w:rsid w:val="00BA5F51"/>
    <w:rsid w:val="00BA68FE"/>
    <w:rsid w:val="00BA6E75"/>
    <w:rsid w:val="00BB0DE0"/>
    <w:rsid w:val="00BB3BE7"/>
    <w:rsid w:val="00BB6DA8"/>
    <w:rsid w:val="00BB6FB4"/>
    <w:rsid w:val="00BB7787"/>
    <w:rsid w:val="00BC10CB"/>
    <w:rsid w:val="00BC2E8B"/>
    <w:rsid w:val="00BC52CB"/>
    <w:rsid w:val="00BC653F"/>
    <w:rsid w:val="00BC73CA"/>
    <w:rsid w:val="00BC765B"/>
    <w:rsid w:val="00BC7AE9"/>
    <w:rsid w:val="00BD10EC"/>
    <w:rsid w:val="00BD45CA"/>
    <w:rsid w:val="00BD5DD5"/>
    <w:rsid w:val="00BD7254"/>
    <w:rsid w:val="00BD791D"/>
    <w:rsid w:val="00BD7A32"/>
    <w:rsid w:val="00BE046B"/>
    <w:rsid w:val="00BE0969"/>
    <w:rsid w:val="00BE0AF0"/>
    <w:rsid w:val="00BE30A4"/>
    <w:rsid w:val="00BE32F4"/>
    <w:rsid w:val="00BE36D4"/>
    <w:rsid w:val="00BE3785"/>
    <w:rsid w:val="00BE4B25"/>
    <w:rsid w:val="00BE4B49"/>
    <w:rsid w:val="00BE6631"/>
    <w:rsid w:val="00BE7A91"/>
    <w:rsid w:val="00BF09BE"/>
    <w:rsid w:val="00BF1808"/>
    <w:rsid w:val="00BF3B6D"/>
    <w:rsid w:val="00BF63BF"/>
    <w:rsid w:val="00BF6638"/>
    <w:rsid w:val="00BF7A61"/>
    <w:rsid w:val="00C00D8B"/>
    <w:rsid w:val="00C0116C"/>
    <w:rsid w:val="00C0229D"/>
    <w:rsid w:val="00C0266F"/>
    <w:rsid w:val="00C02735"/>
    <w:rsid w:val="00C02FAA"/>
    <w:rsid w:val="00C0349F"/>
    <w:rsid w:val="00C058D3"/>
    <w:rsid w:val="00C07EE5"/>
    <w:rsid w:val="00C10044"/>
    <w:rsid w:val="00C102F2"/>
    <w:rsid w:val="00C1033A"/>
    <w:rsid w:val="00C104C2"/>
    <w:rsid w:val="00C11F81"/>
    <w:rsid w:val="00C12099"/>
    <w:rsid w:val="00C13402"/>
    <w:rsid w:val="00C14999"/>
    <w:rsid w:val="00C14E96"/>
    <w:rsid w:val="00C15D51"/>
    <w:rsid w:val="00C17121"/>
    <w:rsid w:val="00C17BE3"/>
    <w:rsid w:val="00C20D27"/>
    <w:rsid w:val="00C215F9"/>
    <w:rsid w:val="00C21966"/>
    <w:rsid w:val="00C22BE7"/>
    <w:rsid w:val="00C23E9A"/>
    <w:rsid w:val="00C24200"/>
    <w:rsid w:val="00C24740"/>
    <w:rsid w:val="00C248A3"/>
    <w:rsid w:val="00C25DE9"/>
    <w:rsid w:val="00C26BBC"/>
    <w:rsid w:val="00C2719C"/>
    <w:rsid w:val="00C27703"/>
    <w:rsid w:val="00C301CF"/>
    <w:rsid w:val="00C304F0"/>
    <w:rsid w:val="00C3124F"/>
    <w:rsid w:val="00C312E2"/>
    <w:rsid w:val="00C3231B"/>
    <w:rsid w:val="00C3287B"/>
    <w:rsid w:val="00C35903"/>
    <w:rsid w:val="00C3639B"/>
    <w:rsid w:val="00C36533"/>
    <w:rsid w:val="00C365FA"/>
    <w:rsid w:val="00C36BF6"/>
    <w:rsid w:val="00C37978"/>
    <w:rsid w:val="00C40C51"/>
    <w:rsid w:val="00C418C7"/>
    <w:rsid w:val="00C41DC5"/>
    <w:rsid w:val="00C4298D"/>
    <w:rsid w:val="00C4328C"/>
    <w:rsid w:val="00C434FF"/>
    <w:rsid w:val="00C442DF"/>
    <w:rsid w:val="00C448FC"/>
    <w:rsid w:val="00C45311"/>
    <w:rsid w:val="00C46510"/>
    <w:rsid w:val="00C50AF5"/>
    <w:rsid w:val="00C50CDC"/>
    <w:rsid w:val="00C520A7"/>
    <w:rsid w:val="00C539CF"/>
    <w:rsid w:val="00C53EB2"/>
    <w:rsid w:val="00C56789"/>
    <w:rsid w:val="00C6001D"/>
    <w:rsid w:val="00C600FB"/>
    <w:rsid w:val="00C612F2"/>
    <w:rsid w:val="00C6221B"/>
    <w:rsid w:val="00C62C09"/>
    <w:rsid w:val="00C633ED"/>
    <w:rsid w:val="00C634CE"/>
    <w:rsid w:val="00C63C1F"/>
    <w:rsid w:val="00C64078"/>
    <w:rsid w:val="00C667D0"/>
    <w:rsid w:val="00C6698C"/>
    <w:rsid w:val="00C672D2"/>
    <w:rsid w:val="00C712A1"/>
    <w:rsid w:val="00C718F0"/>
    <w:rsid w:val="00C77CE5"/>
    <w:rsid w:val="00C77E34"/>
    <w:rsid w:val="00C80096"/>
    <w:rsid w:val="00C80710"/>
    <w:rsid w:val="00C81BDF"/>
    <w:rsid w:val="00C82A63"/>
    <w:rsid w:val="00C83238"/>
    <w:rsid w:val="00C85DA3"/>
    <w:rsid w:val="00C920E0"/>
    <w:rsid w:val="00C924BB"/>
    <w:rsid w:val="00C933A8"/>
    <w:rsid w:val="00C9348F"/>
    <w:rsid w:val="00C93787"/>
    <w:rsid w:val="00C94002"/>
    <w:rsid w:val="00C956E7"/>
    <w:rsid w:val="00C97C6B"/>
    <w:rsid w:val="00CA1AAB"/>
    <w:rsid w:val="00CA4045"/>
    <w:rsid w:val="00CA41E7"/>
    <w:rsid w:val="00CA59EE"/>
    <w:rsid w:val="00CA59F9"/>
    <w:rsid w:val="00CA6B42"/>
    <w:rsid w:val="00CA7B97"/>
    <w:rsid w:val="00CB087A"/>
    <w:rsid w:val="00CB1309"/>
    <w:rsid w:val="00CB1485"/>
    <w:rsid w:val="00CB7829"/>
    <w:rsid w:val="00CC08DA"/>
    <w:rsid w:val="00CC0949"/>
    <w:rsid w:val="00CC197E"/>
    <w:rsid w:val="00CC1CD0"/>
    <w:rsid w:val="00CC30F7"/>
    <w:rsid w:val="00CC5637"/>
    <w:rsid w:val="00CC6F32"/>
    <w:rsid w:val="00CC7057"/>
    <w:rsid w:val="00CC7A43"/>
    <w:rsid w:val="00CC7D42"/>
    <w:rsid w:val="00CC7F65"/>
    <w:rsid w:val="00CC7FED"/>
    <w:rsid w:val="00CD1176"/>
    <w:rsid w:val="00CD14D1"/>
    <w:rsid w:val="00CD1E8D"/>
    <w:rsid w:val="00CD27A9"/>
    <w:rsid w:val="00CD363D"/>
    <w:rsid w:val="00CD399D"/>
    <w:rsid w:val="00CD4BFF"/>
    <w:rsid w:val="00CD64F2"/>
    <w:rsid w:val="00CE1926"/>
    <w:rsid w:val="00CE2CD2"/>
    <w:rsid w:val="00CE31B0"/>
    <w:rsid w:val="00CE4745"/>
    <w:rsid w:val="00CE4A53"/>
    <w:rsid w:val="00CE67F2"/>
    <w:rsid w:val="00CE6C05"/>
    <w:rsid w:val="00CE741D"/>
    <w:rsid w:val="00CE75B1"/>
    <w:rsid w:val="00CF039C"/>
    <w:rsid w:val="00CF1A6B"/>
    <w:rsid w:val="00CF2CBA"/>
    <w:rsid w:val="00CF3900"/>
    <w:rsid w:val="00CF4F12"/>
    <w:rsid w:val="00CF71C8"/>
    <w:rsid w:val="00CF7E07"/>
    <w:rsid w:val="00D003E5"/>
    <w:rsid w:val="00D01721"/>
    <w:rsid w:val="00D01ED0"/>
    <w:rsid w:val="00D022AF"/>
    <w:rsid w:val="00D02477"/>
    <w:rsid w:val="00D02740"/>
    <w:rsid w:val="00D02848"/>
    <w:rsid w:val="00D02986"/>
    <w:rsid w:val="00D037BB"/>
    <w:rsid w:val="00D03B45"/>
    <w:rsid w:val="00D0439C"/>
    <w:rsid w:val="00D04787"/>
    <w:rsid w:val="00D05955"/>
    <w:rsid w:val="00D05B51"/>
    <w:rsid w:val="00D102A5"/>
    <w:rsid w:val="00D12E21"/>
    <w:rsid w:val="00D13A3D"/>
    <w:rsid w:val="00D15A30"/>
    <w:rsid w:val="00D15F9D"/>
    <w:rsid w:val="00D160C8"/>
    <w:rsid w:val="00D16368"/>
    <w:rsid w:val="00D168D6"/>
    <w:rsid w:val="00D171E8"/>
    <w:rsid w:val="00D20029"/>
    <w:rsid w:val="00D20052"/>
    <w:rsid w:val="00D20A7B"/>
    <w:rsid w:val="00D20AC4"/>
    <w:rsid w:val="00D21D1D"/>
    <w:rsid w:val="00D249C0"/>
    <w:rsid w:val="00D24C65"/>
    <w:rsid w:val="00D25B55"/>
    <w:rsid w:val="00D25F1D"/>
    <w:rsid w:val="00D26AF8"/>
    <w:rsid w:val="00D30DAE"/>
    <w:rsid w:val="00D33CFD"/>
    <w:rsid w:val="00D3529C"/>
    <w:rsid w:val="00D357BB"/>
    <w:rsid w:val="00D36253"/>
    <w:rsid w:val="00D405E6"/>
    <w:rsid w:val="00D410A5"/>
    <w:rsid w:val="00D4182B"/>
    <w:rsid w:val="00D4186F"/>
    <w:rsid w:val="00D427F3"/>
    <w:rsid w:val="00D43B3B"/>
    <w:rsid w:val="00D4512A"/>
    <w:rsid w:val="00D45E32"/>
    <w:rsid w:val="00D46956"/>
    <w:rsid w:val="00D46A09"/>
    <w:rsid w:val="00D5437D"/>
    <w:rsid w:val="00D5495F"/>
    <w:rsid w:val="00D54C8A"/>
    <w:rsid w:val="00D56A39"/>
    <w:rsid w:val="00D577F0"/>
    <w:rsid w:val="00D579AC"/>
    <w:rsid w:val="00D60069"/>
    <w:rsid w:val="00D609E7"/>
    <w:rsid w:val="00D60C6E"/>
    <w:rsid w:val="00D6168D"/>
    <w:rsid w:val="00D62007"/>
    <w:rsid w:val="00D62661"/>
    <w:rsid w:val="00D63B0F"/>
    <w:rsid w:val="00D63B4B"/>
    <w:rsid w:val="00D63EF0"/>
    <w:rsid w:val="00D64C5F"/>
    <w:rsid w:val="00D65615"/>
    <w:rsid w:val="00D6625B"/>
    <w:rsid w:val="00D676CB"/>
    <w:rsid w:val="00D71736"/>
    <w:rsid w:val="00D73714"/>
    <w:rsid w:val="00D7393F"/>
    <w:rsid w:val="00D75373"/>
    <w:rsid w:val="00D76E32"/>
    <w:rsid w:val="00D76E92"/>
    <w:rsid w:val="00D77ADC"/>
    <w:rsid w:val="00D80640"/>
    <w:rsid w:val="00D812B5"/>
    <w:rsid w:val="00D8207A"/>
    <w:rsid w:val="00D833E4"/>
    <w:rsid w:val="00D8528C"/>
    <w:rsid w:val="00D8578C"/>
    <w:rsid w:val="00D86F4A"/>
    <w:rsid w:val="00D87A1C"/>
    <w:rsid w:val="00D87E9D"/>
    <w:rsid w:val="00D9056F"/>
    <w:rsid w:val="00D907F1"/>
    <w:rsid w:val="00D90CE2"/>
    <w:rsid w:val="00D91133"/>
    <w:rsid w:val="00D922EE"/>
    <w:rsid w:val="00D95989"/>
    <w:rsid w:val="00D976AC"/>
    <w:rsid w:val="00D97AD7"/>
    <w:rsid w:val="00DA36C4"/>
    <w:rsid w:val="00DA3B23"/>
    <w:rsid w:val="00DA4295"/>
    <w:rsid w:val="00DA44E4"/>
    <w:rsid w:val="00DA4CC8"/>
    <w:rsid w:val="00DA5827"/>
    <w:rsid w:val="00DA5C7C"/>
    <w:rsid w:val="00DA654A"/>
    <w:rsid w:val="00DA7CB7"/>
    <w:rsid w:val="00DB0043"/>
    <w:rsid w:val="00DB0B27"/>
    <w:rsid w:val="00DB12AB"/>
    <w:rsid w:val="00DB1A4A"/>
    <w:rsid w:val="00DB1B71"/>
    <w:rsid w:val="00DB22CE"/>
    <w:rsid w:val="00DB2F7C"/>
    <w:rsid w:val="00DB3688"/>
    <w:rsid w:val="00DB36C4"/>
    <w:rsid w:val="00DB4571"/>
    <w:rsid w:val="00DB5197"/>
    <w:rsid w:val="00DB6394"/>
    <w:rsid w:val="00DC0E99"/>
    <w:rsid w:val="00DC0F5C"/>
    <w:rsid w:val="00DC2373"/>
    <w:rsid w:val="00DC2FF4"/>
    <w:rsid w:val="00DC56C2"/>
    <w:rsid w:val="00DC59AF"/>
    <w:rsid w:val="00DC5D86"/>
    <w:rsid w:val="00DC6684"/>
    <w:rsid w:val="00DC719D"/>
    <w:rsid w:val="00DD2300"/>
    <w:rsid w:val="00DD313B"/>
    <w:rsid w:val="00DD314A"/>
    <w:rsid w:val="00DD3993"/>
    <w:rsid w:val="00DD3B9E"/>
    <w:rsid w:val="00DD3CC8"/>
    <w:rsid w:val="00DD56F3"/>
    <w:rsid w:val="00DD58E8"/>
    <w:rsid w:val="00DD59C2"/>
    <w:rsid w:val="00DD619B"/>
    <w:rsid w:val="00DD78DF"/>
    <w:rsid w:val="00DD7C4D"/>
    <w:rsid w:val="00DE1552"/>
    <w:rsid w:val="00DE193F"/>
    <w:rsid w:val="00DE1B65"/>
    <w:rsid w:val="00DE2E97"/>
    <w:rsid w:val="00DE2F4A"/>
    <w:rsid w:val="00DE3CD8"/>
    <w:rsid w:val="00DE7A32"/>
    <w:rsid w:val="00DF0185"/>
    <w:rsid w:val="00DF10F8"/>
    <w:rsid w:val="00DF2BA4"/>
    <w:rsid w:val="00DF30A0"/>
    <w:rsid w:val="00DF37A9"/>
    <w:rsid w:val="00DF4C62"/>
    <w:rsid w:val="00DF4CC6"/>
    <w:rsid w:val="00DF5394"/>
    <w:rsid w:val="00DF61DA"/>
    <w:rsid w:val="00DF6D35"/>
    <w:rsid w:val="00DF6F7B"/>
    <w:rsid w:val="00DF70F8"/>
    <w:rsid w:val="00E00451"/>
    <w:rsid w:val="00E017EE"/>
    <w:rsid w:val="00E029A2"/>
    <w:rsid w:val="00E03D09"/>
    <w:rsid w:val="00E04A00"/>
    <w:rsid w:val="00E04CF4"/>
    <w:rsid w:val="00E04D62"/>
    <w:rsid w:val="00E0570F"/>
    <w:rsid w:val="00E066BD"/>
    <w:rsid w:val="00E06EB9"/>
    <w:rsid w:val="00E10F04"/>
    <w:rsid w:val="00E11439"/>
    <w:rsid w:val="00E12608"/>
    <w:rsid w:val="00E142EB"/>
    <w:rsid w:val="00E148FB"/>
    <w:rsid w:val="00E151D6"/>
    <w:rsid w:val="00E15B91"/>
    <w:rsid w:val="00E16EA1"/>
    <w:rsid w:val="00E17C9B"/>
    <w:rsid w:val="00E21203"/>
    <w:rsid w:val="00E2256A"/>
    <w:rsid w:val="00E225C7"/>
    <w:rsid w:val="00E240EA"/>
    <w:rsid w:val="00E258B0"/>
    <w:rsid w:val="00E259C4"/>
    <w:rsid w:val="00E267DC"/>
    <w:rsid w:val="00E323A9"/>
    <w:rsid w:val="00E3375A"/>
    <w:rsid w:val="00E33F4A"/>
    <w:rsid w:val="00E3732C"/>
    <w:rsid w:val="00E37C6E"/>
    <w:rsid w:val="00E4123D"/>
    <w:rsid w:val="00E42817"/>
    <w:rsid w:val="00E44C89"/>
    <w:rsid w:val="00E45306"/>
    <w:rsid w:val="00E453AA"/>
    <w:rsid w:val="00E45825"/>
    <w:rsid w:val="00E465D1"/>
    <w:rsid w:val="00E4707A"/>
    <w:rsid w:val="00E47BE0"/>
    <w:rsid w:val="00E50BA5"/>
    <w:rsid w:val="00E530C8"/>
    <w:rsid w:val="00E54204"/>
    <w:rsid w:val="00E54838"/>
    <w:rsid w:val="00E54DAB"/>
    <w:rsid w:val="00E5505D"/>
    <w:rsid w:val="00E5798B"/>
    <w:rsid w:val="00E57ABF"/>
    <w:rsid w:val="00E6043E"/>
    <w:rsid w:val="00E60898"/>
    <w:rsid w:val="00E62977"/>
    <w:rsid w:val="00E62C60"/>
    <w:rsid w:val="00E6354C"/>
    <w:rsid w:val="00E657F9"/>
    <w:rsid w:val="00E65B8B"/>
    <w:rsid w:val="00E65F72"/>
    <w:rsid w:val="00E67073"/>
    <w:rsid w:val="00E674C9"/>
    <w:rsid w:val="00E70A04"/>
    <w:rsid w:val="00E70CAC"/>
    <w:rsid w:val="00E7110C"/>
    <w:rsid w:val="00E72643"/>
    <w:rsid w:val="00E73614"/>
    <w:rsid w:val="00E738F7"/>
    <w:rsid w:val="00E73E96"/>
    <w:rsid w:val="00E758D8"/>
    <w:rsid w:val="00E75F3A"/>
    <w:rsid w:val="00E82133"/>
    <w:rsid w:val="00E82C38"/>
    <w:rsid w:val="00E84241"/>
    <w:rsid w:val="00E850A8"/>
    <w:rsid w:val="00E8543F"/>
    <w:rsid w:val="00E86B3E"/>
    <w:rsid w:val="00E86E02"/>
    <w:rsid w:val="00E872B4"/>
    <w:rsid w:val="00E92136"/>
    <w:rsid w:val="00E92785"/>
    <w:rsid w:val="00E95334"/>
    <w:rsid w:val="00E95B55"/>
    <w:rsid w:val="00E96625"/>
    <w:rsid w:val="00E96A9B"/>
    <w:rsid w:val="00E96EE0"/>
    <w:rsid w:val="00E973BC"/>
    <w:rsid w:val="00E9762E"/>
    <w:rsid w:val="00EA0CE2"/>
    <w:rsid w:val="00EA1D01"/>
    <w:rsid w:val="00EA3021"/>
    <w:rsid w:val="00EA41F5"/>
    <w:rsid w:val="00EA764C"/>
    <w:rsid w:val="00EB0760"/>
    <w:rsid w:val="00EB094E"/>
    <w:rsid w:val="00EB0F09"/>
    <w:rsid w:val="00EB13DC"/>
    <w:rsid w:val="00EB1974"/>
    <w:rsid w:val="00EB303A"/>
    <w:rsid w:val="00EB4ACF"/>
    <w:rsid w:val="00EB541A"/>
    <w:rsid w:val="00EB62E6"/>
    <w:rsid w:val="00EB6881"/>
    <w:rsid w:val="00EB6B24"/>
    <w:rsid w:val="00EB7D9F"/>
    <w:rsid w:val="00EC017B"/>
    <w:rsid w:val="00EC1D71"/>
    <w:rsid w:val="00EC24A6"/>
    <w:rsid w:val="00EC3475"/>
    <w:rsid w:val="00EC4236"/>
    <w:rsid w:val="00EC4B82"/>
    <w:rsid w:val="00EC4C17"/>
    <w:rsid w:val="00EC4C26"/>
    <w:rsid w:val="00EC54C8"/>
    <w:rsid w:val="00EC5D64"/>
    <w:rsid w:val="00EC7003"/>
    <w:rsid w:val="00EC7A28"/>
    <w:rsid w:val="00ED0306"/>
    <w:rsid w:val="00ED2181"/>
    <w:rsid w:val="00ED229C"/>
    <w:rsid w:val="00ED265B"/>
    <w:rsid w:val="00ED4227"/>
    <w:rsid w:val="00ED4930"/>
    <w:rsid w:val="00ED4951"/>
    <w:rsid w:val="00ED4EB3"/>
    <w:rsid w:val="00ED5057"/>
    <w:rsid w:val="00ED51A9"/>
    <w:rsid w:val="00ED5933"/>
    <w:rsid w:val="00ED5BB2"/>
    <w:rsid w:val="00ED6532"/>
    <w:rsid w:val="00ED750E"/>
    <w:rsid w:val="00ED7988"/>
    <w:rsid w:val="00EE120A"/>
    <w:rsid w:val="00EE2807"/>
    <w:rsid w:val="00EE2AF2"/>
    <w:rsid w:val="00EE3012"/>
    <w:rsid w:val="00EE316D"/>
    <w:rsid w:val="00EE379F"/>
    <w:rsid w:val="00EE5106"/>
    <w:rsid w:val="00EE563D"/>
    <w:rsid w:val="00EF0F2B"/>
    <w:rsid w:val="00EF1B5E"/>
    <w:rsid w:val="00EF20CD"/>
    <w:rsid w:val="00EF237F"/>
    <w:rsid w:val="00EF26B5"/>
    <w:rsid w:val="00EF2916"/>
    <w:rsid w:val="00EF31AB"/>
    <w:rsid w:val="00EF31D4"/>
    <w:rsid w:val="00EF3BE3"/>
    <w:rsid w:val="00EF3CAC"/>
    <w:rsid w:val="00EF4814"/>
    <w:rsid w:val="00EF5207"/>
    <w:rsid w:val="00EF60C9"/>
    <w:rsid w:val="00F0088E"/>
    <w:rsid w:val="00F00D1E"/>
    <w:rsid w:val="00F01103"/>
    <w:rsid w:val="00F02869"/>
    <w:rsid w:val="00F0581B"/>
    <w:rsid w:val="00F05CB5"/>
    <w:rsid w:val="00F0731D"/>
    <w:rsid w:val="00F100E7"/>
    <w:rsid w:val="00F10DB1"/>
    <w:rsid w:val="00F11041"/>
    <w:rsid w:val="00F1129A"/>
    <w:rsid w:val="00F118C6"/>
    <w:rsid w:val="00F125F6"/>
    <w:rsid w:val="00F1460C"/>
    <w:rsid w:val="00F14915"/>
    <w:rsid w:val="00F1575E"/>
    <w:rsid w:val="00F167CD"/>
    <w:rsid w:val="00F17FF8"/>
    <w:rsid w:val="00F20800"/>
    <w:rsid w:val="00F2144A"/>
    <w:rsid w:val="00F215CB"/>
    <w:rsid w:val="00F25A60"/>
    <w:rsid w:val="00F2623E"/>
    <w:rsid w:val="00F269CB"/>
    <w:rsid w:val="00F26EA8"/>
    <w:rsid w:val="00F27238"/>
    <w:rsid w:val="00F27B07"/>
    <w:rsid w:val="00F3174D"/>
    <w:rsid w:val="00F31AD5"/>
    <w:rsid w:val="00F32DEF"/>
    <w:rsid w:val="00F34043"/>
    <w:rsid w:val="00F347F9"/>
    <w:rsid w:val="00F35079"/>
    <w:rsid w:val="00F3562F"/>
    <w:rsid w:val="00F3567B"/>
    <w:rsid w:val="00F357EB"/>
    <w:rsid w:val="00F359E9"/>
    <w:rsid w:val="00F35A6A"/>
    <w:rsid w:val="00F35B2D"/>
    <w:rsid w:val="00F40F31"/>
    <w:rsid w:val="00F41933"/>
    <w:rsid w:val="00F42387"/>
    <w:rsid w:val="00F4336D"/>
    <w:rsid w:val="00F43AA0"/>
    <w:rsid w:val="00F4582C"/>
    <w:rsid w:val="00F466FF"/>
    <w:rsid w:val="00F46E04"/>
    <w:rsid w:val="00F50524"/>
    <w:rsid w:val="00F51F47"/>
    <w:rsid w:val="00F52564"/>
    <w:rsid w:val="00F527C3"/>
    <w:rsid w:val="00F529FD"/>
    <w:rsid w:val="00F55AF9"/>
    <w:rsid w:val="00F56AA3"/>
    <w:rsid w:val="00F56F3E"/>
    <w:rsid w:val="00F5736F"/>
    <w:rsid w:val="00F610DE"/>
    <w:rsid w:val="00F6114D"/>
    <w:rsid w:val="00F613D2"/>
    <w:rsid w:val="00F6145B"/>
    <w:rsid w:val="00F614C0"/>
    <w:rsid w:val="00F62843"/>
    <w:rsid w:val="00F62AD7"/>
    <w:rsid w:val="00F64056"/>
    <w:rsid w:val="00F6467F"/>
    <w:rsid w:val="00F66E50"/>
    <w:rsid w:val="00F6755B"/>
    <w:rsid w:val="00F714B2"/>
    <w:rsid w:val="00F7165B"/>
    <w:rsid w:val="00F72473"/>
    <w:rsid w:val="00F752AC"/>
    <w:rsid w:val="00F75445"/>
    <w:rsid w:val="00F75D39"/>
    <w:rsid w:val="00F75D63"/>
    <w:rsid w:val="00F75FB3"/>
    <w:rsid w:val="00F77969"/>
    <w:rsid w:val="00F810C4"/>
    <w:rsid w:val="00F842E2"/>
    <w:rsid w:val="00F85FC6"/>
    <w:rsid w:val="00F86342"/>
    <w:rsid w:val="00F93CE4"/>
    <w:rsid w:val="00F94552"/>
    <w:rsid w:val="00F95155"/>
    <w:rsid w:val="00F95461"/>
    <w:rsid w:val="00F95BA0"/>
    <w:rsid w:val="00F96D15"/>
    <w:rsid w:val="00F96DB1"/>
    <w:rsid w:val="00F9702E"/>
    <w:rsid w:val="00F97123"/>
    <w:rsid w:val="00FA06D1"/>
    <w:rsid w:val="00FA106A"/>
    <w:rsid w:val="00FA12F9"/>
    <w:rsid w:val="00FA290D"/>
    <w:rsid w:val="00FA40F1"/>
    <w:rsid w:val="00FA4C64"/>
    <w:rsid w:val="00FA52BC"/>
    <w:rsid w:val="00FB0C97"/>
    <w:rsid w:val="00FB3947"/>
    <w:rsid w:val="00FB47CA"/>
    <w:rsid w:val="00FB47F0"/>
    <w:rsid w:val="00FB5017"/>
    <w:rsid w:val="00FC0726"/>
    <w:rsid w:val="00FC0941"/>
    <w:rsid w:val="00FC0E3F"/>
    <w:rsid w:val="00FC0F69"/>
    <w:rsid w:val="00FC1FE7"/>
    <w:rsid w:val="00FC325C"/>
    <w:rsid w:val="00FC4011"/>
    <w:rsid w:val="00FC4CB9"/>
    <w:rsid w:val="00FC634B"/>
    <w:rsid w:val="00FD02BF"/>
    <w:rsid w:val="00FD15C4"/>
    <w:rsid w:val="00FD511E"/>
    <w:rsid w:val="00FD5DA7"/>
    <w:rsid w:val="00FD6FEF"/>
    <w:rsid w:val="00FE2E25"/>
    <w:rsid w:val="00FE3ABB"/>
    <w:rsid w:val="00FE44E5"/>
    <w:rsid w:val="00FE4A79"/>
    <w:rsid w:val="00FE5A1E"/>
    <w:rsid w:val="00FE6793"/>
    <w:rsid w:val="00FE680C"/>
    <w:rsid w:val="00FF1B1C"/>
    <w:rsid w:val="00FF25E6"/>
    <w:rsid w:val="00FF2922"/>
    <w:rsid w:val="00FF2F43"/>
    <w:rsid w:val="00FF36B4"/>
    <w:rsid w:val="00FF4FA3"/>
    <w:rsid w:val="00FF662D"/>
    <w:rsid w:val="00FF7770"/>
    <w:rsid w:val="00FF7834"/>
    <w:rsid w:val="00FF7B2E"/>
    <w:rsid w:val="0BBF0231"/>
    <w:rsid w:val="0E81694D"/>
    <w:rsid w:val="104E02CD"/>
    <w:rsid w:val="12207C10"/>
    <w:rsid w:val="1AFB3D07"/>
    <w:rsid w:val="1CC06428"/>
    <w:rsid w:val="2262412B"/>
    <w:rsid w:val="28875D91"/>
    <w:rsid w:val="292F0982"/>
    <w:rsid w:val="2BF848BB"/>
    <w:rsid w:val="2CAE1001"/>
    <w:rsid w:val="2CF79974"/>
    <w:rsid w:val="2F064C26"/>
    <w:rsid w:val="30933AEC"/>
    <w:rsid w:val="31B8406A"/>
    <w:rsid w:val="36FC0FEA"/>
    <w:rsid w:val="39A57325"/>
    <w:rsid w:val="3B351BD4"/>
    <w:rsid w:val="3D0B54B4"/>
    <w:rsid w:val="3F90047C"/>
    <w:rsid w:val="4F4A5812"/>
    <w:rsid w:val="509555C0"/>
    <w:rsid w:val="54173C67"/>
    <w:rsid w:val="547E651B"/>
    <w:rsid w:val="55F60D81"/>
    <w:rsid w:val="589A76D4"/>
    <w:rsid w:val="5AAF338E"/>
    <w:rsid w:val="5AB701D0"/>
    <w:rsid w:val="5BF81A66"/>
    <w:rsid w:val="5C624FE1"/>
    <w:rsid w:val="64CD5BDD"/>
    <w:rsid w:val="66EF6CCB"/>
    <w:rsid w:val="77FE1595"/>
    <w:rsid w:val="7973021E"/>
    <w:rsid w:val="7BDD624B"/>
    <w:rsid w:val="7BDE58F8"/>
    <w:rsid w:val="7CB79696"/>
    <w:rsid w:val="7CD37ED8"/>
    <w:rsid w:val="7D0D1CA5"/>
    <w:rsid w:val="7F77E635"/>
    <w:rsid w:val="B37B8ABB"/>
    <w:rsid w:val="B67BA5A8"/>
    <w:rsid w:val="BEFBEE03"/>
    <w:rsid w:val="FFFF9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eastAsia="仿宋" w:asciiTheme="minorHAnsi" w:hAnsiTheme="minorHAnsi" w:cstheme="minorBidi"/>
      <w:kern w:val="2"/>
      <w:sz w:val="24"/>
      <w:szCs w:val="22"/>
      <w:lang w:val="en-US" w:eastAsia="zh-CN" w:bidi="ar-SA"/>
    </w:rPr>
  </w:style>
  <w:style w:type="paragraph" w:styleId="2">
    <w:name w:val="heading 2"/>
    <w:basedOn w:val="1"/>
    <w:next w:val="1"/>
    <w:link w:val="19"/>
    <w:autoRedefine/>
    <w:qFormat/>
    <w:uiPriority w:val="99"/>
    <w:pPr>
      <w:keepNext/>
      <w:keepLines/>
      <w:spacing w:before="260" w:after="260" w:line="416" w:lineRule="auto"/>
      <w:outlineLvl w:val="1"/>
    </w:pPr>
    <w:rPr>
      <w:rFonts w:ascii="Arial" w:hAnsi="Arial" w:eastAsia="黑体" w:cs="Arial"/>
      <w:b/>
      <w:bCs/>
      <w:sz w:val="32"/>
      <w:szCs w:val="32"/>
    </w:rPr>
  </w:style>
  <w:style w:type="character" w:default="1" w:styleId="14">
    <w:name w:val="Default Paragraph Font"/>
    <w:autoRedefine/>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4">
    <w:name w:val="annotation text"/>
    <w:basedOn w:val="1"/>
    <w:autoRedefine/>
    <w:qFormat/>
    <w:uiPriority w:val="0"/>
    <w:pPr>
      <w:jc w:val="left"/>
    </w:pPr>
  </w:style>
  <w:style w:type="paragraph" w:styleId="5">
    <w:name w:val="Body Text"/>
    <w:basedOn w:val="1"/>
    <w:qFormat/>
    <w:uiPriority w:val="0"/>
    <w:pPr>
      <w:spacing w:after="120" w:afterLines="0" w:afterAutospacing="0"/>
    </w:pPr>
  </w:style>
  <w:style w:type="paragraph" w:styleId="6">
    <w:name w:val="Body Text Indent"/>
    <w:basedOn w:val="1"/>
    <w:autoRedefine/>
    <w:unhideWhenUsed/>
    <w:qFormat/>
    <w:uiPriority w:val="99"/>
    <w:pPr>
      <w:spacing w:after="120"/>
      <w:ind w:left="420" w:leftChars="200"/>
    </w:p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spacing w:line="720" w:lineRule="auto"/>
    </w:pPr>
    <w:rPr>
      <w:rFonts w:ascii="Times New Roman" w:hAnsi="Times New Roman" w:eastAsia="宋体" w:cs="Times New Roman"/>
      <w:szCs w:val="24"/>
    </w:rPr>
  </w:style>
  <w:style w:type="paragraph" w:styleId="10">
    <w:name w:val="toc 2"/>
    <w:basedOn w:val="1"/>
    <w:next w:val="1"/>
    <w:autoRedefine/>
    <w:unhideWhenUsed/>
    <w:qFormat/>
    <w:uiPriority w:val="39"/>
    <w:pPr>
      <w:ind w:left="420" w:leftChars="200"/>
    </w:pPr>
  </w:style>
  <w:style w:type="paragraph" w:styleId="11">
    <w:name w:val="Body Text First Indent 2"/>
    <w:basedOn w:val="6"/>
    <w:next w:val="1"/>
    <w:autoRedefine/>
    <w:unhideWhenUsed/>
    <w:qFormat/>
    <w:uiPriority w:val="99"/>
    <w:pPr>
      <w:ind w:firstLine="420"/>
    </w:pPr>
    <w:rPr>
      <w:rFonts w:cs="黑体"/>
      <w:sz w:val="28"/>
      <w:szCs w:val="28"/>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autoRedefine/>
    <w:qFormat/>
    <w:uiPriority w:val="99"/>
    <w:rPr>
      <w:color w:val="0000FF"/>
      <w:u w:val="single"/>
    </w:rPr>
  </w:style>
  <w:style w:type="character" w:customStyle="1" w:styleId="16">
    <w:name w:val="页眉 字符"/>
    <w:basedOn w:val="14"/>
    <w:link w:val="8"/>
    <w:autoRedefine/>
    <w:qFormat/>
    <w:uiPriority w:val="99"/>
    <w:rPr>
      <w:sz w:val="18"/>
      <w:szCs w:val="18"/>
    </w:rPr>
  </w:style>
  <w:style w:type="character" w:customStyle="1" w:styleId="17">
    <w:name w:val="页脚 字符"/>
    <w:basedOn w:val="14"/>
    <w:link w:val="7"/>
    <w:autoRedefine/>
    <w:qFormat/>
    <w:uiPriority w:val="99"/>
    <w:rPr>
      <w:sz w:val="18"/>
      <w:szCs w:val="18"/>
    </w:rPr>
  </w:style>
  <w:style w:type="paragraph" w:customStyle="1" w:styleId="18">
    <w:name w:val="正文首行缩进两字符"/>
    <w:basedOn w:val="1"/>
    <w:autoRedefine/>
    <w:qFormat/>
    <w:uiPriority w:val="0"/>
    <w:pPr>
      <w:ind w:firstLine="200" w:firstLineChars="200"/>
    </w:pPr>
    <w:rPr>
      <w:rFonts w:ascii="Times New Roman" w:hAnsi="Times New Roman" w:eastAsia="宋体" w:cs="Times New Roman"/>
      <w:szCs w:val="24"/>
    </w:rPr>
  </w:style>
  <w:style w:type="character" w:customStyle="1" w:styleId="19">
    <w:name w:val="标题 2 字符"/>
    <w:basedOn w:val="14"/>
    <w:link w:val="2"/>
    <w:autoRedefine/>
    <w:qFormat/>
    <w:uiPriority w:val="99"/>
    <w:rPr>
      <w:rFonts w:ascii="Arial" w:hAnsi="Arial" w:eastAsia="黑体" w:cs="Arial"/>
      <w:b/>
      <w:bCs/>
      <w:sz w:val="32"/>
      <w:szCs w:val="32"/>
    </w:rPr>
  </w:style>
  <w:style w:type="character" w:customStyle="1" w:styleId="20">
    <w:name w:val="未处理的提及1"/>
    <w:basedOn w:val="14"/>
    <w:semiHidden/>
    <w:unhideWhenUsed/>
    <w:qFormat/>
    <w:uiPriority w:val="99"/>
    <w:rPr>
      <w:color w:val="605E5C"/>
      <w:shd w:val="clear" w:color="auto" w:fill="E1DFDD"/>
    </w:rPr>
  </w:style>
  <w:style w:type="paragraph"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26804</Words>
  <Characters>28650</Characters>
  <Lines>300</Lines>
  <Paragraphs>84</Paragraphs>
  <TotalTime>32</TotalTime>
  <ScaleCrop>false</ScaleCrop>
  <LinksUpToDate>false</LinksUpToDate>
  <CharactersWithSpaces>28835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2021-01-29T11:32:00Z</dcterms:created>
  <dc:creator>凯 刘</dc:creator>
  <cp:lastModifiedBy>记得说晚安</cp:lastModifiedBy>
  <cp:lastPrinted>2024-08-16T02:05:43Z</cp:lastPrinted>
  <dcterms:modified xsi:type="dcterms:W3CDTF">2024-08-16T02:05:47Z</dcterms:modified>
  <cp:revision>1946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26B26CDE09E0485D98ED05CDE2BFA564_13</vt:lpwstr>
  </property>
</Properties>
</file>