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全省政务服务网第三方评估服务项目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5"/>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5"/>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5</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11</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3"/>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227057880"/>
      <w:bookmarkStart w:id="1" w:name="_Toc453691462"/>
      <w:bookmarkStart w:id="2" w:name="_Toc468808805"/>
      <w:bookmarkStart w:id="3" w:name="_Toc227057922"/>
      <w:bookmarkStart w:id="4" w:name="_Toc226969316"/>
      <w:bookmarkStart w:id="5" w:name="_Toc107822520"/>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107822481"/>
      <w:bookmarkStart w:id="7" w:name="_Toc226969274"/>
      <w:bookmarkStart w:id="8" w:name="_Toc227057881"/>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全省政务服务网第三方评估服务项目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全省政务服务网第三方评估服务项目</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全省政务服务网第三方评估服务</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肆拾捌万伍仟</w:t>
      </w:r>
      <w:r>
        <w:rPr>
          <w:rFonts w:hint="eastAsia" w:ascii="仿宋_GB2312" w:hAnsi="仿宋_GB2312" w:eastAsia="仿宋_GB2312" w:cs="仿宋_GB2312"/>
          <w:color w:val="000000" w:themeColor="text1"/>
          <w:sz w:val="32"/>
          <w:szCs w:val="32"/>
          <w14:textFill>
            <w14:solidFill>
              <w14:schemeClr w14:val="tx1"/>
            </w14:solidFill>
          </w14:textFill>
        </w:rPr>
        <w:t>元整）</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w:t>
      </w:r>
      <w:r>
        <w:rPr>
          <w:rFonts w:hint="eastAsia" w:ascii="仿宋_GB2312" w:hAnsi="仿宋_GB2312" w:eastAsia="仿宋_GB2312" w:cs="仿宋_GB2312"/>
          <w:b/>
          <w:color w:val="000000" w:themeColor="text1"/>
          <w:sz w:val="32"/>
          <w:szCs w:val="32"/>
          <w14:textFill>
            <w14:solidFill>
              <w14:schemeClr w14:val="tx1"/>
            </w14:solidFill>
          </w14:textFill>
        </w:rPr>
        <w:t>根据综合评分法按排名由高到低推荐第一名为中标候选人</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本项目采用资格预审，采购评审小组根据采购文件的规定对供应商进行资格审查，若资格审查不合格其响应文件将被否决，采购申请人资格要求如下：</w:t>
      </w:r>
    </w:p>
    <w:p w14:paraId="7D2844A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月24日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25</w:t>
      </w:r>
      <w:bookmarkStart w:id="88" w:name="_GoBack"/>
      <w:bookmarkEnd w:id="88"/>
      <w:r>
        <w:rPr>
          <w:rFonts w:hint="eastAsia" w:ascii="仿宋_GB2312" w:hAnsi="仿宋_GB2312" w:eastAsia="仿宋_GB2312" w:cs="仿宋_GB2312"/>
          <w:color w:val="000000" w:themeColor="text1"/>
          <w:sz w:val="32"/>
          <w:szCs w:val="32"/>
          <w14:textFill>
            <w14:solidFill>
              <w14:schemeClr w14:val="tx1"/>
            </w14:solidFill>
          </w14:textFill>
        </w:rPr>
        <w:t>日在四川省成都市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4DE79E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0AF3CD37">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6969356"/>
      <w:bookmarkStart w:id="11" w:name="_Toc227057962"/>
    </w:p>
    <w:p w14:paraId="4C387482">
      <w:pPr>
        <w:pStyle w:val="3"/>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4"/>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7662A3EC">
      <w:pPr>
        <w:spacing w:line="600" w:lineRule="exact"/>
        <w:ind w:firstLine="640" w:firstLineChars="20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一、项目名称</w:t>
      </w:r>
    </w:p>
    <w:p w14:paraId="41379250">
      <w:pPr>
        <w:spacing w:line="600" w:lineRule="exact"/>
        <w:ind w:firstLine="640" w:firstLineChars="200"/>
        <w:outlineLvl w:val="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全省政务服务网第三方评估服务</w:t>
      </w:r>
    </w:p>
    <w:p w14:paraId="0BF4F164">
      <w:pPr>
        <w:spacing w:line="600" w:lineRule="exact"/>
        <w:ind w:firstLine="640" w:firstLineChars="20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二、项目概述</w:t>
      </w:r>
    </w:p>
    <w:p w14:paraId="4EDD3323">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为贯彻落实四川省</w:t>
      </w:r>
      <w:r>
        <w:rPr>
          <w:rFonts w:hint="eastAsia" w:ascii="Times New Roman" w:hAnsi="Times New Roman" w:eastAsia="仿宋_GB2312" w:cs="Times New Roman"/>
          <w:sz w:val="32"/>
          <w:szCs w:val="32"/>
          <w:highlight w:val="none"/>
          <w:lang w:val="en-US" w:eastAsia="zh-CN"/>
        </w:rPr>
        <w:t>政府效能</w:t>
      </w:r>
      <w:r>
        <w:rPr>
          <w:rFonts w:hint="eastAsia" w:ascii="Times New Roman" w:hAnsi="Times New Roman" w:eastAsia="仿宋_GB2312" w:cs="Times New Roman"/>
          <w:sz w:val="32"/>
          <w:szCs w:val="32"/>
          <w:highlight w:val="none"/>
        </w:rPr>
        <w:t>数字化改革</w:t>
      </w:r>
      <w:r>
        <w:rPr>
          <w:rFonts w:hint="eastAsia" w:ascii="Times New Roman" w:hAnsi="Times New Roman" w:eastAsia="仿宋_GB2312" w:cs="Times New Roman"/>
          <w:sz w:val="32"/>
          <w:szCs w:val="32"/>
          <w:highlight w:val="none"/>
          <w:lang w:val="en-US" w:eastAsia="zh-CN"/>
        </w:rPr>
        <w:t>工作</w:t>
      </w:r>
      <w:r>
        <w:rPr>
          <w:rFonts w:hint="eastAsia" w:ascii="Times New Roman" w:hAnsi="Times New Roman" w:eastAsia="仿宋_GB2312" w:cs="Times New Roman"/>
          <w:sz w:val="32"/>
          <w:szCs w:val="32"/>
          <w:highlight w:val="none"/>
        </w:rPr>
        <w:t>推进</w:t>
      </w:r>
      <w:r>
        <w:rPr>
          <w:rFonts w:hint="eastAsia" w:ascii="Times New Roman" w:hAnsi="Times New Roman" w:eastAsia="仿宋_GB2312" w:cs="Times New Roman"/>
          <w:sz w:val="32"/>
          <w:szCs w:val="32"/>
          <w:highlight w:val="none"/>
          <w:lang w:val="en-US" w:eastAsia="zh-CN"/>
        </w:rPr>
        <w:t>要求</w:t>
      </w:r>
      <w:r>
        <w:rPr>
          <w:rFonts w:hint="eastAsia" w:ascii="Times New Roman" w:hAnsi="Times New Roman" w:eastAsia="仿宋_GB2312" w:cs="Times New Roman"/>
          <w:sz w:val="32"/>
          <w:szCs w:val="32"/>
          <w:highlight w:val="none"/>
        </w:rPr>
        <w:t>，加快推进数字政府建设</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特通过调研报告形式开展2025年全省政务服务网第三方评估服务项目。本项目</w:t>
      </w:r>
      <w:r>
        <w:rPr>
          <w:rFonts w:hint="eastAsia" w:ascii="Times New Roman" w:hAnsi="Times New Roman" w:eastAsia="仿宋_GB2312" w:cs="Times New Roman"/>
          <w:sz w:val="32"/>
          <w:szCs w:val="32"/>
          <w:highlight w:val="none"/>
        </w:rPr>
        <w:t>充分运用问卷调查、线上数据采集、实地调研等多种方式收集资料及数据，并辅以大数据分析等手段，结合数字政府重点工作推进情况，从平台、数据、应用等方面，对四川省21个市（州）和相关省直部门政务服务运行情况进行深度调查分析，及时发现政务服务中的瓶颈问题</w:t>
      </w:r>
      <w:r>
        <w:rPr>
          <w:rFonts w:hint="eastAsia" w:ascii="Times New Roman" w:hAnsi="Times New Roman" w:eastAsia="仿宋_GB2312" w:cs="Times New Roman"/>
          <w:sz w:val="32"/>
          <w:szCs w:val="32"/>
          <w:highlight w:val="none"/>
          <w:lang w:val="en-US" w:eastAsia="zh-CN"/>
        </w:rPr>
        <w:t>并提出改进建议</w:t>
      </w:r>
      <w:r>
        <w:rPr>
          <w:rFonts w:hint="eastAsia" w:ascii="Times New Roman" w:hAnsi="Times New Roman" w:eastAsia="仿宋_GB2312" w:cs="Times New Roman"/>
          <w:sz w:val="32"/>
          <w:szCs w:val="32"/>
          <w:highlight w:val="none"/>
        </w:rPr>
        <w:t>，提升服务质量，引导和规范全省政务服务的持续健康发展，推动政务服务提质增效，增强我省政府的数字化履职能力，助力经济社会的高质量发展。</w:t>
      </w:r>
    </w:p>
    <w:p w14:paraId="16FFAD32">
      <w:pPr>
        <w:spacing w:line="600" w:lineRule="exact"/>
        <w:ind w:firstLine="640" w:firstLineChars="20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三、服务内容</w:t>
      </w:r>
    </w:p>
    <w:p w14:paraId="69A404B8">
      <w:pPr>
        <w:spacing w:line="600" w:lineRule="exact"/>
        <w:ind w:firstLine="640" w:firstLineChars="200"/>
        <w:outlineLvl w:val="1"/>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rPr>
        <w:t>★（一）</w:t>
      </w:r>
      <w:r>
        <w:rPr>
          <w:rFonts w:hint="eastAsia" w:ascii="Times New Roman" w:hAnsi="Times New Roman" w:eastAsia="黑体" w:cs="Times New Roman"/>
          <w:sz w:val="32"/>
          <w:szCs w:val="32"/>
          <w:highlight w:val="none"/>
          <w:lang w:val="en-US" w:eastAsia="zh-CN"/>
        </w:rPr>
        <w:t>调研实施方案编制</w:t>
      </w:r>
    </w:p>
    <w:p w14:paraId="17A85D5C">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工作要求：</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四川数字政府项目推进</w:t>
      </w:r>
      <w:r>
        <w:rPr>
          <w:rFonts w:hint="eastAsia" w:ascii="Times New Roman" w:hAnsi="Times New Roman" w:eastAsia="仿宋_GB2312" w:cs="Times New Roman"/>
          <w:sz w:val="32"/>
          <w:szCs w:val="32"/>
          <w:highlight w:val="none"/>
          <w:lang w:val="en-US" w:eastAsia="zh-CN"/>
        </w:rPr>
        <w:t>协同</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以政府效能数字化改革为主线，</w:t>
      </w:r>
      <w:r>
        <w:rPr>
          <w:rFonts w:hint="eastAsia" w:ascii="Times New Roman" w:hAnsi="Times New Roman" w:eastAsia="仿宋_GB2312" w:cs="Times New Roman"/>
          <w:sz w:val="32"/>
          <w:szCs w:val="32"/>
          <w:highlight w:val="none"/>
        </w:rPr>
        <w:t>开展四川省政务服务能力调研活动，科学设计调研指标体系，</w:t>
      </w:r>
      <w:r>
        <w:rPr>
          <w:rFonts w:hint="eastAsia" w:ascii="Times New Roman" w:hAnsi="Times New Roman" w:eastAsia="仿宋_GB2312" w:cs="Times New Roman"/>
          <w:sz w:val="32"/>
          <w:szCs w:val="32"/>
          <w:highlight w:val="none"/>
          <w:lang w:val="en-US" w:eastAsia="zh-CN"/>
        </w:rPr>
        <w:t>编制</w:t>
      </w:r>
      <w:r>
        <w:rPr>
          <w:rFonts w:hint="eastAsia" w:ascii="Times New Roman" w:hAnsi="Times New Roman" w:eastAsia="仿宋_GB2312" w:cs="Times New Roman"/>
          <w:sz w:val="32"/>
          <w:szCs w:val="32"/>
          <w:highlight w:val="none"/>
        </w:rPr>
        <w:t>调研实施方案，明确本次调研工作的主要方向、范围、</w:t>
      </w:r>
      <w:r>
        <w:rPr>
          <w:rFonts w:hint="eastAsia" w:ascii="Times New Roman" w:hAnsi="Times New Roman" w:eastAsia="仿宋_GB2312" w:cs="Times New Roman"/>
          <w:sz w:val="32"/>
          <w:szCs w:val="32"/>
          <w:highlight w:val="none"/>
          <w:lang w:val="en-US" w:eastAsia="zh-CN"/>
        </w:rPr>
        <w:t>重点，</w:t>
      </w:r>
      <w:r>
        <w:rPr>
          <w:rFonts w:hint="eastAsia" w:ascii="Times New Roman" w:hAnsi="Times New Roman" w:eastAsia="仿宋_GB2312" w:cs="Times New Roman"/>
          <w:sz w:val="32"/>
          <w:szCs w:val="32"/>
          <w:highlight w:val="none"/>
        </w:rPr>
        <w:t>包括但不限于：数字政府公共支撑能力、重点行业部门系统对接深度、</w:t>
      </w:r>
      <w:r>
        <w:rPr>
          <w:rFonts w:hint="eastAsia" w:ascii="Times New Roman" w:hAnsi="Times New Roman" w:eastAsia="仿宋_GB2312" w:cs="Times New Roman"/>
          <w:sz w:val="32"/>
          <w:szCs w:val="32"/>
          <w:highlight w:val="none"/>
          <w:lang w:val="en-US" w:eastAsia="zh-CN"/>
        </w:rPr>
        <w:t>组织制度、部门业务改革、</w:t>
      </w:r>
      <w:r>
        <w:rPr>
          <w:rFonts w:hint="eastAsia" w:ascii="Times New Roman" w:hAnsi="Times New Roman" w:eastAsia="仿宋_GB2312" w:cs="Times New Roman"/>
          <w:sz w:val="32"/>
          <w:szCs w:val="32"/>
          <w:highlight w:val="none"/>
        </w:rPr>
        <w:t>重点应用场景落地等方面。</w:t>
      </w:r>
    </w:p>
    <w:p w14:paraId="29F3A79D">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交付物：《四川省政务服务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发展调研实施方案》1份。</w:t>
      </w:r>
    </w:p>
    <w:p w14:paraId="3BCE716A">
      <w:pPr>
        <w:spacing w:line="600" w:lineRule="exact"/>
        <w:ind w:firstLine="640" w:firstLineChars="200"/>
        <w:outlineLvl w:val="1"/>
        <w:rPr>
          <w:rFonts w:hint="default" w:ascii="Times New Roman" w:hAnsi="Times New Roman" w:eastAsia="黑体" w:cs="Times New Roman"/>
          <w:highlight w:val="none"/>
          <w:lang w:val="en-US" w:eastAsia="zh-CN"/>
        </w:rPr>
      </w:pP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调研指标体系设计</w:t>
      </w:r>
    </w:p>
    <w:p w14:paraId="763EF43E">
      <w:pPr>
        <w:spacing w:line="600" w:lineRule="exact"/>
        <w:ind w:firstLine="640" w:firstLineChars="200"/>
        <w:rPr>
          <w:rFonts w:hint="default" w:ascii="Times New Roman" w:hAnsi="Times New Roman" w:cs="Times New Roman"/>
          <w:highlight w:val="none"/>
        </w:rPr>
      </w:pPr>
      <w:r>
        <w:rPr>
          <w:rFonts w:hint="eastAsia" w:ascii="Times New Roman" w:hAnsi="Times New Roman" w:eastAsia="仿宋_GB2312" w:cs="Times New Roman"/>
          <w:sz w:val="32"/>
          <w:szCs w:val="32"/>
          <w:highlight w:val="none"/>
        </w:rPr>
        <w:t>工作要求：根据《四川省政务服务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发展调研实施方案》，科学制定省直部门、市（州）调研指标体系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lang w:val="en-US" w:eastAsia="zh-CN"/>
        </w:rPr>
        <w:t>但不限于</w:t>
      </w:r>
      <w:r>
        <w:rPr>
          <w:rFonts w:hint="eastAsia" w:ascii="Times New Roman" w:hAnsi="Times New Roman" w:eastAsia="仿宋_GB2312" w:cs="Times New Roman"/>
          <w:sz w:val="32"/>
          <w:szCs w:val="32"/>
          <w:highlight w:val="none"/>
        </w:rPr>
        <w:t>数字政府公共支撑能力（</w:t>
      </w:r>
      <w:r>
        <w:rPr>
          <w:rFonts w:ascii="Times New Roman" w:hAnsi="Times New Roman" w:eastAsia="仿宋_GB2312" w:cs="Times New Roman"/>
          <w:spacing w:val="11"/>
          <w:sz w:val="32"/>
          <w:szCs w:val="32"/>
          <w:highlight w:val="none"/>
        </w:rPr>
        <w:t>身份认证、电子证照、电子签章、电子档案、公共物流</w:t>
      </w:r>
      <w:r>
        <w:rPr>
          <w:rFonts w:hint="default" w:ascii="Times New Roman" w:hAnsi="Times New Roman" w:eastAsia="仿宋_GB2312" w:cs="Times New Roman"/>
          <w:spacing w:val="11"/>
          <w:sz w:val="32"/>
          <w:szCs w:val="32"/>
          <w:highlight w:val="none"/>
        </w:rPr>
        <w:t>等</w:t>
      </w:r>
      <w:r>
        <w:rPr>
          <w:rFonts w:hint="eastAsia" w:ascii="Times New Roman" w:hAnsi="Times New Roman" w:eastAsia="仿宋_GB2312" w:cs="Times New Roman"/>
          <w:sz w:val="32"/>
          <w:szCs w:val="32"/>
          <w:highlight w:val="none"/>
        </w:rPr>
        <w:t>）、重点行业部门系统深度对接（省直部门行业系统整合情况、系统对接情况、</w:t>
      </w:r>
      <w:r>
        <w:rPr>
          <w:rFonts w:hint="eastAsia" w:ascii="Times New Roman" w:hAnsi="Times New Roman" w:eastAsia="仿宋_GB2312" w:cs="Times New Roman"/>
          <w:sz w:val="32"/>
          <w:szCs w:val="32"/>
          <w:highlight w:val="none"/>
          <w:lang w:val="en-US" w:eastAsia="zh-CN"/>
        </w:rPr>
        <w:t>组织制度、</w:t>
      </w:r>
      <w:r>
        <w:rPr>
          <w:rFonts w:hint="eastAsia" w:ascii="Times New Roman" w:hAnsi="Times New Roman" w:eastAsia="仿宋_GB2312" w:cs="Times New Roman"/>
          <w:sz w:val="32"/>
          <w:szCs w:val="32"/>
          <w:highlight w:val="none"/>
        </w:rPr>
        <w:t>跨部门协同情况</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业务流程再造情况、数据共享情况</w:t>
      </w:r>
      <w:r>
        <w:rPr>
          <w:rFonts w:hint="eastAsia" w:ascii="Times New Roman" w:hAnsi="Times New Roman" w:eastAsia="仿宋_GB2312" w:cs="Times New Roman"/>
          <w:sz w:val="32"/>
          <w:szCs w:val="32"/>
          <w:highlight w:val="none"/>
        </w:rPr>
        <w:t>等）、重点应用场景落地（</w:t>
      </w:r>
      <w:r>
        <w:rPr>
          <w:rFonts w:hint="eastAsia" w:ascii="Times New Roman" w:hAnsi="Times New Roman" w:eastAsia="仿宋_GB2312" w:cs="Times New Roman"/>
          <w:sz w:val="32"/>
          <w:szCs w:val="32"/>
          <w:highlight w:val="none"/>
          <w:lang w:val="en-US" w:eastAsia="zh-CN"/>
        </w:rPr>
        <w:t>惠企政策直达快享、社保卡“一卡通”“报表通”相关举措</w:t>
      </w:r>
      <w:r>
        <w:rPr>
          <w:rFonts w:hint="eastAsia" w:ascii="Times New Roman" w:hAnsi="Times New Roman" w:eastAsia="仿宋_GB2312" w:cs="Times New Roman"/>
          <w:sz w:val="32"/>
          <w:szCs w:val="32"/>
          <w:highlight w:val="none"/>
        </w:rPr>
        <w:t>等）。</w:t>
      </w:r>
    </w:p>
    <w:p w14:paraId="44AD55C1">
      <w:pPr>
        <w:spacing w:line="600" w:lineRule="exact"/>
        <w:ind w:firstLine="640" w:firstLineChars="200"/>
        <w:rPr>
          <w:rFonts w:hint="eastAsia" w:ascii="Times New Roman" w:hAnsi="Times New Roman" w:eastAsia="仿宋_GB2312" w:cs="Times New Roman"/>
          <w:strike/>
          <w:dstrike w:val="0"/>
          <w:sz w:val="32"/>
          <w:szCs w:val="32"/>
          <w:highlight w:val="none"/>
          <w:lang w:eastAsia="zh-CN"/>
        </w:rPr>
      </w:pPr>
      <w:r>
        <w:rPr>
          <w:rFonts w:hint="eastAsia" w:ascii="Times New Roman" w:hAnsi="Times New Roman" w:eastAsia="仿宋_GB2312" w:cs="Times New Roman"/>
          <w:sz w:val="32"/>
          <w:szCs w:val="32"/>
          <w:highlight w:val="none"/>
        </w:rPr>
        <w:t>具体要求</w:t>
      </w:r>
      <w:r>
        <w:rPr>
          <w:rFonts w:hint="eastAsia" w:ascii="Times New Roman" w:hAnsi="Times New Roman" w:eastAsia="仿宋_GB2312" w:cs="Times New Roman"/>
          <w:strike w:val="0"/>
          <w:dstrike w:val="0"/>
          <w:sz w:val="32"/>
          <w:szCs w:val="32"/>
          <w:highlight w:val="none"/>
        </w:rPr>
        <w:t>：调研指标数量不少于</w:t>
      </w:r>
      <w:r>
        <w:rPr>
          <w:rFonts w:hint="eastAsia" w:ascii="Times New Roman" w:hAnsi="Times New Roman" w:eastAsia="仿宋_GB2312" w:cs="Times New Roman"/>
          <w:strike w:val="0"/>
          <w:dstrike w:val="0"/>
          <w:sz w:val="32"/>
          <w:szCs w:val="32"/>
          <w:highlight w:val="none"/>
          <w:lang w:val="en-US" w:eastAsia="zh-CN"/>
        </w:rPr>
        <w:t>4</w:t>
      </w:r>
      <w:r>
        <w:rPr>
          <w:rFonts w:hint="eastAsia" w:ascii="Times New Roman" w:hAnsi="Times New Roman" w:eastAsia="仿宋_GB2312" w:cs="Times New Roman"/>
          <w:strike w:val="0"/>
          <w:dstrike w:val="0"/>
          <w:sz w:val="32"/>
          <w:szCs w:val="32"/>
          <w:highlight w:val="none"/>
        </w:rPr>
        <w:t>0个</w:t>
      </w:r>
      <w:r>
        <w:rPr>
          <w:rFonts w:hint="eastAsia" w:ascii="Times New Roman" w:hAnsi="Times New Roman" w:eastAsia="仿宋_GB2312" w:cs="Times New Roman"/>
          <w:strike w:val="0"/>
          <w:dstrike w:val="0"/>
          <w:sz w:val="32"/>
          <w:szCs w:val="32"/>
          <w:highlight w:val="none"/>
          <w:lang w:eastAsia="zh-CN"/>
        </w:rPr>
        <w:t>。</w:t>
      </w:r>
    </w:p>
    <w:p w14:paraId="6956FBD0">
      <w:pPr>
        <w:spacing w:line="600" w:lineRule="exact"/>
        <w:ind w:firstLine="640" w:firstLineChars="200"/>
        <w:rPr>
          <w:rFonts w:hint="default" w:ascii="Times New Roman" w:hAnsi="Times New Roman" w:cs="Times New Roman"/>
          <w:highlight w:val="none"/>
        </w:rPr>
      </w:pPr>
      <w:r>
        <w:rPr>
          <w:rFonts w:hint="eastAsia" w:ascii="Times New Roman" w:hAnsi="Times New Roman" w:eastAsia="仿宋_GB2312" w:cs="Times New Roman"/>
          <w:sz w:val="32"/>
          <w:szCs w:val="32"/>
          <w:highlight w:val="none"/>
        </w:rPr>
        <w:t>交付物：《四川省政务服务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发展调研指标体系》1套</w:t>
      </w:r>
      <w:r>
        <w:rPr>
          <w:rFonts w:hint="eastAsia" w:ascii="Times New Roman" w:hAnsi="Times New Roman" w:eastAsia="仿宋_GB2312" w:cs="Times New Roman"/>
          <w:sz w:val="32"/>
          <w:szCs w:val="32"/>
          <w:highlight w:val="none"/>
          <w:lang w:eastAsia="zh-CN"/>
        </w:rPr>
        <w:t>。</w:t>
      </w:r>
    </w:p>
    <w:p w14:paraId="273E18FD">
      <w:pPr>
        <w:pStyle w:val="2"/>
        <w:spacing w:line="600" w:lineRule="exact"/>
        <w:ind w:firstLine="640" w:firstLineChars="200"/>
        <w:outlineLvl w:val="1"/>
        <w:rPr>
          <w:rFonts w:hint="default" w:ascii="Times New Roman" w:hAnsi="Times New Roman" w:eastAsia="黑体" w:cs="Times New Roman"/>
          <w:b/>
          <w:bCs/>
          <w:sz w:val="32"/>
          <w:szCs w:val="32"/>
          <w:highlight w:val="none"/>
          <w:lang w:val="en-US" w:eastAsia="zh-CN"/>
        </w:rPr>
      </w:pP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三</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数据采集</w:t>
      </w:r>
    </w:p>
    <w:p w14:paraId="1451729C">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通过调查问卷、线上数据采集、落地情况核验、用户模拟体验等多种方式，</w:t>
      </w:r>
      <w:r>
        <w:rPr>
          <w:rFonts w:hint="eastAsia" w:ascii="Times New Roman" w:hAnsi="Times New Roman" w:eastAsia="仿宋_GB2312" w:cs="Times New Roman"/>
          <w:sz w:val="32"/>
          <w:szCs w:val="32"/>
          <w:highlight w:val="none"/>
          <w:lang w:val="en-US" w:eastAsia="zh-CN"/>
        </w:rPr>
        <w:t>完成调研数据采集工作</w:t>
      </w:r>
      <w:r>
        <w:rPr>
          <w:rFonts w:hint="eastAsia" w:ascii="Times New Roman" w:hAnsi="Times New Roman" w:eastAsia="仿宋_GB2312" w:cs="Times New Roman"/>
          <w:sz w:val="32"/>
          <w:szCs w:val="32"/>
          <w:highlight w:val="none"/>
        </w:rPr>
        <w:t>。</w:t>
      </w:r>
    </w:p>
    <w:p w14:paraId="13A69634">
      <w:pPr>
        <w:spacing w:line="600" w:lineRule="exact"/>
        <w:ind w:firstLine="640" w:firstLineChars="200"/>
        <w:outlineLvl w:val="2"/>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★1.调查问卷</w:t>
      </w:r>
    </w:p>
    <w:p w14:paraId="78DCFFF6">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工作要求：</w:t>
      </w:r>
      <w:r>
        <w:rPr>
          <w:rFonts w:ascii="Times New Roman" w:hAnsi="Times New Roman" w:eastAsia="仿宋_GB2312" w:cs="Times New Roman"/>
          <w:sz w:val="32"/>
          <w:szCs w:val="32"/>
          <w:highlight w:val="none"/>
        </w:rPr>
        <w:t>面向</w:t>
      </w:r>
      <w:r>
        <w:rPr>
          <w:rFonts w:hint="eastAsia" w:ascii="Times New Roman" w:hAnsi="Times New Roman" w:eastAsia="仿宋_GB2312" w:cs="Times New Roman"/>
          <w:sz w:val="32"/>
          <w:szCs w:val="32"/>
          <w:highlight w:val="none"/>
        </w:rPr>
        <w:t>省直部门及市（州）设计调查</w:t>
      </w:r>
      <w:r>
        <w:rPr>
          <w:rFonts w:ascii="Times New Roman" w:hAnsi="Times New Roman" w:eastAsia="仿宋_GB2312" w:cs="Times New Roman"/>
          <w:sz w:val="32"/>
          <w:szCs w:val="32"/>
          <w:highlight w:val="none"/>
        </w:rPr>
        <w:t>问卷</w:t>
      </w:r>
      <w:r>
        <w:rPr>
          <w:rFonts w:hint="eastAsia" w:ascii="Times New Roman" w:hAnsi="Times New Roman" w:eastAsia="仿宋_GB2312" w:cs="Times New Roman"/>
          <w:sz w:val="32"/>
          <w:szCs w:val="32"/>
          <w:highlight w:val="none"/>
        </w:rPr>
        <w:t>，通过一体化政务服务</w:t>
      </w:r>
      <w:r>
        <w:rPr>
          <w:rFonts w:hint="eastAsia" w:ascii="Times New Roman" w:hAnsi="Times New Roman" w:eastAsia="仿宋_GB2312" w:cs="Times New Roman"/>
          <w:sz w:val="32"/>
          <w:szCs w:val="32"/>
          <w:highlight w:val="none"/>
          <w:lang w:val="en-US" w:eastAsia="zh-CN"/>
        </w:rPr>
        <w:t>平台</w:t>
      </w:r>
      <w:r>
        <w:rPr>
          <w:rFonts w:hint="eastAsia" w:ascii="Times New Roman" w:hAnsi="Times New Roman" w:eastAsia="仿宋_GB2312" w:cs="Times New Roman"/>
          <w:sz w:val="32"/>
          <w:szCs w:val="32"/>
          <w:highlight w:val="none"/>
        </w:rPr>
        <w:t>搜集省直部门及市（州）的系统建设情况及堵点难点问题，收集汇总并整理有效问卷。</w:t>
      </w:r>
    </w:p>
    <w:p w14:paraId="51546D9D">
      <w:pPr>
        <w:spacing w:line="600" w:lineRule="exact"/>
        <w:ind w:firstLine="640" w:firstLineChars="200"/>
        <w:rPr>
          <w:rFonts w:hint="default" w:ascii="Times New Roman" w:hAnsi="Times New Roman" w:cs="Times New Roman"/>
          <w:highlight w:val="none"/>
        </w:rPr>
      </w:pPr>
      <w:r>
        <w:rPr>
          <w:rFonts w:hint="eastAsia" w:ascii="Times New Roman" w:hAnsi="Times New Roman" w:eastAsia="仿宋_GB2312" w:cs="Times New Roman"/>
          <w:sz w:val="32"/>
          <w:szCs w:val="32"/>
          <w:highlight w:val="none"/>
        </w:rPr>
        <w:t>具体要求：每份问卷问题数量不少于</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0项。</w:t>
      </w:r>
    </w:p>
    <w:p w14:paraId="2EFDF395">
      <w:pPr>
        <w:spacing w:line="600" w:lineRule="exact"/>
        <w:ind w:firstLine="640" w:firstLineChars="200"/>
        <w:rPr>
          <w:rFonts w:hint="default" w:ascii="Times New Roman" w:hAnsi="Times New Roman" w:cs="Times New Roman"/>
          <w:highlight w:val="none"/>
        </w:rPr>
      </w:pPr>
      <w:r>
        <w:rPr>
          <w:rFonts w:hint="eastAsia" w:ascii="Times New Roman" w:hAnsi="Times New Roman" w:eastAsia="仿宋_GB2312" w:cs="Times New Roman"/>
          <w:sz w:val="32"/>
          <w:szCs w:val="32"/>
          <w:highlight w:val="none"/>
        </w:rPr>
        <w:t>交付物：《省直部门调查问卷》1份，《市（州）调查问卷》1份，《省直部门问卷调查数据集》1份，《市</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州</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问卷调查数据集》1份。</w:t>
      </w:r>
    </w:p>
    <w:p w14:paraId="5F7662E9">
      <w:pPr>
        <w:spacing w:line="600" w:lineRule="exact"/>
        <w:ind w:firstLine="640" w:firstLineChars="200"/>
        <w:outlineLvl w:val="2"/>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★2.线上数据采集</w:t>
      </w:r>
    </w:p>
    <w:p w14:paraId="5BBD5EEF">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工作要求：依托省一体化政务服务平台采集相关运行数据，包括</w:t>
      </w:r>
      <w:r>
        <w:rPr>
          <w:rFonts w:ascii="Times New Roman" w:hAnsi="Times New Roman" w:eastAsia="仿宋_GB2312" w:cs="Times New Roman"/>
          <w:sz w:val="32"/>
          <w:szCs w:val="32"/>
          <w:highlight w:val="none"/>
        </w:rPr>
        <w:t>各类政务服务事项的办理数量、办理时间</w:t>
      </w:r>
      <w:r>
        <w:rPr>
          <w:rFonts w:hint="eastAsia" w:ascii="Times New Roman" w:hAnsi="Times New Roman" w:eastAsia="仿宋_GB2312" w:cs="Times New Roman"/>
          <w:sz w:val="32"/>
          <w:szCs w:val="32"/>
          <w:highlight w:val="none"/>
        </w:rPr>
        <w:t>、办理效率、材料精简情况、系统对接情况</w:t>
      </w:r>
      <w:r>
        <w:rPr>
          <w:rFonts w:ascii="Times New Roman" w:hAnsi="Times New Roman" w:eastAsia="仿宋_GB2312" w:cs="Times New Roman"/>
          <w:sz w:val="32"/>
          <w:szCs w:val="32"/>
          <w:highlight w:val="none"/>
        </w:rPr>
        <w:t>等。</w:t>
      </w:r>
    </w:p>
    <w:p w14:paraId="0AEFCBF2">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具体要求：数据采集</w:t>
      </w:r>
      <w:r>
        <w:rPr>
          <w:rFonts w:hint="eastAsia" w:ascii="Times New Roman" w:hAnsi="Times New Roman" w:eastAsia="仿宋_GB2312" w:cs="Times New Roman"/>
          <w:sz w:val="32"/>
          <w:szCs w:val="32"/>
          <w:highlight w:val="none"/>
          <w:lang w:val="en-US" w:eastAsia="zh-CN"/>
        </w:rPr>
        <w:t>项</w:t>
      </w:r>
      <w:r>
        <w:rPr>
          <w:rFonts w:hint="eastAsia" w:ascii="Times New Roman" w:hAnsi="Times New Roman" w:eastAsia="仿宋_GB2312" w:cs="Times New Roman"/>
          <w:sz w:val="32"/>
          <w:szCs w:val="32"/>
          <w:highlight w:val="none"/>
        </w:rPr>
        <w:t>不少于</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00项。</w:t>
      </w:r>
    </w:p>
    <w:p w14:paraId="2C6FC394">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交付物：《省直部门线上数据采样表》1份，《市（州）线上数据采样表》1份，《省直部门线上数据采样结果数据集》1份，《市（州）线上数据采样结果数据集》1份</w:t>
      </w:r>
      <w:r>
        <w:rPr>
          <w:rFonts w:hint="eastAsia" w:ascii="Times New Roman" w:hAnsi="Times New Roman" w:eastAsia="仿宋_GB2312" w:cs="Times New Roman"/>
          <w:sz w:val="32"/>
          <w:szCs w:val="32"/>
          <w:highlight w:val="none"/>
          <w:lang w:eastAsia="zh-CN"/>
        </w:rPr>
        <w:t>。</w:t>
      </w:r>
    </w:p>
    <w:p w14:paraId="2CFF3F1E">
      <w:pPr>
        <w:spacing w:line="600" w:lineRule="exact"/>
        <w:ind w:firstLine="640" w:firstLineChars="200"/>
        <w:outlineLvl w:val="2"/>
        <w:rPr>
          <w:rFonts w:ascii="Times New Roman" w:hAnsi="Times New Roman" w:eastAsia="黑体" w:cs="Times New Roman"/>
          <w:sz w:val="32"/>
          <w:szCs w:val="32"/>
          <w:highlight w:val="none"/>
          <w:lang w:val="zh-CN"/>
        </w:rPr>
      </w:pP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3</w:t>
      </w:r>
      <w:r>
        <w:rPr>
          <w:rFonts w:hint="eastAsia" w:ascii="Times New Roman" w:hAnsi="Times New Roman" w:eastAsia="黑体" w:cs="Times New Roman"/>
          <w:sz w:val="32"/>
          <w:szCs w:val="32"/>
          <w:highlight w:val="none"/>
        </w:rPr>
        <w:t>.落地情况核验</w:t>
      </w:r>
    </w:p>
    <w:p w14:paraId="640C5750">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工作要求：制定落地情况核验方案，通过实地调研、电话抽查与回访等方式，对服务落地情况进行抽检。</w:t>
      </w:r>
      <w:r>
        <w:rPr>
          <w:rFonts w:ascii="Times New Roman" w:hAnsi="Times New Roman" w:eastAsia="仿宋_GB2312" w:cs="Times New Roman"/>
          <w:sz w:val="32"/>
          <w:szCs w:val="32"/>
          <w:highlight w:val="none"/>
        </w:rPr>
        <w:t>调研团队</w:t>
      </w:r>
      <w:r>
        <w:rPr>
          <w:rFonts w:hint="eastAsia" w:ascii="Times New Roman" w:hAnsi="Times New Roman" w:eastAsia="仿宋_GB2312" w:cs="Times New Roman"/>
          <w:sz w:val="32"/>
          <w:szCs w:val="32"/>
          <w:highlight w:val="none"/>
          <w:lang w:eastAsia="zh-CN"/>
        </w:rPr>
        <w:t>深入</w:t>
      </w:r>
      <w:r>
        <w:rPr>
          <w:rFonts w:ascii="Times New Roman" w:hAnsi="Times New Roman" w:eastAsia="仿宋_GB2312" w:cs="Times New Roman"/>
          <w:sz w:val="32"/>
          <w:szCs w:val="32"/>
          <w:highlight w:val="none"/>
        </w:rPr>
        <w:t>省直部门政务服务窗口、市（州）政务服务大厅等进行实地</w:t>
      </w:r>
      <w:r>
        <w:rPr>
          <w:rFonts w:hint="eastAsia" w:ascii="Times New Roman" w:hAnsi="Times New Roman" w:eastAsia="仿宋_GB2312" w:cs="Times New Roman"/>
          <w:sz w:val="32"/>
          <w:szCs w:val="32"/>
          <w:highlight w:val="none"/>
        </w:rPr>
        <w:t>核查。</w:t>
      </w:r>
    </w:p>
    <w:p w14:paraId="4929E213">
      <w:pPr>
        <w:spacing w:line="600" w:lineRule="exact"/>
        <w:ind w:firstLine="640" w:firstLineChars="200"/>
        <w:rPr>
          <w:rFonts w:hint="default" w:ascii="Times New Roman" w:hAnsi="Times New Roman" w:cs="Times New Roman"/>
          <w:highlight w:val="none"/>
        </w:rPr>
      </w:pPr>
      <w:r>
        <w:rPr>
          <w:rFonts w:hint="eastAsia" w:ascii="Times New Roman" w:hAnsi="Times New Roman" w:eastAsia="仿宋_GB2312" w:cs="Times New Roman"/>
          <w:sz w:val="32"/>
          <w:szCs w:val="32"/>
          <w:highlight w:val="none"/>
        </w:rPr>
        <w:t>具体要求：每个市（州）至少现场核验1次，电话抽查及电话回访总量不少于</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0次。</w:t>
      </w:r>
    </w:p>
    <w:p w14:paraId="66D2D5BB">
      <w:pPr>
        <w:spacing w:line="600" w:lineRule="exact"/>
        <w:ind w:firstLine="640" w:firstLineChars="200"/>
        <w:rPr>
          <w:rFonts w:ascii="Times New Roman" w:hAnsi="Times New Roman" w:cs="Times New Roman"/>
          <w:highlight w:val="none"/>
        </w:rPr>
      </w:pPr>
      <w:r>
        <w:rPr>
          <w:rFonts w:hint="eastAsia" w:ascii="Times New Roman" w:hAnsi="Times New Roman" w:eastAsia="仿宋_GB2312" w:cs="Times New Roman"/>
          <w:sz w:val="32"/>
          <w:szCs w:val="32"/>
          <w:highlight w:val="none"/>
        </w:rPr>
        <w:t>交付物：《落地情况核验方案》1份，《落地情况核验表》1份。</w:t>
      </w:r>
    </w:p>
    <w:p w14:paraId="415E572D">
      <w:pPr>
        <w:spacing w:line="600" w:lineRule="exact"/>
        <w:ind w:firstLine="640" w:firstLineChars="200"/>
        <w:outlineLvl w:val="2"/>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黑体" w:cs="Times New Roman"/>
          <w:sz w:val="32"/>
          <w:szCs w:val="32"/>
          <w:highlight w:val="none"/>
          <w:lang w:val="en-US" w:eastAsia="zh-CN"/>
        </w:rPr>
        <w:t>4</w:t>
      </w:r>
      <w:r>
        <w:rPr>
          <w:rFonts w:hint="eastAsia" w:ascii="Times New Roman" w:hAnsi="Times New Roman" w:eastAsia="黑体" w:cs="Times New Roman"/>
          <w:sz w:val="32"/>
          <w:szCs w:val="32"/>
          <w:highlight w:val="none"/>
        </w:rPr>
        <w:t>.用户体验模拟</w:t>
      </w:r>
    </w:p>
    <w:p w14:paraId="5B4336EF">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工作要求：设计用户模拟体验测试方案，</w:t>
      </w:r>
      <w:r>
        <w:rPr>
          <w:rFonts w:ascii="Times New Roman" w:hAnsi="Times New Roman" w:eastAsia="仿宋_GB2312" w:cs="Times New Roman"/>
          <w:sz w:val="32"/>
          <w:szCs w:val="32"/>
          <w:highlight w:val="none"/>
        </w:rPr>
        <w:t>以办事群众或企业的身份</w:t>
      </w:r>
      <w:r>
        <w:rPr>
          <w:rFonts w:hint="eastAsia" w:ascii="Times New Roman" w:hAnsi="Times New Roman" w:eastAsia="仿宋_GB2312" w:cs="Times New Roman"/>
          <w:sz w:val="32"/>
          <w:szCs w:val="32"/>
          <w:highlight w:val="none"/>
        </w:rPr>
        <w:t>模拟</w:t>
      </w:r>
      <w:r>
        <w:rPr>
          <w:rFonts w:ascii="Times New Roman" w:hAnsi="Times New Roman" w:eastAsia="仿宋_GB2312" w:cs="Times New Roman"/>
          <w:sz w:val="32"/>
          <w:szCs w:val="32"/>
          <w:highlight w:val="none"/>
        </w:rPr>
        <w:t>体验政务服务流程，</w:t>
      </w:r>
      <w:r>
        <w:rPr>
          <w:rFonts w:hint="eastAsia" w:ascii="Times New Roman" w:hAnsi="Times New Roman" w:eastAsia="仿宋_GB2312" w:cs="Times New Roman"/>
          <w:sz w:val="32"/>
          <w:szCs w:val="32"/>
          <w:highlight w:val="none"/>
        </w:rPr>
        <w:t>并由体验人员填写问题反馈表，</w:t>
      </w:r>
      <w:r>
        <w:rPr>
          <w:rFonts w:ascii="Times New Roman" w:hAnsi="Times New Roman" w:eastAsia="仿宋_GB2312" w:cs="Times New Roman"/>
          <w:sz w:val="32"/>
          <w:szCs w:val="32"/>
          <w:highlight w:val="none"/>
        </w:rPr>
        <w:t>记录办理过程中遇到的问题</w:t>
      </w:r>
      <w:r>
        <w:rPr>
          <w:rFonts w:hint="eastAsia" w:ascii="Times New Roman" w:hAnsi="Times New Roman" w:eastAsia="仿宋_GB2312" w:cs="Times New Roman"/>
          <w:sz w:val="32"/>
          <w:szCs w:val="32"/>
          <w:highlight w:val="none"/>
        </w:rPr>
        <w:t>。</w:t>
      </w:r>
    </w:p>
    <w:p w14:paraId="3C9F43A5">
      <w:pPr>
        <w:spacing w:line="600" w:lineRule="exact"/>
        <w:ind w:firstLine="640" w:firstLineChars="200"/>
        <w:rPr>
          <w:rFonts w:hint="default" w:ascii="Times New Roman" w:hAnsi="Times New Roman" w:cs="Times New Roman"/>
          <w:highlight w:val="none"/>
        </w:rPr>
      </w:pPr>
      <w:r>
        <w:rPr>
          <w:rFonts w:hint="eastAsia" w:ascii="Times New Roman" w:hAnsi="Times New Roman" w:eastAsia="仿宋_GB2312" w:cs="Times New Roman"/>
          <w:sz w:val="32"/>
          <w:szCs w:val="32"/>
          <w:highlight w:val="none"/>
        </w:rPr>
        <w:t>具体要求：用户模拟体验场景数不少于10个，按需开展用户模拟体验抽查，抽查服务数不少于</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00项。</w:t>
      </w:r>
    </w:p>
    <w:p w14:paraId="44F2DC18">
      <w:pPr>
        <w:spacing w:line="600" w:lineRule="exact"/>
        <w:ind w:firstLine="640" w:firstLineChars="200"/>
        <w:rPr>
          <w:rFonts w:ascii="Times New Roman" w:hAnsi="Times New Roman" w:cs="Times New Roman"/>
          <w:highlight w:val="none"/>
        </w:rPr>
      </w:pPr>
      <w:r>
        <w:rPr>
          <w:rFonts w:hint="eastAsia" w:ascii="Times New Roman" w:hAnsi="Times New Roman" w:eastAsia="仿宋_GB2312" w:cs="Times New Roman"/>
          <w:sz w:val="32"/>
          <w:szCs w:val="32"/>
          <w:highlight w:val="none"/>
        </w:rPr>
        <w:t>交付物：《用户模拟体验测试结果反馈汇总表》1份</w:t>
      </w:r>
      <w:r>
        <w:rPr>
          <w:rFonts w:ascii="Times New Roman" w:hAnsi="Times New Roman" w:cs="Times New Roman"/>
          <w:highlight w:val="none"/>
        </w:rPr>
        <w:t xml:space="preserve"> </w:t>
      </w:r>
      <w:r>
        <w:rPr>
          <w:rFonts w:hint="eastAsia" w:ascii="Times New Roman" w:hAnsi="Times New Roman" w:cs="Times New Roman"/>
          <w:highlight w:val="none"/>
        </w:rPr>
        <w:t>。</w:t>
      </w:r>
    </w:p>
    <w:p w14:paraId="33F265AD">
      <w:pPr>
        <w:spacing w:line="600" w:lineRule="exact"/>
        <w:ind w:firstLine="640" w:firstLineChars="200"/>
        <w:outlineLvl w:val="1"/>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四</w:t>
      </w:r>
      <w:r>
        <w:rPr>
          <w:rFonts w:hint="eastAsia" w:ascii="Times New Roman" w:hAnsi="Times New Roman" w:eastAsia="黑体" w:cs="Times New Roman"/>
          <w:sz w:val="32"/>
          <w:szCs w:val="32"/>
          <w:highlight w:val="none"/>
        </w:rPr>
        <w:t>）统计分析</w:t>
      </w:r>
    </w:p>
    <w:p w14:paraId="52C2A9C3">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汇总调查问卷、线上数据采集、专题座谈、落地情况核验、用户模拟体验</w:t>
      </w:r>
      <w:r>
        <w:rPr>
          <w:rFonts w:hint="eastAsia" w:ascii="Times New Roman" w:hAnsi="Times New Roman" w:eastAsia="仿宋_GB2312" w:cs="Times New Roman"/>
          <w:sz w:val="32"/>
          <w:szCs w:val="32"/>
          <w:highlight w:val="none"/>
          <w:lang w:val="en-US" w:eastAsia="zh-CN"/>
        </w:rPr>
        <w:t>的数据采集结果</w:t>
      </w:r>
      <w:r>
        <w:rPr>
          <w:rFonts w:hint="eastAsia" w:ascii="Times New Roman" w:hAnsi="Times New Roman" w:eastAsia="仿宋_GB2312" w:cs="Times New Roman"/>
          <w:sz w:val="32"/>
          <w:szCs w:val="32"/>
          <w:highlight w:val="none"/>
        </w:rPr>
        <w:t>，设计并构建数据仓库；进行数据整合、数据清洗和转换，深度分析调研数据，输出《四川省政务服务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发展数据分析报告》。</w:t>
      </w:r>
    </w:p>
    <w:p w14:paraId="52D2F3EF">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交付物：《四川省政务服务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发展数据分析报告》1份。</w:t>
      </w:r>
    </w:p>
    <w:p w14:paraId="54171A76">
      <w:pPr>
        <w:spacing w:line="600" w:lineRule="exact"/>
        <w:ind w:firstLine="640" w:firstLineChars="200"/>
        <w:outlineLvl w:val="1"/>
        <w:rPr>
          <w:rFonts w:hint="default" w:ascii="Times New Roman" w:hAnsi="Times New Roman" w:eastAsia="黑体" w:cs="Times New Roman"/>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五</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报告编制</w:t>
      </w:r>
    </w:p>
    <w:p w14:paraId="4F0E3AFC">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工作要求：结合《四川省政务服务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发展数据分析报告》完成《四川省政务服务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发展调研报告》编制，并进行图表、数据、格式、排版等方面的校对工作。报告需结合</w:t>
      </w:r>
      <w:r>
        <w:rPr>
          <w:rFonts w:hint="eastAsia" w:ascii="Times New Roman" w:hAnsi="Times New Roman" w:eastAsia="仿宋_GB2312" w:cs="Times New Roman"/>
          <w:sz w:val="32"/>
          <w:szCs w:val="32"/>
          <w:highlight w:val="none"/>
          <w:lang w:val="en-US" w:eastAsia="zh-CN"/>
        </w:rPr>
        <w:t>四川</w:t>
      </w:r>
      <w:r>
        <w:rPr>
          <w:rFonts w:hint="eastAsia" w:ascii="Times New Roman" w:hAnsi="Times New Roman" w:eastAsia="仿宋_GB2312" w:cs="Times New Roman"/>
          <w:sz w:val="32"/>
          <w:szCs w:val="32"/>
          <w:highlight w:val="none"/>
        </w:rPr>
        <w:t>数字政府建设的整体战略目标及本地实际发展需求与资源条件，聚焦数字政府建设所涉及的平台、数据、应用等</w:t>
      </w:r>
      <w:r>
        <w:rPr>
          <w:rFonts w:hint="eastAsia" w:ascii="Times New Roman" w:hAnsi="Times New Roman" w:eastAsia="仿宋_GB2312" w:cs="Times New Roman"/>
          <w:sz w:val="32"/>
          <w:szCs w:val="32"/>
          <w:highlight w:val="none"/>
          <w:lang w:val="en-US" w:eastAsia="zh-CN"/>
        </w:rPr>
        <w:t>重点方向</w:t>
      </w:r>
      <w:r>
        <w:rPr>
          <w:rFonts w:hint="eastAsia" w:ascii="Times New Roman" w:hAnsi="Times New Roman" w:eastAsia="仿宋_GB2312" w:cs="Times New Roman"/>
          <w:sz w:val="32"/>
          <w:szCs w:val="32"/>
          <w:highlight w:val="none"/>
        </w:rPr>
        <w:t>，全面</w:t>
      </w:r>
      <w:r>
        <w:rPr>
          <w:rFonts w:hint="eastAsia" w:ascii="Times New Roman" w:hAnsi="Times New Roman" w:eastAsia="仿宋_GB2312" w:cs="Times New Roman"/>
          <w:sz w:val="32"/>
          <w:szCs w:val="32"/>
          <w:highlight w:val="none"/>
          <w:lang w:val="en-US" w:eastAsia="zh-CN"/>
        </w:rPr>
        <w:t>分析政务服务行业</w:t>
      </w:r>
      <w:r>
        <w:rPr>
          <w:rFonts w:hint="eastAsia" w:ascii="Times New Roman" w:hAnsi="Times New Roman" w:eastAsia="仿宋_GB2312" w:cs="Times New Roman"/>
          <w:sz w:val="32"/>
          <w:szCs w:val="32"/>
          <w:highlight w:val="none"/>
        </w:rPr>
        <w:t>发展现状、优势亮点与潜在短板。同时收集、甄选省直部门、市（州）优秀案例材料如具体做法、相关成效，总结可复制的经验，进行优秀案例汇编。编制省直部门、市（州）问题清单，并针对政务服务问题提出建议与改进措施。</w:t>
      </w:r>
    </w:p>
    <w:p w14:paraId="198CB412">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交付物：《四川省政务服务</w:t>
      </w:r>
      <w:r>
        <w:rPr>
          <w:rFonts w:hint="eastAsia" w:ascii="Times New Roman" w:hAnsi="Times New Roman" w:eastAsia="仿宋_GB2312" w:cs="Times New Roman"/>
          <w:sz w:val="32"/>
          <w:szCs w:val="32"/>
          <w:highlight w:val="none"/>
          <w:lang w:val="en-US" w:eastAsia="zh-CN"/>
        </w:rPr>
        <w:t>改革</w:t>
      </w:r>
      <w:r>
        <w:rPr>
          <w:rFonts w:hint="eastAsia" w:ascii="Times New Roman" w:hAnsi="Times New Roman" w:eastAsia="仿宋_GB2312" w:cs="Times New Roman"/>
          <w:sz w:val="32"/>
          <w:szCs w:val="32"/>
          <w:highlight w:val="none"/>
        </w:rPr>
        <w:t>发展调研报告》1份</w:t>
      </w:r>
    </w:p>
    <w:p w14:paraId="4729DFF7">
      <w:pPr>
        <w:spacing w:line="600" w:lineRule="exact"/>
        <w:ind w:firstLine="640" w:firstLineChars="200"/>
        <w:outlineLvl w:val="0"/>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w:t>
      </w:r>
      <w:r>
        <w:rPr>
          <w:rFonts w:hint="eastAsia" w:eastAsia="黑体" w:cs="Times New Roman"/>
          <w:sz w:val="32"/>
          <w:szCs w:val="32"/>
          <w:highlight w:val="none"/>
          <w:lang w:val="en-US" w:eastAsia="zh-CN"/>
        </w:rPr>
        <w:t>四</w:t>
      </w:r>
      <w:r>
        <w:rPr>
          <w:rFonts w:hint="eastAsia" w:ascii="Times New Roman" w:hAnsi="Times New Roman" w:eastAsia="黑体" w:cs="Times New Roman"/>
          <w:sz w:val="32"/>
          <w:szCs w:val="32"/>
          <w:highlight w:val="none"/>
        </w:rPr>
        <w:t>、商务要求</w:t>
      </w:r>
    </w:p>
    <w:p w14:paraId="418E2A49">
      <w:pPr>
        <w:pStyle w:val="259"/>
        <w:tabs>
          <w:tab w:val="left" w:pos="1519"/>
          <w:tab w:val="left" w:pos="10080"/>
        </w:tabs>
        <w:spacing w:line="600" w:lineRule="exact"/>
        <w:ind w:left="0" w:firstLine="640" w:firstLineChars="200"/>
        <w:jc w:val="left"/>
        <w:rPr>
          <w:rFonts w:ascii="Times New Roman" w:hAnsi="Times New Roman" w:eastAsia="楷体_GB2312" w:cs="Times New Roman"/>
          <w:sz w:val="32"/>
          <w:szCs w:val="32"/>
          <w:highlight w:val="none"/>
          <w:lang w:val="en-US" w:bidi="ar-SA"/>
        </w:rPr>
      </w:pPr>
      <w:r>
        <w:rPr>
          <w:rFonts w:hint="eastAsia" w:ascii="Times New Roman" w:hAnsi="Times New Roman" w:eastAsia="楷体_GB2312" w:cs="Times New Roman"/>
          <w:sz w:val="32"/>
          <w:szCs w:val="32"/>
          <w:highlight w:val="none"/>
          <w:lang w:val="en-US" w:bidi="ar-SA"/>
        </w:rPr>
        <w:t>（一）服务期限</w:t>
      </w:r>
    </w:p>
    <w:p w14:paraId="582E6F58">
      <w:pPr>
        <w:pStyle w:val="259"/>
        <w:tabs>
          <w:tab w:val="left" w:pos="1519"/>
          <w:tab w:val="left" w:pos="10080"/>
        </w:tabs>
        <w:spacing w:line="600" w:lineRule="exact"/>
        <w:ind w:left="0" w:firstLine="640" w:firstLineChars="200"/>
        <w:jc w:val="left"/>
        <w:rPr>
          <w:rFonts w:hint="eastAsia" w:ascii="Times New Roman" w:hAnsi="Times New Roman" w:eastAsia="仿宋_GB2312" w:cs="Times New Roman"/>
          <w:sz w:val="32"/>
          <w:szCs w:val="32"/>
          <w:highlight w:val="none"/>
          <w:lang w:val="en-US" w:eastAsia="zh-CN" w:bidi="ar-SA"/>
        </w:rPr>
      </w:pPr>
      <w:r>
        <w:rPr>
          <w:rFonts w:hint="eastAsia" w:ascii="Times New Roman" w:hAnsi="Times New Roman" w:eastAsia="仿宋_GB2312" w:cs="Times New Roman"/>
          <w:sz w:val="32"/>
          <w:szCs w:val="32"/>
          <w:highlight w:val="none"/>
          <w:lang w:val="en-US" w:bidi="ar-SA"/>
        </w:rPr>
        <w:t>本项目服务期1年</w:t>
      </w:r>
      <w:r>
        <w:rPr>
          <w:rFonts w:hint="eastAsia" w:ascii="Times New Roman" w:hAnsi="Times New Roman" w:eastAsia="仿宋_GB2312" w:cs="Times New Roman"/>
          <w:sz w:val="32"/>
          <w:szCs w:val="32"/>
          <w:highlight w:val="none"/>
          <w:lang w:val="en-US" w:eastAsia="zh-CN" w:bidi="ar-SA"/>
        </w:rPr>
        <w:t>。</w:t>
      </w:r>
    </w:p>
    <w:p w14:paraId="3750BC6A">
      <w:pPr>
        <w:pStyle w:val="259"/>
        <w:tabs>
          <w:tab w:val="left" w:pos="1519"/>
          <w:tab w:val="left" w:pos="10080"/>
        </w:tabs>
        <w:spacing w:line="600" w:lineRule="exact"/>
        <w:ind w:left="0" w:firstLine="640" w:firstLineChars="200"/>
        <w:jc w:val="left"/>
        <w:rPr>
          <w:rFonts w:ascii="Times New Roman" w:hAnsi="Times New Roman" w:eastAsia="楷体_GB2312" w:cs="Times New Roman"/>
          <w:sz w:val="32"/>
          <w:szCs w:val="32"/>
          <w:highlight w:val="none"/>
          <w:lang w:val="en-US" w:bidi="ar-SA"/>
        </w:rPr>
      </w:pPr>
      <w:r>
        <w:rPr>
          <w:rFonts w:hint="eastAsia" w:ascii="Times New Roman" w:hAnsi="Times New Roman" w:eastAsia="楷体_GB2312" w:cs="Times New Roman"/>
          <w:sz w:val="32"/>
          <w:szCs w:val="32"/>
          <w:highlight w:val="none"/>
          <w:lang w:val="en-US" w:bidi="ar-SA"/>
        </w:rPr>
        <w:t>（二）付款方式</w:t>
      </w:r>
    </w:p>
    <w:p w14:paraId="38B422F2">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合同签订后支付合同约定金额的</w:t>
      </w:r>
      <w:r>
        <w:rPr>
          <w:rFonts w:hint="eastAsia" w:ascii="Times New Roman" w:hAnsi="Times New Roman" w:eastAsia="仿宋_GB2312" w:cs="Times New Roman"/>
          <w:sz w:val="32"/>
          <w:szCs w:val="32"/>
          <w:highlight w:val="none"/>
          <w:lang w:val="en-US" w:eastAsia="zh-CN" w:bidi="ar-SA"/>
        </w:rPr>
        <w:t>5</w:t>
      </w:r>
      <w:r>
        <w:rPr>
          <w:rFonts w:ascii="Times New Roman" w:hAnsi="Times New Roman" w:eastAsia="仿宋_GB2312" w:cs="Times New Roman"/>
          <w:sz w:val="32"/>
          <w:szCs w:val="32"/>
          <w:highlight w:val="none"/>
          <w:lang w:bidi="ar-SA"/>
        </w:rPr>
        <w:t>0%</w:t>
      </w:r>
      <w:r>
        <w:rPr>
          <w:rFonts w:hint="eastAsia" w:ascii="Times New Roman" w:hAnsi="Times New Roman" w:eastAsia="仿宋_GB2312" w:cs="Times New Roman"/>
          <w:sz w:val="32"/>
          <w:szCs w:val="32"/>
          <w:highlight w:val="none"/>
          <w:lang w:bidi="ar-SA"/>
        </w:rPr>
        <w:t>；完成项目考核，并通过验收后支付合同约定金额的</w:t>
      </w:r>
      <w:r>
        <w:rPr>
          <w:rFonts w:hint="eastAsia" w:ascii="Times New Roman" w:hAnsi="Times New Roman" w:eastAsia="仿宋_GB2312" w:cs="Times New Roman"/>
          <w:sz w:val="32"/>
          <w:szCs w:val="32"/>
          <w:highlight w:val="none"/>
          <w:lang w:val="en-US" w:eastAsia="zh-CN" w:bidi="ar-SA"/>
        </w:rPr>
        <w:t>5</w:t>
      </w:r>
      <w:r>
        <w:rPr>
          <w:rFonts w:ascii="Times New Roman" w:hAnsi="Times New Roman" w:eastAsia="仿宋_GB2312" w:cs="Times New Roman"/>
          <w:sz w:val="32"/>
          <w:szCs w:val="32"/>
          <w:highlight w:val="none"/>
          <w:lang w:bidi="ar-SA"/>
        </w:rPr>
        <w:t>0%</w:t>
      </w:r>
      <w:r>
        <w:rPr>
          <w:rFonts w:hint="eastAsia" w:ascii="Times New Roman" w:hAnsi="Times New Roman" w:eastAsia="仿宋_GB2312" w:cs="Times New Roman"/>
          <w:sz w:val="32"/>
          <w:szCs w:val="32"/>
          <w:highlight w:val="none"/>
          <w:lang w:bidi="ar-SA"/>
        </w:rPr>
        <w:t>。</w:t>
      </w:r>
    </w:p>
    <w:p w14:paraId="11B210EE">
      <w:pPr>
        <w:pStyle w:val="259"/>
        <w:tabs>
          <w:tab w:val="left" w:pos="1519"/>
          <w:tab w:val="left" w:pos="10080"/>
        </w:tabs>
        <w:spacing w:line="600" w:lineRule="exact"/>
        <w:ind w:left="0" w:firstLine="640" w:firstLineChars="200"/>
        <w:jc w:val="left"/>
        <w:rPr>
          <w:rFonts w:ascii="Times New Roman" w:hAnsi="Times New Roman" w:eastAsia="楷体_GB2312" w:cs="Times New Roman"/>
          <w:sz w:val="32"/>
          <w:szCs w:val="32"/>
          <w:highlight w:val="none"/>
          <w:lang w:val="en-US" w:bidi="ar-SA"/>
        </w:rPr>
      </w:pPr>
      <w:r>
        <w:rPr>
          <w:rFonts w:hint="eastAsia" w:ascii="Times New Roman" w:hAnsi="Times New Roman" w:eastAsia="楷体_GB2312" w:cs="Times New Roman"/>
          <w:sz w:val="32"/>
          <w:szCs w:val="32"/>
          <w:highlight w:val="none"/>
          <w:lang w:val="en-US" w:bidi="ar-SA"/>
        </w:rPr>
        <w:t>（三）其他要求</w:t>
      </w:r>
    </w:p>
    <w:p w14:paraId="10DF9DDA">
      <w:pPr>
        <w:pStyle w:val="259"/>
        <w:tabs>
          <w:tab w:val="left" w:pos="1519"/>
          <w:tab w:val="left" w:pos="10080"/>
        </w:tabs>
        <w:spacing w:line="600" w:lineRule="exact"/>
        <w:ind w:left="0" w:firstLine="640" w:firstLineChars="200"/>
        <w:jc w:val="left"/>
        <w:outlineLvl w:val="2"/>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1</w:t>
      </w:r>
      <w:r>
        <w:rPr>
          <w:rFonts w:hint="eastAsia" w:ascii="Times New Roman" w:hAnsi="Times New Roman" w:eastAsia="仿宋_GB2312" w:cs="Times New Roman"/>
          <w:sz w:val="32"/>
          <w:szCs w:val="32"/>
          <w:highlight w:val="none"/>
          <w:lang w:eastAsia="zh-CN" w:bidi="ar-SA"/>
        </w:rPr>
        <w:t>.</w:t>
      </w:r>
      <w:r>
        <w:rPr>
          <w:rFonts w:hint="eastAsia" w:ascii="Times New Roman" w:hAnsi="Times New Roman" w:eastAsia="仿宋_GB2312" w:cs="Times New Roman"/>
          <w:sz w:val="32"/>
          <w:szCs w:val="32"/>
          <w:highlight w:val="none"/>
          <w:lang w:bidi="ar-SA"/>
        </w:rPr>
        <w:t>保密及知识产权要求</w:t>
      </w:r>
    </w:p>
    <w:p w14:paraId="790F674F">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w:t>
      </w:r>
      <w:r>
        <w:rPr>
          <w:rFonts w:ascii="Times New Roman" w:hAnsi="Times New Roman" w:eastAsia="仿宋_GB2312" w:cs="Times New Roman"/>
          <w:sz w:val="32"/>
          <w:szCs w:val="32"/>
          <w:highlight w:val="none"/>
          <w:lang w:val="en-US" w:bidi="ar-SA"/>
        </w:rPr>
        <w:t>1</w:t>
      </w:r>
      <w:r>
        <w:rPr>
          <w:rFonts w:hint="eastAsia" w:ascii="Times New Roman" w:hAnsi="Times New Roman" w:eastAsia="仿宋_GB2312" w:cs="Times New Roman"/>
          <w:sz w:val="32"/>
          <w:szCs w:val="32"/>
          <w:highlight w:val="none"/>
          <w:lang w:bidi="ar-SA"/>
        </w:rPr>
        <w:t>）项目实施过程中产生的过程文档归采购人所有，未经采购人同意，不得泄露。</w:t>
      </w:r>
    </w:p>
    <w:p w14:paraId="09E003DA">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w:t>
      </w:r>
      <w:r>
        <w:rPr>
          <w:rFonts w:ascii="Times New Roman" w:hAnsi="Times New Roman" w:eastAsia="仿宋_GB2312" w:cs="Times New Roman"/>
          <w:sz w:val="32"/>
          <w:szCs w:val="32"/>
          <w:highlight w:val="none"/>
          <w:lang w:val="en-US" w:bidi="ar-SA"/>
        </w:rPr>
        <w:t>2</w:t>
      </w:r>
      <w:r>
        <w:rPr>
          <w:rFonts w:hint="eastAsia" w:ascii="Times New Roman" w:hAnsi="Times New Roman" w:eastAsia="仿宋_GB2312" w:cs="Times New Roman"/>
          <w:sz w:val="32"/>
          <w:szCs w:val="32"/>
          <w:highlight w:val="none"/>
          <w:lang w:bidi="ar-SA"/>
        </w:rPr>
        <w:t>）项目实施过程中产生的数据归采购人所有，且响应人须与采购人签订数据保密协议。</w:t>
      </w:r>
    </w:p>
    <w:p w14:paraId="397B1B2E">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w:t>
      </w:r>
      <w:r>
        <w:rPr>
          <w:rFonts w:ascii="Times New Roman" w:hAnsi="Times New Roman" w:eastAsia="仿宋_GB2312" w:cs="Times New Roman"/>
          <w:sz w:val="32"/>
          <w:szCs w:val="32"/>
          <w:highlight w:val="none"/>
          <w:lang w:val="en-US" w:bidi="ar-SA"/>
        </w:rPr>
        <w:t>3</w:t>
      </w:r>
      <w:r>
        <w:rPr>
          <w:rFonts w:hint="eastAsia" w:ascii="Times New Roman" w:hAnsi="Times New Roman" w:eastAsia="仿宋_GB2312" w:cs="Times New Roman"/>
          <w:sz w:val="32"/>
          <w:szCs w:val="32"/>
          <w:highlight w:val="none"/>
          <w:lang w:bidi="ar-SA"/>
        </w:rPr>
        <w:t>）响应人须保证招标人在使用过程中不受到第三方关于侵犯专利权等知识产权的指控。任何第三方如果提出指控，响应人须与第三方交涉并承担可能发生的一切法律责任和费用。响应人使用的第三方及其他软件的报价应在投标报价中包含，未写明的出现问题由响应人承担责任。</w:t>
      </w:r>
    </w:p>
    <w:p w14:paraId="4D49D8F8">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（4）拟派项目人员在项目实施过程须严格对数据进行保密，同时提交保密承诺书，报采购人备案。响应人须加强对拟派人员安全意识的培训，严格管控人员行为操作，确保实施过程中数据的安全性。</w:t>
      </w:r>
    </w:p>
    <w:p w14:paraId="451CBF85">
      <w:pPr>
        <w:pStyle w:val="259"/>
        <w:tabs>
          <w:tab w:val="left" w:pos="1519"/>
          <w:tab w:val="left" w:pos="10080"/>
        </w:tabs>
        <w:spacing w:line="600" w:lineRule="exact"/>
        <w:ind w:left="0" w:firstLine="640" w:firstLineChars="200"/>
        <w:jc w:val="left"/>
        <w:outlineLvl w:val="2"/>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2</w:t>
      </w:r>
      <w:r>
        <w:rPr>
          <w:rFonts w:hint="eastAsia" w:ascii="Times New Roman" w:hAnsi="Times New Roman" w:eastAsia="仿宋_GB2312" w:cs="Times New Roman"/>
          <w:sz w:val="32"/>
          <w:szCs w:val="32"/>
          <w:highlight w:val="none"/>
          <w:lang w:eastAsia="zh-CN" w:bidi="ar-SA"/>
        </w:rPr>
        <w:t>.</w:t>
      </w:r>
      <w:r>
        <w:rPr>
          <w:rFonts w:hint="eastAsia" w:ascii="Times New Roman" w:hAnsi="Times New Roman" w:eastAsia="仿宋_GB2312" w:cs="Times New Roman"/>
          <w:sz w:val="32"/>
          <w:szCs w:val="32"/>
          <w:highlight w:val="none"/>
          <w:lang w:bidi="ar-SA"/>
        </w:rPr>
        <w:t>验收标准</w:t>
      </w:r>
    </w:p>
    <w:p w14:paraId="16887A05">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参照《财政部关于进一步加强政府采购需求和履约验收管理的指导意见》（财库〔2016〕205号）及国家和四川省相关信息化服务项目的验收标准进行验收。</w:t>
      </w:r>
    </w:p>
    <w:p w14:paraId="5B88BC8A">
      <w:pPr>
        <w:pStyle w:val="259"/>
        <w:tabs>
          <w:tab w:val="left" w:pos="1519"/>
          <w:tab w:val="left" w:pos="10080"/>
        </w:tabs>
        <w:spacing w:line="600" w:lineRule="exact"/>
        <w:ind w:left="0" w:firstLine="640" w:firstLineChars="200"/>
        <w:jc w:val="left"/>
        <w:outlineLvl w:val="2"/>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3</w:t>
      </w:r>
      <w:r>
        <w:rPr>
          <w:rFonts w:hint="eastAsia" w:ascii="Times New Roman" w:hAnsi="Times New Roman" w:eastAsia="仿宋_GB2312" w:cs="Times New Roman"/>
          <w:sz w:val="32"/>
          <w:szCs w:val="32"/>
          <w:highlight w:val="none"/>
          <w:lang w:eastAsia="zh-CN" w:bidi="ar-SA"/>
        </w:rPr>
        <w:t>.</w:t>
      </w:r>
      <w:r>
        <w:rPr>
          <w:rFonts w:hint="eastAsia" w:ascii="Times New Roman" w:hAnsi="Times New Roman" w:eastAsia="仿宋_GB2312" w:cs="Times New Roman"/>
          <w:sz w:val="32"/>
          <w:szCs w:val="32"/>
          <w:highlight w:val="none"/>
          <w:lang w:bidi="ar-SA"/>
        </w:rPr>
        <w:t>调研对象</w:t>
      </w:r>
    </w:p>
    <w:p w14:paraId="3407EB20">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我省21个市（州）人民政府，以及有关省直部门</w:t>
      </w:r>
    </w:p>
    <w:p w14:paraId="3BA71F23">
      <w:pPr>
        <w:pStyle w:val="259"/>
        <w:tabs>
          <w:tab w:val="left" w:pos="1519"/>
          <w:tab w:val="left" w:pos="10080"/>
        </w:tabs>
        <w:spacing w:line="600" w:lineRule="exact"/>
        <w:ind w:left="0" w:firstLine="640" w:firstLineChars="200"/>
        <w:jc w:val="left"/>
        <w:outlineLvl w:val="2"/>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4</w:t>
      </w:r>
      <w:r>
        <w:rPr>
          <w:rFonts w:hint="eastAsia" w:ascii="Times New Roman" w:hAnsi="Times New Roman" w:eastAsia="仿宋_GB2312" w:cs="Times New Roman"/>
          <w:sz w:val="32"/>
          <w:szCs w:val="32"/>
          <w:highlight w:val="none"/>
          <w:lang w:eastAsia="zh-CN" w:bidi="ar-SA"/>
        </w:rPr>
        <w:t>.</w:t>
      </w:r>
      <w:r>
        <w:rPr>
          <w:rFonts w:hint="eastAsia" w:ascii="Times New Roman" w:hAnsi="Times New Roman" w:eastAsia="仿宋_GB2312" w:cs="Times New Roman"/>
          <w:sz w:val="32"/>
          <w:szCs w:val="32"/>
          <w:highlight w:val="none"/>
          <w:lang w:bidi="ar-SA"/>
        </w:rPr>
        <w:t>文档传输要求</w:t>
      </w:r>
    </w:p>
    <w:p w14:paraId="31042E94">
      <w:pPr>
        <w:pStyle w:val="259"/>
        <w:tabs>
          <w:tab w:val="left" w:pos="1519"/>
          <w:tab w:val="left" w:pos="10080"/>
        </w:tabs>
        <w:spacing w:line="600" w:lineRule="exact"/>
        <w:ind w:left="0" w:firstLine="640" w:firstLineChars="200"/>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响应人应提供与项目成果相关的所有技术文档和资料（含项目实施及验收报告），并且均应以磁介质（或光盘）和纸张为载体提供，文件格式为至少为Word文档和PDF文档。</w:t>
      </w:r>
    </w:p>
    <w:p w14:paraId="27FBAC00">
      <w:pPr>
        <w:pStyle w:val="259"/>
        <w:tabs>
          <w:tab w:val="left" w:pos="1519"/>
          <w:tab w:val="left" w:pos="10080"/>
        </w:tabs>
        <w:spacing w:line="600" w:lineRule="exact"/>
        <w:ind w:left="0" w:firstLine="640" w:firstLineChars="200"/>
        <w:jc w:val="left"/>
        <w:outlineLvl w:val="2"/>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5</w:t>
      </w:r>
      <w:r>
        <w:rPr>
          <w:rFonts w:hint="eastAsia" w:ascii="Times New Roman" w:hAnsi="Times New Roman" w:eastAsia="仿宋_GB2312" w:cs="Times New Roman"/>
          <w:sz w:val="32"/>
          <w:szCs w:val="32"/>
          <w:highlight w:val="none"/>
          <w:lang w:eastAsia="zh-CN" w:bidi="ar-SA"/>
        </w:rPr>
        <w:t>.</w:t>
      </w:r>
      <w:r>
        <w:rPr>
          <w:rFonts w:hint="eastAsia" w:ascii="Times New Roman" w:hAnsi="Times New Roman" w:eastAsia="仿宋_GB2312" w:cs="Times New Roman"/>
          <w:sz w:val="32"/>
          <w:szCs w:val="32"/>
          <w:highlight w:val="none"/>
          <w:lang w:bidi="ar-SA"/>
        </w:rPr>
        <w:t>人员进场要求</w:t>
      </w:r>
    </w:p>
    <w:p w14:paraId="6F08353F">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为确保服务工作优质地进行，在服务协议期限内最终令用户100％满意完成服务工作，中标单位应在合同签订后</w:t>
      </w:r>
      <w:r>
        <w:rPr>
          <w:rFonts w:ascii="Times New Roman" w:hAnsi="Times New Roman" w:eastAsia="仿宋_GB2312" w:cs="Times New Roman"/>
          <w:sz w:val="32"/>
          <w:szCs w:val="32"/>
          <w:highlight w:val="none"/>
          <w:lang w:val="en-US" w:bidi="ar-SA"/>
        </w:rPr>
        <w:t>3</w:t>
      </w:r>
      <w:r>
        <w:rPr>
          <w:rFonts w:hint="eastAsia" w:ascii="Times New Roman" w:hAnsi="Times New Roman" w:eastAsia="仿宋_GB2312" w:cs="Times New Roman"/>
          <w:sz w:val="32"/>
          <w:szCs w:val="32"/>
          <w:highlight w:val="none"/>
          <w:lang w:bidi="ar-SA"/>
        </w:rPr>
        <w:t>个工作日内进场工作。同时应委派经验丰富的驻场人员和技术骨干组成服务项目小组，进行全方位的系统服务。</w:t>
      </w:r>
    </w:p>
    <w:p w14:paraId="4CCCAD79">
      <w:pPr>
        <w:pStyle w:val="259"/>
        <w:tabs>
          <w:tab w:val="left" w:pos="1519"/>
          <w:tab w:val="left" w:pos="10080"/>
        </w:tabs>
        <w:spacing w:line="600" w:lineRule="exact"/>
        <w:ind w:left="0" w:firstLine="640" w:firstLineChars="200"/>
        <w:jc w:val="left"/>
        <w:rPr>
          <w:rFonts w:ascii="Times New Roman" w:hAnsi="Times New Roman" w:cs="Times New Roman"/>
          <w:spacing w:val="24"/>
          <w:sz w:val="24"/>
          <w:highlight w:val="none"/>
        </w:rPr>
      </w:pPr>
      <w:r>
        <w:rPr>
          <w:rFonts w:hint="eastAsia" w:ascii="Times New Roman" w:hAnsi="Times New Roman" w:eastAsia="仿宋_GB2312" w:cs="Times New Roman"/>
          <w:sz w:val="32"/>
          <w:szCs w:val="32"/>
          <w:highlight w:val="none"/>
          <w:lang w:bidi="ar-SA"/>
        </w:rPr>
        <w:t>响应人需提供不少于</w:t>
      </w:r>
      <w:r>
        <w:rPr>
          <w:rFonts w:ascii="Times New Roman" w:hAnsi="Times New Roman" w:eastAsia="仿宋_GB2312" w:cs="Times New Roman"/>
          <w:sz w:val="32"/>
          <w:szCs w:val="32"/>
          <w:highlight w:val="none"/>
          <w:lang w:val="en-US" w:bidi="ar-SA"/>
        </w:rPr>
        <w:t>7</w:t>
      </w:r>
      <w:r>
        <w:rPr>
          <w:rFonts w:hint="eastAsia" w:ascii="Times New Roman" w:hAnsi="Times New Roman" w:eastAsia="仿宋_GB2312" w:cs="Times New Roman"/>
          <w:sz w:val="32"/>
          <w:szCs w:val="32"/>
          <w:highlight w:val="none"/>
          <w:lang w:bidi="ar-SA"/>
        </w:rPr>
        <w:t>人的团队人员。如需调整服务团队成员，</w:t>
      </w:r>
      <w:r>
        <w:rPr>
          <w:rFonts w:hint="eastAsia" w:ascii="Times New Roman" w:hAnsi="Times New Roman" w:eastAsia="仿宋_GB2312" w:cs="Times New Roman"/>
          <w:sz w:val="32"/>
          <w:szCs w:val="32"/>
          <w:highlight w:val="none"/>
          <w:lang w:val="en-US" w:bidi="ar-SA"/>
        </w:rPr>
        <w:t>需</w:t>
      </w:r>
      <w:r>
        <w:rPr>
          <w:rFonts w:hint="eastAsia" w:ascii="Times New Roman" w:hAnsi="Times New Roman" w:eastAsia="仿宋_GB2312" w:cs="Times New Roman"/>
          <w:sz w:val="32"/>
          <w:szCs w:val="32"/>
          <w:highlight w:val="none"/>
          <w:lang w:bidi="ar-SA"/>
        </w:rPr>
        <w:t>书面向采购人提出申请，说明申请理由，经采购人书面同意方可调整团队人员，否则视为违约行为，采购人有权终止服务合同。</w:t>
      </w:r>
    </w:p>
    <w:p w14:paraId="2A636719">
      <w:pPr>
        <w:pStyle w:val="259"/>
        <w:tabs>
          <w:tab w:val="left" w:pos="1519"/>
          <w:tab w:val="left" w:pos="10080"/>
        </w:tabs>
        <w:spacing w:line="600" w:lineRule="exact"/>
        <w:ind w:left="0" w:firstLine="640" w:firstLineChars="200"/>
        <w:jc w:val="left"/>
        <w:outlineLvl w:val="2"/>
        <w:rPr>
          <w:rFonts w:ascii="Times New Roman" w:hAnsi="Times New Roman" w:eastAsia="仿宋_GB2312" w:cs="Times New Roman"/>
          <w:sz w:val="32"/>
          <w:szCs w:val="32"/>
          <w:highlight w:val="none"/>
          <w:lang w:bidi="ar-SA"/>
        </w:rPr>
      </w:pPr>
      <w:r>
        <w:rPr>
          <w:rFonts w:hint="eastAsia" w:ascii="Times New Roman" w:hAnsi="Times New Roman" w:eastAsia="仿宋_GB2312" w:cs="Times New Roman"/>
          <w:sz w:val="32"/>
          <w:szCs w:val="32"/>
          <w:highlight w:val="none"/>
          <w:lang w:bidi="ar-SA"/>
        </w:rPr>
        <w:t>6</w:t>
      </w:r>
      <w:r>
        <w:rPr>
          <w:rFonts w:hint="eastAsia" w:ascii="Times New Roman" w:hAnsi="Times New Roman" w:eastAsia="仿宋_GB2312" w:cs="Times New Roman"/>
          <w:sz w:val="32"/>
          <w:szCs w:val="32"/>
          <w:highlight w:val="none"/>
          <w:lang w:eastAsia="zh-CN" w:bidi="ar-SA"/>
        </w:rPr>
        <w:t>.</w:t>
      </w:r>
      <w:r>
        <w:rPr>
          <w:rFonts w:hint="eastAsia" w:ascii="Times New Roman" w:hAnsi="Times New Roman" w:eastAsia="仿宋_GB2312" w:cs="Times New Roman"/>
          <w:sz w:val="32"/>
          <w:szCs w:val="32"/>
          <w:highlight w:val="none"/>
          <w:lang w:bidi="ar-SA"/>
        </w:rPr>
        <w:t>服务质量考核</w:t>
      </w:r>
    </w:p>
    <w:p w14:paraId="75773BBD">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四川省网上政务服务能力第三方评估报告评估结果（按照标的物名称）将作为省政府</w:t>
      </w:r>
      <w:r>
        <w:rPr>
          <w:rFonts w:hint="eastAsia" w:ascii="Times New Roman" w:hAnsi="Times New Roman" w:eastAsia="仿宋_GB2312" w:cs="Times New Roman"/>
          <w:sz w:val="32"/>
          <w:szCs w:val="32"/>
          <w:highlight w:val="none"/>
          <w:lang w:val="en-US" w:eastAsia="zh-CN" w:bidi="ar-SA"/>
        </w:rPr>
        <w:t>优化省内</w:t>
      </w:r>
      <w:r>
        <w:rPr>
          <w:rFonts w:hint="eastAsia" w:ascii="Times New Roman" w:hAnsi="Times New Roman" w:eastAsia="仿宋_GB2312" w:cs="Times New Roman"/>
          <w:sz w:val="32"/>
          <w:szCs w:val="32"/>
          <w:highlight w:val="none"/>
          <w:lang w:val="en-US" w:bidi="ar-SA"/>
        </w:rPr>
        <w:t>网上政务服务</w:t>
      </w:r>
      <w:r>
        <w:rPr>
          <w:rFonts w:hint="eastAsia" w:ascii="Times New Roman" w:hAnsi="Times New Roman" w:eastAsia="仿宋_GB2312" w:cs="Times New Roman"/>
          <w:sz w:val="32"/>
          <w:szCs w:val="32"/>
          <w:highlight w:val="none"/>
          <w:lang w:val="en-US" w:eastAsia="zh-CN" w:bidi="ar-SA"/>
        </w:rPr>
        <w:t>功能</w:t>
      </w:r>
      <w:r>
        <w:rPr>
          <w:rFonts w:hint="eastAsia" w:ascii="Times New Roman" w:hAnsi="Times New Roman" w:eastAsia="仿宋_GB2312" w:cs="Times New Roman"/>
          <w:sz w:val="32"/>
          <w:szCs w:val="32"/>
          <w:highlight w:val="none"/>
          <w:lang w:val="en-US" w:bidi="ar-SA"/>
        </w:rPr>
        <w:t>的重要参考，意义重大，不容出现任何问题。因此，对于响应人服务质量有考核要求。</w:t>
      </w:r>
    </w:p>
    <w:p w14:paraId="744A57D8">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A.考核原则</w:t>
      </w:r>
    </w:p>
    <w:p w14:paraId="5D9F710E">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采购人以结果指标、过程指标、诚信指标为基本依据，以项目合同中服务要求规定的相关内容为操作准则，对全省政务服务网第三方评估服务供应商工作实施全面、真实、客观、公开、公正、规范的考核。</w:t>
      </w:r>
    </w:p>
    <w:p w14:paraId="330E670B">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B.服务考核范围</w:t>
      </w:r>
    </w:p>
    <w:p w14:paraId="2BA43B71">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本项目</w:t>
      </w:r>
      <w:r>
        <w:rPr>
          <w:rFonts w:hint="eastAsia" w:ascii="Times New Roman" w:hAnsi="Times New Roman" w:eastAsia="仿宋_GB2312" w:cs="Times New Roman"/>
          <w:sz w:val="32"/>
          <w:szCs w:val="32"/>
          <w:highlight w:val="none"/>
          <w:lang w:val="en-US" w:eastAsia="zh-CN" w:bidi="ar-SA"/>
        </w:rPr>
        <w:t>比选</w:t>
      </w:r>
      <w:r>
        <w:rPr>
          <w:rFonts w:hint="eastAsia" w:ascii="Times New Roman" w:hAnsi="Times New Roman" w:eastAsia="仿宋_GB2312" w:cs="Times New Roman"/>
          <w:sz w:val="32"/>
          <w:szCs w:val="32"/>
          <w:highlight w:val="none"/>
          <w:lang w:val="en-US" w:bidi="ar-SA"/>
        </w:rPr>
        <w:t>文件约定范围。</w:t>
      </w:r>
    </w:p>
    <w:p w14:paraId="7AE8BF78">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C.考核对象</w:t>
      </w:r>
    </w:p>
    <w:p w14:paraId="5A1005FC">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全省政务服务网第三方评估服务采购项目中标人（以下简称：响应人）。</w:t>
      </w:r>
    </w:p>
    <w:p w14:paraId="1687FB58">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D.考核内容</w:t>
      </w:r>
    </w:p>
    <w:p w14:paraId="5CB1BB64">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全省政务服务网第三方评估服务采购项目招标文件、投标文件、合同所约定的服务内容，以及根据采购人需要增加的其他服务内容。</w:t>
      </w:r>
    </w:p>
    <w:p w14:paraId="144F0A6E">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E.考核方式</w:t>
      </w:r>
    </w:p>
    <w:p w14:paraId="10537DEB">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采购人成立考核小组，考核内容包括日常服务指标、重大事件指标、诚信指标、奖励加分指标等四部分组成。满分为100分。</w:t>
      </w:r>
    </w:p>
    <w:p w14:paraId="4D7F1D27">
      <w:pPr>
        <w:pStyle w:val="259"/>
        <w:numPr>
          <w:ilvl w:val="0"/>
          <w:numId w:val="15"/>
        </w:numPr>
        <w:tabs>
          <w:tab w:val="left" w:pos="1519"/>
          <w:tab w:val="left" w:pos="10080"/>
        </w:tabs>
        <w:spacing w:line="600" w:lineRule="exact"/>
        <w:ind w:firstLine="420" w:firstLineChars="175"/>
        <w:jc w:val="left"/>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日常服务指标</w:t>
      </w:r>
    </w:p>
    <w:tbl>
      <w:tblPr>
        <w:tblStyle w:val="56"/>
        <w:tblW w:w="50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0"/>
        <w:gridCol w:w="1450"/>
        <w:gridCol w:w="3721"/>
        <w:gridCol w:w="2440"/>
      </w:tblGrid>
      <w:tr w14:paraId="7A44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59" w:type="pct"/>
            <w:shd w:val="clear" w:color="auto" w:fill="D7D7D7" w:themeFill="background1" w:themeFillShade="D8"/>
            <w:vAlign w:val="center"/>
          </w:tcPr>
          <w:p w14:paraId="76DB9F65">
            <w:pPr>
              <w:pStyle w:val="269"/>
              <w:spacing w:line="240" w:lineRule="auto"/>
              <w:jc w:val="center"/>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序号</w:t>
            </w:r>
          </w:p>
        </w:tc>
        <w:tc>
          <w:tcPr>
            <w:tcW w:w="865" w:type="pct"/>
            <w:shd w:val="clear" w:color="auto" w:fill="D7D7D7" w:themeFill="background1" w:themeFillShade="D8"/>
            <w:vAlign w:val="center"/>
          </w:tcPr>
          <w:p w14:paraId="3CB787EB">
            <w:pPr>
              <w:pStyle w:val="269"/>
              <w:spacing w:line="240" w:lineRule="auto"/>
              <w:jc w:val="center"/>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名称</w:t>
            </w:r>
          </w:p>
        </w:tc>
        <w:tc>
          <w:tcPr>
            <w:tcW w:w="2219" w:type="pct"/>
            <w:shd w:val="clear" w:color="auto" w:fill="D7D7D7" w:themeFill="background1" w:themeFillShade="D8"/>
            <w:vAlign w:val="center"/>
          </w:tcPr>
          <w:p w14:paraId="1EF436EF">
            <w:pPr>
              <w:pStyle w:val="269"/>
              <w:spacing w:line="240" w:lineRule="auto"/>
              <w:jc w:val="center"/>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要求</w:t>
            </w:r>
          </w:p>
        </w:tc>
        <w:tc>
          <w:tcPr>
            <w:tcW w:w="1455" w:type="pct"/>
            <w:shd w:val="clear" w:color="auto" w:fill="D7D7D7" w:themeFill="background1" w:themeFillShade="D8"/>
            <w:vAlign w:val="center"/>
          </w:tcPr>
          <w:p w14:paraId="1F0130D9">
            <w:pPr>
              <w:pStyle w:val="269"/>
              <w:spacing w:line="240" w:lineRule="auto"/>
              <w:jc w:val="center"/>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评分标准</w:t>
            </w:r>
          </w:p>
        </w:tc>
      </w:tr>
      <w:tr w14:paraId="674E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59" w:type="pct"/>
            <w:shd w:val="clear" w:color="auto" w:fill="auto"/>
            <w:vAlign w:val="center"/>
          </w:tcPr>
          <w:p w14:paraId="7E62B10C">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1</w:t>
            </w:r>
          </w:p>
        </w:tc>
        <w:tc>
          <w:tcPr>
            <w:tcW w:w="865" w:type="pct"/>
            <w:vMerge w:val="restart"/>
            <w:shd w:val="clear" w:color="auto" w:fill="auto"/>
            <w:vAlign w:val="center"/>
          </w:tcPr>
          <w:p w14:paraId="3521BAB7">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项目文档</w:t>
            </w:r>
          </w:p>
        </w:tc>
        <w:tc>
          <w:tcPr>
            <w:tcW w:w="2219" w:type="pct"/>
            <w:shd w:val="clear" w:color="auto" w:fill="auto"/>
            <w:vAlign w:val="center"/>
          </w:tcPr>
          <w:p w14:paraId="53EDD8C5">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出现错别字、格式不正确、内容前后不一致、数据不准确等问题</w:t>
            </w:r>
          </w:p>
        </w:tc>
        <w:tc>
          <w:tcPr>
            <w:tcW w:w="1455" w:type="pct"/>
            <w:shd w:val="clear" w:color="auto" w:fill="auto"/>
            <w:vAlign w:val="center"/>
          </w:tcPr>
          <w:p w14:paraId="245BEC94">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一个文档中每超过4处，一次扣1分。</w:t>
            </w:r>
          </w:p>
        </w:tc>
      </w:tr>
      <w:tr w14:paraId="2217D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59" w:type="pct"/>
            <w:shd w:val="clear" w:color="auto" w:fill="auto"/>
            <w:vAlign w:val="center"/>
          </w:tcPr>
          <w:p w14:paraId="45F27110">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2</w:t>
            </w:r>
          </w:p>
        </w:tc>
        <w:tc>
          <w:tcPr>
            <w:tcW w:w="865" w:type="pct"/>
            <w:vMerge w:val="continue"/>
            <w:shd w:val="clear" w:color="auto" w:fill="auto"/>
            <w:vAlign w:val="center"/>
          </w:tcPr>
          <w:p w14:paraId="71A0B108">
            <w:pPr>
              <w:pStyle w:val="269"/>
              <w:spacing w:line="240" w:lineRule="auto"/>
              <w:jc w:val="center"/>
              <w:rPr>
                <w:rFonts w:ascii="Times New Roman" w:hAnsi="Times New Roman" w:eastAsia="仿宋_GB2312" w:cs="Times New Roman"/>
                <w:sz w:val="24"/>
                <w:highlight w:val="none"/>
                <w:lang w:val="en-US"/>
              </w:rPr>
            </w:pPr>
          </w:p>
        </w:tc>
        <w:tc>
          <w:tcPr>
            <w:tcW w:w="2219" w:type="pct"/>
            <w:shd w:val="clear" w:color="auto" w:fill="auto"/>
            <w:vAlign w:val="center"/>
          </w:tcPr>
          <w:p w14:paraId="78C96E2B">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未按要求时间提交相关文档</w:t>
            </w:r>
          </w:p>
        </w:tc>
        <w:tc>
          <w:tcPr>
            <w:tcW w:w="1455" w:type="pct"/>
            <w:shd w:val="clear" w:color="auto" w:fill="auto"/>
            <w:vAlign w:val="center"/>
          </w:tcPr>
          <w:p w14:paraId="002BAE53">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每超出两天扣1分，不足一天按照一天计算</w:t>
            </w:r>
          </w:p>
        </w:tc>
      </w:tr>
      <w:tr w14:paraId="5679E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459" w:type="pct"/>
            <w:shd w:val="clear" w:color="auto" w:fill="auto"/>
            <w:vAlign w:val="center"/>
          </w:tcPr>
          <w:p w14:paraId="280353D1">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3</w:t>
            </w:r>
          </w:p>
        </w:tc>
        <w:tc>
          <w:tcPr>
            <w:tcW w:w="865" w:type="pct"/>
            <w:vMerge w:val="continue"/>
            <w:shd w:val="clear" w:color="auto" w:fill="auto"/>
            <w:vAlign w:val="center"/>
          </w:tcPr>
          <w:p w14:paraId="356EF4E3">
            <w:pPr>
              <w:pStyle w:val="269"/>
              <w:spacing w:line="240" w:lineRule="auto"/>
              <w:jc w:val="center"/>
              <w:rPr>
                <w:rFonts w:ascii="Times New Roman" w:hAnsi="Times New Roman" w:eastAsia="仿宋_GB2312" w:cs="Times New Roman"/>
                <w:sz w:val="24"/>
                <w:highlight w:val="none"/>
                <w:lang w:val="en-US"/>
              </w:rPr>
            </w:pPr>
          </w:p>
        </w:tc>
        <w:tc>
          <w:tcPr>
            <w:tcW w:w="2219" w:type="pct"/>
            <w:shd w:val="clear" w:color="auto" w:fill="auto"/>
            <w:vAlign w:val="center"/>
          </w:tcPr>
          <w:p w14:paraId="1E781174">
            <w:pPr>
              <w:widowControl/>
              <w:spacing w:line="240" w:lineRule="auto"/>
              <w:jc w:val="left"/>
              <w:rPr>
                <w:rFonts w:ascii="Times New Roman" w:hAnsi="Times New Roman" w:eastAsia="仿宋_GB2312" w:cs="Times New Roman"/>
                <w:sz w:val="24"/>
                <w:highlight w:val="none"/>
              </w:rPr>
            </w:pPr>
            <w:r>
              <w:rPr>
                <w:rFonts w:hint="eastAsia" w:ascii="Times New Roman" w:hAnsi="Times New Roman" w:eastAsia="仿宋_GB2312" w:cs="Times New Roman"/>
                <w:kern w:val="0"/>
                <w:sz w:val="24"/>
                <w:highlight w:val="none"/>
                <w:lang w:bidi="ar"/>
              </w:rPr>
              <w:t>在汇总数据的过程中，擅自对报告数据进行了修改和调整</w:t>
            </w:r>
          </w:p>
        </w:tc>
        <w:tc>
          <w:tcPr>
            <w:tcW w:w="1455" w:type="pct"/>
            <w:shd w:val="clear" w:color="auto" w:fill="auto"/>
            <w:vAlign w:val="center"/>
          </w:tcPr>
          <w:p w14:paraId="1C0ABECE">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一次扣3分</w:t>
            </w:r>
          </w:p>
        </w:tc>
      </w:tr>
      <w:tr w14:paraId="37AD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59" w:type="pct"/>
            <w:shd w:val="clear" w:color="auto" w:fill="auto"/>
            <w:vAlign w:val="center"/>
          </w:tcPr>
          <w:p w14:paraId="30DA3238">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4</w:t>
            </w:r>
          </w:p>
        </w:tc>
        <w:tc>
          <w:tcPr>
            <w:tcW w:w="865" w:type="pct"/>
            <w:shd w:val="clear" w:color="auto" w:fill="auto"/>
            <w:vAlign w:val="center"/>
          </w:tcPr>
          <w:p w14:paraId="509E0641">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工作反馈</w:t>
            </w:r>
          </w:p>
        </w:tc>
        <w:tc>
          <w:tcPr>
            <w:tcW w:w="2219" w:type="pct"/>
            <w:shd w:val="clear" w:color="auto" w:fill="auto"/>
            <w:vAlign w:val="center"/>
          </w:tcPr>
          <w:p w14:paraId="67380CA6">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kern w:val="0"/>
                <w:sz w:val="24"/>
                <w:highlight w:val="none"/>
                <w:lang w:val="en-US" w:bidi="ar"/>
              </w:rPr>
              <w:t>响应人被采购人投诉</w:t>
            </w:r>
          </w:p>
        </w:tc>
        <w:tc>
          <w:tcPr>
            <w:tcW w:w="1455" w:type="pct"/>
            <w:shd w:val="clear" w:color="auto" w:fill="auto"/>
            <w:vAlign w:val="center"/>
          </w:tcPr>
          <w:p w14:paraId="6FE72B85">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kern w:val="0"/>
                <w:sz w:val="24"/>
                <w:highlight w:val="none"/>
                <w:lang w:val="en-US" w:bidi="ar"/>
              </w:rPr>
              <w:t>投诉理由合理，一次扣1分</w:t>
            </w:r>
          </w:p>
        </w:tc>
      </w:tr>
      <w:tr w14:paraId="3F25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459" w:type="pct"/>
            <w:shd w:val="clear" w:color="auto" w:fill="auto"/>
            <w:vAlign w:val="center"/>
          </w:tcPr>
          <w:p w14:paraId="0115E934">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rPr>
              <w:t>5</w:t>
            </w:r>
          </w:p>
        </w:tc>
        <w:tc>
          <w:tcPr>
            <w:tcW w:w="865" w:type="pct"/>
            <w:shd w:val="clear" w:color="auto" w:fill="auto"/>
            <w:vAlign w:val="center"/>
          </w:tcPr>
          <w:p w14:paraId="60280C7D">
            <w:pPr>
              <w:pStyle w:val="269"/>
              <w:spacing w:line="240" w:lineRule="auto"/>
              <w:jc w:val="center"/>
              <w:rPr>
                <w:rFonts w:ascii="Times New Roman" w:hAnsi="Times New Roman" w:eastAsia="仿宋_GB2312" w:cs="Times New Roman"/>
                <w:sz w:val="24"/>
                <w:highlight w:val="none"/>
                <w:lang w:val="en-US"/>
              </w:rPr>
            </w:pPr>
            <w:r>
              <w:rPr>
                <w:rFonts w:hint="eastAsia" w:ascii="Times New Roman" w:hAnsi="Times New Roman" w:eastAsia="仿宋_GB2312" w:cs="Times New Roman"/>
                <w:kern w:val="0"/>
                <w:sz w:val="24"/>
                <w:highlight w:val="none"/>
                <w:lang w:val="en-US" w:bidi="ar"/>
              </w:rPr>
              <w:t>问题整改</w:t>
            </w:r>
          </w:p>
        </w:tc>
        <w:tc>
          <w:tcPr>
            <w:tcW w:w="2219" w:type="pct"/>
            <w:shd w:val="clear" w:color="auto" w:fill="auto"/>
            <w:vAlign w:val="center"/>
          </w:tcPr>
          <w:p w14:paraId="48550CDA">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kern w:val="0"/>
                <w:sz w:val="24"/>
                <w:highlight w:val="none"/>
                <w:lang w:val="en-US" w:bidi="ar"/>
              </w:rPr>
              <w:t>出现以上内容且未在规定时间内整改提交</w:t>
            </w:r>
          </w:p>
        </w:tc>
        <w:tc>
          <w:tcPr>
            <w:tcW w:w="1455" w:type="pct"/>
            <w:shd w:val="clear" w:color="auto" w:fill="auto"/>
            <w:vAlign w:val="center"/>
          </w:tcPr>
          <w:p w14:paraId="14BA7776">
            <w:pPr>
              <w:pStyle w:val="269"/>
              <w:spacing w:line="240" w:lineRule="auto"/>
              <w:jc w:val="left"/>
              <w:rPr>
                <w:rFonts w:ascii="Times New Roman" w:hAnsi="Times New Roman" w:eastAsia="仿宋_GB2312" w:cs="Times New Roman"/>
                <w:sz w:val="24"/>
                <w:highlight w:val="none"/>
                <w:lang w:val="en-US"/>
              </w:rPr>
            </w:pPr>
            <w:r>
              <w:rPr>
                <w:rFonts w:hint="eastAsia" w:ascii="Times New Roman" w:hAnsi="Times New Roman" w:eastAsia="仿宋_GB2312" w:cs="Times New Roman"/>
                <w:kern w:val="0"/>
                <w:sz w:val="24"/>
                <w:highlight w:val="none"/>
                <w:lang w:val="en-US" w:bidi="ar"/>
              </w:rPr>
              <w:t>一次扣1分。</w:t>
            </w:r>
          </w:p>
        </w:tc>
      </w:tr>
    </w:tbl>
    <w:p w14:paraId="2C13F8D4">
      <w:pPr>
        <w:pStyle w:val="259"/>
        <w:numPr>
          <w:ilvl w:val="0"/>
          <w:numId w:val="15"/>
        </w:numPr>
        <w:tabs>
          <w:tab w:val="left" w:pos="1519"/>
          <w:tab w:val="left" w:pos="10080"/>
        </w:tabs>
        <w:spacing w:line="600" w:lineRule="exact"/>
        <w:ind w:firstLine="420" w:firstLineChars="175"/>
        <w:jc w:val="left"/>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重大事件指标</w:t>
      </w:r>
    </w:p>
    <w:tbl>
      <w:tblPr>
        <w:tblStyle w:val="56"/>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7"/>
        <w:gridCol w:w="1414"/>
        <w:gridCol w:w="3727"/>
        <w:gridCol w:w="2425"/>
      </w:tblGrid>
      <w:tr w14:paraId="5B2B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67" w:type="dxa"/>
            <w:shd w:val="clear" w:color="auto" w:fill="D7D7D7" w:themeFill="background1" w:themeFillShade="D8"/>
            <w:vAlign w:val="center"/>
          </w:tcPr>
          <w:p w14:paraId="3C543C0E">
            <w:pPr>
              <w:pStyle w:val="269"/>
              <w:spacing w:line="240" w:lineRule="auto"/>
              <w:jc w:val="center"/>
              <w:rPr>
                <w:rFonts w:ascii="Times New Roman" w:hAnsi="Times New Roman" w:eastAsia="黑体" w:cs="Times New Roman"/>
                <w:sz w:val="24"/>
                <w:highlight w:val="none"/>
              </w:rPr>
            </w:pPr>
            <w:r>
              <w:rPr>
                <w:rFonts w:hint="eastAsia" w:ascii="Times New Roman" w:hAnsi="Times New Roman" w:eastAsia="黑体" w:cs="Times New Roman"/>
                <w:sz w:val="24"/>
                <w:highlight w:val="none"/>
                <w:lang w:val="en-US"/>
              </w:rPr>
              <w:t>序号</w:t>
            </w:r>
          </w:p>
        </w:tc>
        <w:tc>
          <w:tcPr>
            <w:tcW w:w="1414" w:type="dxa"/>
            <w:shd w:val="clear" w:color="auto" w:fill="D7D7D7" w:themeFill="background1" w:themeFillShade="D8"/>
            <w:vAlign w:val="center"/>
          </w:tcPr>
          <w:p w14:paraId="0FAC01CA">
            <w:pPr>
              <w:pStyle w:val="269"/>
              <w:spacing w:line="240" w:lineRule="auto"/>
              <w:jc w:val="center"/>
              <w:rPr>
                <w:rFonts w:ascii="Times New Roman" w:hAnsi="Times New Roman" w:eastAsia="黑体" w:cs="Times New Roman"/>
                <w:sz w:val="24"/>
                <w:highlight w:val="none"/>
              </w:rPr>
            </w:pPr>
            <w:r>
              <w:rPr>
                <w:rFonts w:hint="eastAsia" w:ascii="Times New Roman" w:hAnsi="Times New Roman" w:eastAsia="黑体" w:cs="Times New Roman"/>
                <w:sz w:val="24"/>
                <w:highlight w:val="none"/>
                <w:lang w:val="en-US"/>
              </w:rPr>
              <w:t>名称</w:t>
            </w:r>
          </w:p>
        </w:tc>
        <w:tc>
          <w:tcPr>
            <w:tcW w:w="3727" w:type="dxa"/>
            <w:shd w:val="clear" w:color="auto" w:fill="D7D7D7" w:themeFill="background1" w:themeFillShade="D8"/>
            <w:vAlign w:val="center"/>
          </w:tcPr>
          <w:p w14:paraId="5986D119">
            <w:pPr>
              <w:pStyle w:val="269"/>
              <w:spacing w:line="240" w:lineRule="auto"/>
              <w:jc w:val="center"/>
              <w:rPr>
                <w:rFonts w:ascii="Times New Roman" w:hAnsi="Times New Roman" w:eastAsia="黑体" w:cs="Times New Roman"/>
                <w:sz w:val="24"/>
                <w:highlight w:val="none"/>
              </w:rPr>
            </w:pPr>
            <w:r>
              <w:rPr>
                <w:rFonts w:hint="eastAsia" w:ascii="Times New Roman" w:hAnsi="Times New Roman" w:eastAsia="黑体" w:cs="Times New Roman"/>
                <w:sz w:val="24"/>
                <w:highlight w:val="none"/>
                <w:lang w:val="en-US"/>
              </w:rPr>
              <w:t>要求</w:t>
            </w:r>
          </w:p>
        </w:tc>
        <w:tc>
          <w:tcPr>
            <w:tcW w:w="2425" w:type="dxa"/>
            <w:shd w:val="clear" w:color="auto" w:fill="D7D7D7" w:themeFill="background1" w:themeFillShade="D8"/>
            <w:vAlign w:val="center"/>
          </w:tcPr>
          <w:p w14:paraId="5678629F">
            <w:pPr>
              <w:pStyle w:val="269"/>
              <w:spacing w:line="240" w:lineRule="auto"/>
              <w:jc w:val="center"/>
              <w:rPr>
                <w:rFonts w:ascii="Times New Roman" w:hAnsi="Times New Roman" w:eastAsia="黑体" w:cs="Times New Roman"/>
                <w:sz w:val="24"/>
                <w:highlight w:val="none"/>
              </w:rPr>
            </w:pPr>
            <w:r>
              <w:rPr>
                <w:rFonts w:hint="eastAsia" w:ascii="Times New Roman" w:hAnsi="Times New Roman" w:eastAsia="黑体" w:cs="Times New Roman"/>
                <w:sz w:val="24"/>
                <w:highlight w:val="none"/>
                <w:lang w:val="en-US"/>
              </w:rPr>
              <w:t>评分标准</w:t>
            </w:r>
          </w:p>
        </w:tc>
      </w:tr>
      <w:tr w14:paraId="65B6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60" w:type="pct"/>
            <w:vAlign w:val="center"/>
          </w:tcPr>
          <w:p w14:paraId="1AEFD8A8">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1</w:t>
            </w:r>
          </w:p>
        </w:tc>
        <w:tc>
          <w:tcPr>
            <w:tcW w:w="848" w:type="pct"/>
            <w:vMerge w:val="restart"/>
            <w:vAlign w:val="center"/>
          </w:tcPr>
          <w:p w14:paraId="60F8BB36">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重大事件</w:t>
            </w:r>
          </w:p>
        </w:tc>
        <w:tc>
          <w:tcPr>
            <w:tcW w:w="2236" w:type="pct"/>
            <w:vAlign w:val="center"/>
          </w:tcPr>
          <w:p w14:paraId="47AE5C1B">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因响应人原因，造成数据泄露</w:t>
            </w:r>
          </w:p>
        </w:tc>
        <w:tc>
          <w:tcPr>
            <w:tcW w:w="1455" w:type="pct"/>
            <w:vAlign w:val="center"/>
          </w:tcPr>
          <w:p w14:paraId="09606D35">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响应人应赔偿采购人的所有损失，并一次扣10分，两次及以上直接取消合同</w:t>
            </w:r>
          </w:p>
        </w:tc>
      </w:tr>
      <w:tr w14:paraId="65A5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jc w:val="center"/>
        </w:trPr>
        <w:tc>
          <w:tcPr>
            <w:tcW w:w="460" w:type="pct"/>
            <w:vAlign w:val="center"/>
          </w:tcPr>
          <w:p w14:paraId="62961AE5">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2</w:t>
            </w:r>
          </w:p>
        </w:tc>
        <w:tc>
          <w:tcPr>
            <w:tcW w:w="848" w:type="pct"/>
            <w:vMerge w:val="continue"/>
            <w:vAlign w:val="center"/>
          </w:tcPr>
          <w:p w14:paraId="7EC2740A">
            <w:pPr>
              <w:spacing w:line="240" w:lineRule="auto"/>
              <w:rPr>
                <w:rFonts w:ascii="Times New Roman" w:hAnsi="Times New Roman" w:eastAsia="仿宋_GB2312" w:cs="Times New Roman"/>
                <w:kern w:val="0"/>
                <w:sz w:val="24"/>
                <w:highlight w:val="none"/>
                <w:lang w:bidi="ar"/>
              </w:rPr>
            </w:pPr>
          </w:p>
        </w:tc>
        <w:tc>
          <w:tcPr>
            <w:tcW w:w="2236" w:type="pct"/>
            <w:vAlign w:val="center"/>
          </w:tcPr>
          <w:p w14:paraId="20436BD7">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响应人编制的文档受到省政府领导或四川省政府政务服务和公共资源交易服务中心领导批评</w:t>
            </w:r>
          </w:p>
        </w:tc>
        <w:tc>
          <w:tcPr>
            <w:tcW w:w="1455" w:type="pct"/>
            <w:vAlign w:val="center"/>
          </w:tcPr>
          <w:p w14:paraId="41B7966D">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受到省政府领导批评，一次扣5分；受到四川省政府政务服务和公共资源交易服务中心领导批评，一次扣3分</w:t>
            </w:r>
          </w:p>
        </w:tc>
      </w:tr>
      <w:tr w14:paraId="454B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460" w:type="pct"/>
            <w:vAlign w:val="center"/>
          </w:tcPr>
          <w:p w14:paraId="4BB6F3FC">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3</w:t>
            </w:r>
          </w:p>
        </w:tc>
        <w:tc>
          <w:tcPr>
            <w:tcW w:w="848" w:type="pct"/>
            <w:vMerge w:val="continue"/>
            <w:vAlign w:val="center"/>
          </w:tcPr>
          <w:p w14:paraId="235AAAC9">
            <w:pPr>
              <w:spacing w:line="240" w:lineRule="auto"/>
              <w:rPr>
                <w:rFonts w:ascii="Times New Roman" w:hAnsi="Times New Roman" w:eastAsia="仿宋_GB2312" w:cs="Times New Roman"/>
                <w:kern w:val="0"/>
                <w:sz w:val="24"/>
                <w:highlight w:val="none"/>
                <w:lang w:bidi="ar"/>
              </w:rPr>
            </w:pPr>
          </w:p>
        </w:tc>
        <w:tc>
          <w:tcPr>
            <w:tcW w:w="2236" w:type="pct"/>
            <w:shd w:val="clear" w:color="auto" w:fill="auto"/>
            <w:vAlign w:val="center"/>
          </w:tcPr>
          <w:p w14:paraId="043CAE61">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响应人利用项目数据从事经营活动的</w:t>
            </w:r>
          </w:p>
        </w:tc>
        <w:tc>
          <w:tcPr>
            <w:tcW w:w="1455" w:type="pct"/>
            <w:shd w:val="clear" w:color="auto" w:fill="auto"/>
            <w:vAlign w:val="center"/>
          </w:tcPr>
          <w:p w14:paraId="46C02574">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响应人应赔偿采购人的所有损失，并取消合同</w:t>
            </w:r>
          </w:p>
        </w:tc>
      </w:tr>
    </w:tbl>
    <w:p w14:paraId="3BB93214">
      <w:pPr>
        <w:pStyle w:val="259"/>
        <w:numPr>
          <w:ilvl w:val="0"/>
          <w:numId w:val="15"/>
        </w:numPr>
        <w:tabs>
          <w:tab w:val="left" w:pos="1519"/>
          <w:tab w:val="left" w:pos="10080"/>
        </w:tabs>
        <w:spacing w:line="600" w:lineRule="exact"/>
        <w:ind w:firstLine="420" w:firstLineChars="175"/>
        <w:jc w:val="left"/>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诚信指标</w:t>
      </w:r>
    </w:p>
    <w:tbl>
      <w:tblPr>
        <w:tblStyle w:val="56"/>
        <w:tblW w:w="503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7"/>
        <w:gridCol w:w="1420"/>
        <w:gridCol w:w="3754"/>
        <w:gridCol w:w="2425"/>
      </w:tblGrid>
      <w:tr w14:paraId="31D6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18" w:type="dxa"/>
            <w:shd w:val="clear" w:color="auto" w:fill="D7D7D7" w:themeFill="background1" w:themeFillShade="D8"/>
            <w:vAlign w:val="center"/>
          </w:tcPr>
          <w:p w14:paraId="3E1930C8">
            <w:pPr>
              <w:pStyle w:val="269"/>
              <w:spacing w:line="240" w:lineRule="auto"/>
              <w:jc w:val="center"/>
              <w:rPr>
                <w:rFonts w:ascii="Times New Roman" w:hAnsi="Times New Roman" w:eastAsia="黑体" w:cs="Times New Roman"/>
                <w:spacing w:val="24"/>
                <w:sz w:val="24"/>
                <w:highlight w:val="none"/>
                <w:lang w:val="en-US"/>
              </w:rPr>
            </w:pPr>
            <w:r>
              <w:rPr>
                <w:rFonts w:hint="eastAsia" w:ascii="Times New Roman" w:hAnsi="Times New Roman" w:eastAsia="黑体" w:cs="Times New Roman"/>
                <w:sz w:val="24"/>
                <w:highlight w:val="none"/>
                <w:lang w:val="en-US"/>
              </w:rPr>
              <w:t>序号</w:t>
            </w:r>
          </w:p>
        </w:tc>
        <w:tc>
          <w:tcPr>
            <w:tcW w:w="1511" w:type="dxa"/>
            <w:shd w:val="clear" w:color="auto" w:fill="D7D7D7" w:themeFill="background1" w:themeFillShade="D8"/>
            <w:vAlign w:val="center"/>
          </w:tcPr>
          <w:p w14:paraId="6B1A36EF">
            <w:pPr>
              <w:pStyle w:val="269"/>
              <w:spacing w:line="240" w:lineRule="auto"/>
              <w:jc w:val="center"/>
              <w:rPr>
                <w:rFonts w:ascii="Times New Roman" w:hAnsi="Times New Roman" w:eastAsia="黑体" w:cs="Times New Roman"/>
                <w:spacing w:val="24"/>
                <w:sz w:val="24"/>
                <w:highlight w:val="none"/>
                <w:lang w:val="en-US"/>
              </w:rPr>
            </w:pPr>
            <w:r>
              <w:rPr>
                <w:rFonts w:hint="eastAsia" w:ascii="Times New Roman" w:hAnsi="Times New Roman" w:eastAsia="黑体" w:cs="Times New Roman"/>
                <w:sz w:val="24"/>
                <w:highlight w:val="none"/>
                <w:lang w:val="en-US"/>
              </w:rPr>
              <w:t>名称</w:t>
            </w:r>
          </w:p>
        </w:tc>
        <w:tc>
          <w:tcPr>
            <w:tcW w:w="3988" w:type="dxa"/>
            <w:shd w:val="clear" w:color="auto" w:fill="D7D7D7" w:themeFill="background1" w:themeFillShade="D8"/>
            <w:vAlign w:val="center"/>
          </w:tcPr>
          <w:p w14:paraId="2ADD622F">
            <w:pPr>
              <w:pStyle w:val="269"/>
              <w:spacing w:line="240" w:lineRule="auto"/>
              <w:jc w:val="center"/>
              <w:rPr>
                <w:rFonts w:ascii="Times New Roman" w:hAnsi="Times New Roman" w:eastAsia="黑体" w:cs="Times New Roman"/>
                <w:spacing w:val="24"/>
                <w:sz w:val="24"/>
                <w:highlight w:val="none"/>
                <w:lang w:val="en-US"/>
              </w:rPr>
            </w:pPr>
            <w:r>
              <w:rPr>
                <w:rFonts w:hint="eastAsia" w:ascii="Times New Roman" w:hAnsi="Times New Roman" w:eastAsia="黑体" w:cs="Times New Roman"/>
                <w:sz w:val="24"/>
                <w:highlight w:val="none"/>
                <w:lang w:val="en-US"/>
              </w:rPr>
              <w:t>要求</w:t>
            </w:r>
          </w:p>
        </w:tc>
        <w:tc>
          <w:tcPr>
            <w:tcW w:w="2593" w:type="dxa"/>
            <w:shd w:val="clear" w:color="auto" w:fill="D7D7D7" w:themeFill="background1" w:themeFillShade="D8"/>
            <w:vAlign w:val="center"/>
          </w:tcPr>
          <w:p w14:paraId="100F6698">
            <w:pPr>
              <w:pStyle w:val="269"/>
              <w:spacing w:line="240" w:lineRule="auto"/>
              <w:jc w:val="center"/>
              <w:rPr>
                <w:rFonts w:ascii="Times New Roman" w:hAnsi="Times New Roman" w:eastAsia="黑体" w:cs="Times New Roman"/>
                <w:spacing w:val="24"/>
                <w:sz w:val="24"/>
                <w:highlight w:val="none"/>
                <w:lang w:val="en-US"/>
              </w:rPr>
            </w:pPr>
            <w:r>
              <w:rPr>
                <w:rFonts w:hint="eastAsia" w:ascii="Times New Roman" w:hAnsi="Times New Roman" w:eastAsia="黑体" w:cs="Times New Roman"/>
                <w:sz w:val="24"/>
                <w:highlight w:val="none"/>
                <w:lang w:val="en-US"/>
              </w:rPr>
              <w:t>评分标准</w:t>
            </w:r>
          </w:p>
        </w:tc>
      </w:tr>
      <w:tr w14:paraId="5B38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818" w:type="dxa"/>
            <w:vAlign w:val="center"/>
          </w:tcPr>
          <w:p w14:paraId="5C009C56">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1</w:t>
            </w:r>
          </w:p>
        </w:tc>
        <w:tc>
          <w:tcPr>
            <w:tcW w:w="1511" w:type="dxa"/>
            <w:vAlign w:val="center"/>
          </w:tcPr>
          <w:p w14:paraId="7A0F62BE">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诚信指标</w:t>
            </w:r>
          </w:p>
        </w:tc>
        <w:tc>
          <w:tcPr>
            <w:tcW w:w="3988" w:type="dxa"/>
            <w:vAlign w:val="center"/>
          </w:tcPr>
          <w:p w14:paraId="18CF9C7A">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出现虚假承诺、瞒报信息、上报虚假信息、“吃、拿、卡、要”等问题</w:t>
            </w:r>
          </w:p>
        </w:tc>
        <w:tc>
          <w:tcPr>
            <w:tcW w:w="2593" w:type="dxa"/>
            <w:vAlign w:val="center"/>
          </w:tcPr>
          <w:p w14:paraId="7FAC13B7">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一次扣10分</w:t>
            </w:r>
          </w:p>
        </w:tc>
      </w:tr>
    </w:tbl>
    <w:p w14:paraId="081E7F7E">
      <w:pPr>
        <w:pStyle w:val="259"/>
        <w:numPr>
          <w:ilvl w:val="0"/>
          <w:numId w:val="15"/>
        </w:numPr>
        <w:tabs>
          <w:tab w:val="left" w:pos="1519"/>
          <w:tab w:val="left" w:pos="10080"/>
        </w:tabs>
        <w:spacing w:line="600" w:lineRule="exact"/>
        <w:ind w:firstLine="420" w:firstLineChars="175"/>
        <w:jc w:val="left"/>
        <w:rPr>
          <w:rFonts w:ascii="Times New Roman" w:hAnsi="Times New Roman" w:eastAsia="黑体" w:cs="Times New Roman"/>
          <w:sz w:val="24"/>
          <w:highlight w:val="none"/>
          <w:lang w:val="en-US"/>
        </w:rPr>
      </w:pPr>
      <w:r>
        <w:rPr>
          <w:rFonts w:hint="eastAsia" w:ascii="Times New Roman" w:hAnsi="Times New Roman" w:eastAsia="黑体" w:cs="Times New Roman"/>
          <w:sz w:val="24"/>
          <w:highlight w:val="none"/>
          <w:lang w:val="en-US"/>
        </w:rPr>
        <w:t>奖励加分指标</w:t>
      </w:r>
    </w:p>
    <w:tbl>
      <w:tblPr>
        <w:tblStyle w:val="56"/>
        <w:tblW w:w="50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7"/>
        <w:gridCol w:w="1411"/>
        <w:gridCol w:w="3725"/>
        <w:gridCol w:w="2421"/>
      </w:tblGrid>
      <w:tr w14:paraId="5657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66" w:type="dxa"/>
            <w:tcBorders>
              <w:tl2br w:val="nil"/>
              <w:tr2bl w:val="nil"/>
            </w:tcBorders>
            <w:shd w:val="clear" w:color="auto" w:fill="D7D7D7" w:themeFill="background1" w:themeFillShade="D8"/>
            <w:vAlign w:val="center"/>
          </w:tcPr>
          <w:p w14:paraId="7E180360">
            <w:pPr>
              <w:pStyle w:val="269"/>
              <w:spacing w:line="240" w:lineRule="auto"/>
              <w:jc w:val="center"/>
              <w:rPr>
                <w:rFonts w:ascii="Times New Roman" w:hAnsi="Times New Roman" w:eastAsia="黑体" w:cs="Times New Roman"/>
                <w:kern w:val="0"/>
                <w:sz w:val="24"/>
                <w:highlight w:val="none"/>
                <w:lang w:val="en-US" w:bidi="ar"/>
              </w:rPr>
            </w:pPr>
            <w:r>
              <w:rPr>
                <w:rFonts w:hint="eastAsia" w:ascii="Times New Roman" w:hAnsi="Times New Roman" w:eastAsia="黑体" w:cs="Times New Roman"/>
                <w:sz w:val="24"/>
                <w:highlight w:val="none"/>
                <w:lang w:val="en-US"/>
              </w:rPr>
              <w:t>序号</w:t>
            </w:r>
          </w:p>
        </w:tc>
        <w:tc>
          <w:tcPr>
            <w:tcW w:w="1409" w:type="dxa"/>
            <w:tcBorders>
              <w:tl2br w:val="nil"/>
              <w:tr2bl w:val="nil"/>
            </w:tcBorders>
            <w:shd w:val="clear" w:color="auto" w:fill="D7D7D7" w:themeFill="background1" w:themeFillShade="D8"/>
            <w:vAlign w:val="center"/>
          </w:tcPr>
          <w:p w14:paraId="03B788DD">
            <w:pPr>
              <w:pStyle w:val="269"/>
              <w:spacing w:line="240" w:lineRule="auto"/>
              <w:jc w:val="center"/>
              <w:rPr>
                <w:rFonts w:ascii="Times New Roman" w:hAnsi="Times New Roman" w:eastAsia="黑体" w:cs="Times New Roman"/>
                <w:kern w:val="0"/>
                <w:sz w:val="24"/>
                <w:highlight w:val="none"/>
                <w:lang w:val="en-US" w:bidi="ar"/>
              </w:rPr>
            </w:pPr>
            <w:r>
              <w:rPr>
                <w:rFonts w:hint="eastAsia" w:ascii="Times New Roman" w:hAnsi="Times New Roman" w:eastAsia="黑体" w:cs="Times New Roman"/>
                <w:sz w:val="24"/>
                <w:highlight w:val="none"/>
                <w:lang w:val="en-US"/>
              </w:rPr>
              <w:t>名称</w:t>
            </w:r>
          </w:p>
        </w:tc>
        <w:tc>
          <w:tcPr>
            <w:tcW w:w="3721" w:type="dxa"/>
            <w:tcBorders>
              <w:tl2br w:val="nil"/>
              <w:tr2bl w:val="nil"/>
            </w:tcBorders>
            <w:shd w:val="clear" w:color="auto" w:fill="D7D7D7" w:themeFill="background1" w:themeFillShade="D8"/>
            <w:vAlign w:val="center"/>
          </w:tcPr>
          <w:p w14:paraId="4E45D24A">
            <w:pPr>
              <w:pStyle w:val="269"/>
              <w:spacing w:line="240" w:lineRule="auto"/>
              <w:jc w:val="center"/>
              <w:rPr>
                <w:rFonts w:ascii="Times New Roman" w:hAnsi="Times New Roman" w:eastAsia="黑体" w:cs="Times New Roman"/>
                <w:kern w:val="0"/>
                <w:sz w:val="24"/>
                <w:highlight w:val="none"/>
                <w:lang w:val="en-US" w:bidi="ar"/>
              </w:rPr>
            </w:pPr>
            <w:r>
              <w:rPr>
                <w:rFonts w:hint="eastAsia" w:ascii="Times New Roman" w:hAnsi="Times New Roman" w:eastAsia="黑体" w:cs="Times New Roman"/>
                <w:sz w:val="24"/>
                <w:highlight w:val="none"/>
                <w:lang w:val="en-US"/>
              </w:rPr>
              <w:t>要求</w:t>
            </w:r>
          </w:p>
        </w:tc>
        <w:tc>
          <w:tcPr>
            <w:tcW w:w="2418" w:type="dxa"/>
            <w:tcBorders>
              <w:tl2br w:val="nil"/>
              <w:tr2bl w:val="nil"/>
            </w:tcBorders>
            <w:shd w:val="clear" w:color="auto" w:fill="D7D7D7" w:themeFill="background1" w:themeFillShade="D8"/>
            <w:vAlign w:val="center"/>
          </w:tcPr>
          <w:p w14:paraId="4F7EDB17">
            <w:pPr>
              <w:pStyle w:val="269"/>
              <w:spacing w:line="240" w:lineRule="auto"/>
              <w:jc w:val="center"/>
              <w:rPr>
                <w:rFonts w:ascii="Times New Roman" w:hAnsi="Times New Roman" w:eastAsia="黑体" w:cs="Times New Roman"/>
                <w:kern w:val="0"/>
                <w:sz w:val="24"/>
                <w:highlight w:val="none"/>
                <w:lang w:val="en-US" w:bidi="ar"/>
              </w:rPr>
            </w:pPr>
            <w:r>
              <w:rPr>
                <w:rFonts w:hint="eastAsia" w:ascii="Times New Roman" w:hAnsi="Times New Roman" w:eastAsia="黑体" w:cs="Times New Roman"/>
                <w:sz w:val="24"/>
                <w:highlight w:val="none"/>
                <w:lang w:val="en-US"/>
              </w:rPr>
              <w:t>评分标准</w:t>
            </w:r>
          </w:p>
        </w:tc>
      </w:tr>
      <w:tr w14:paraId="07DF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866" w:type="dxa"/>
            <w:tcBorders>
              <w:tl2br w:val="nil"/>
              <w:tr2bl w:val="nil"/>
            </w:tcBorders>
            <w:vAlign w:val="center"/>
          </w:tcPr>
          <w:p w14:paraId="2E83BAEF">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1</w:t>
            </w:r>
          </w:p>
        </w:tc>
        <w:tc>
          <w:tcPr>
            <w:tcW w:w="1409" w:type="dxa"/>
            <w:vMerge w:val="restart"/>
            <w:tcBorders>
              <w:tl2br w:val="nil"/>
              <w:tr2bl w:val="nil"/>
            </w:tcBorders>
            <w:vAlign w:val="center"/>
          </w:tcPr>
          <w:p w14:paraId="75C4CB1E">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奖励加分指标</w:t>
            </w:r>
          </w:p>
        </w:tc>
        <w:tc>
          <w:tcPr>
            <w:tcW w:w="3721" w:type="dxa"/>
            <w:tcBorders>
              <w:tl2br w:val="nil"/>
              <w:tr2bl w:val="nil"/>
            </w:tcBorders>
            <w:vAlign w:val="center"/>
          </w:tcPr>
          <w:p w14:paraId="20EBAAC5">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响应人开展的工作受到省级及以上主流新闻媒体正面评价</w:t>
            </w:r>
          </w:p>
        </w:tc>
        <w:tc>
          <w:tcPr>
            <w:tcW w:w="2418" w:type="dxa"/>
            <w:tcBorders>
              <w:tl2br w:val="nil"/>
              <w:tr2bl w:val="nil"/>
            </w:tcBorders>
            <w:vAlign w:val="center"/>
          </w:tcPr>
          <w:p w14:paraId="10BF7B7C">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在国家级主流媒体报道每件加5分；在省级主流媒体报道每件加3分。同一内容在同一阶段内被不同层次媒体报道，按最高层次加分，不重复加分</w:t>
            </w:r>
          </w:p>
        </w:tc>
      </w:tr>
      <w:tr w14:paraId="3642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jc w:val="center"/>
        </w:trPr>
        <w:tc>
          <w:tcPr>
            <w:tcW w:w="866" w:type="dxa"/>
            <w:tcBorders>
              <w:tl2br w:val="nil"/>
              <w:tr2bl w:val="nil"/>
            </w:tcBorders>
            <w:vAlign w:val="center"/>
          </w:tcPr>
          <w:p w14:paraId="61CAB1F8">
            <w:pPr>
              <w:pStyle w:val="269"/>
              <w:spacing w:line="240" w:lineRule="auto"/>
              <w:jc w:val="center"/>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2</w:t>
            </w:r>
          </w:p>
        </w:tc>
        <w:tc>
          <w:tcPr>
            <w:tcW w:w="1409" w:type="dxa"/>
            <w:vMerge w:val="continue"/>
            <w:tcBorders>
              <w:tl2br w:val="nil"/>
              <w:tr2bl w:val="nil"/>
            </w:tcBorders>
            <w:vAlign w:val="center"/>
          </w:tcPr>
          <w:p w14:paraId="073BFBEE">
            <w:pPr>
              <w:spacing w:line="240" w:lineRule="auto"/>
              <w:rPr>
                <w:rFonts w:ascii="Times New Roman" w:hAnsi="Times New Roman" w:eastAsia="仿宋_GB2312" w:cs="Times New Roman"/>
                <w:kern w:val="0"/>
                <w:sz w:val="24"/>
                <w:highlight w:val="none"/>
                <w:lang w:bidi="ar"/>
              </w:rPr>
            </w:pPr>
          </w:p>
        </w:tc>
        <w:tc>
          <w:tcPr>
            <w:tcW w:w="3721" w:type="dxa"/>
            <w:tcBorders>
              <w:tl2br w:val="nil"/>
              <w:tr2bl w:val="nil"/>
            </w:tcBorders>
            <w:vAlign w:val="center"/>
          </w:tcPr>
          <w:p w14:paraId="27C747D8">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响应人出色完成各项工作，受到表彰以及领导肯定性批示</w:t>
            </w:r>
          </w:p>
        </w:tc>
        <w:tc>
          <w:tcPr>
            <w:tcW w:w="2418" w:type="dxa"/>
            <w:tcBorders>
              <w:tl2br w:val="nil"/>
              <w:tr2bl w:val="nil"/>
            </w:tcBorders>
            <w:vAlign w:val="center"/>
          </w:tcPr>
          <w:p w14:paraId="6C876595">
            <w:pPr>
              <w:pStyle w:val="269"/>
              <w:spacing w:line="240" w:lineRule="auto"/>
              <w:rPr>
                <w:rFonts w:ascii="Times New Roman" w:hAnsi="Times New Roman" w:eastAsia="仿宋_GB2312" w:cs="Times New Roman"/>
                <w:kern w:val="0"/>
                <w:sz w:val="24"/>
                <w:highlight w:val="none"/>
                <w:lang w:val="en-US" w:bidi="ar"/>
              </w:rPr>
            </w:pPr>
            <w:r>
              <w:rPr>
                <w:rFonts w:hint="eastAsia" w:ascii="Times New Roman" w:hAnsi="Times New Roman" w:eastAsia="仿宋_GB2312" w:cs="Times New Roman"/>
                <w:kern w:val="0"/>
                <w:sz w:val="24"/>
                <w:highlight w:val="none"/>
                <w:lang w:val="en-US" w:bidi="ar"/>
              </w:rPr>
              <w:t>省委省政府及以上通报表彰或领导肯定性批示的，每次加5分；四川省政府政务服务和公共资源交易服务中心通报表彰或领导肯定性批示的，每次加3分。四川省政府政务服务和公共资源交易服务中心相关处室负责人口头表扬或肯定性批示的，每次加2分</w:t>
            </w:r>
          </w:p>
        </w:tc>
      </w:tr>
    </w:tbl>
    <w:p w14:paraId="374C0F05">
      <w:pPr>
        <w:pStyle w:val="259"/>
        <w:tabs>
          <w:tab w:val="left" w:pos="1519"/>
          <w:tab w:val="left" w:pos="10080"/>
        </w:tabs>
        <w:spacing w:line="600" w:lineRule="exact"/>
        <w:ind w:left="0" w:firstLine="640" w:firstLineChars="200"/>
        <w:jc w:val="left"/>
        <w:rPr>
          <w:rFonts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F.考核结果应用</w:t>
      </w:r>
    </w:p>
    <w:p w14:paraId="582FA65B">
      <w:pPr>
        <w:pStyle w:val="259"/>
        <w:tabs>
          <w:tab w:val="left" w:pos="1519"/>
          <w:tab w:val="left" w:pos="10080"/>
        </w:tabs>
        <w:spacing w:line="600" w:lineRule="exact"/>
        <w:ind w:firstLine="640" w:firstLineChars="200"/>
        <w:jc w:val="left"/>
        <w:rPr>
          <w:rFonts w:hint="eastAsia" w:ascii="Times New Roman" w:hAnsi="Times New Roman" w:eastAsia="仿宋_GB2312" w:cs="Times New Roman"/>
          <w:sz w:val="32"/>
          <w:szCs w:val="32"/>
          <w:highlight w:val="none"/>
          <w:lang w:val="en-US" w:bidi="ar-SA"/>
        </w:rPr>
      </w:pPr>
      <w:r>
        <w:rPr>
          <w:rFonts w:hint="eastAsia" w:ascii="Times New Roman" w:hAnsi="Times New Roman" w:eastAsia="仿宋_GB2312" w:cs="Times New Roman"/>
          <w:sz w:val="32"/>
          <w:szCs w:val="32"/>
          <w:highlight w:val="none"/>
          <w:lang w:val="en-US" w:bidi="ar-SA"/>
        </w:rPr>
        <w:t>根据本考核细则的相关规定，考核分值每1分对应2000元人民币，经本项目考核小组确定考核分值后，响应人对考核结果签字确认，最终报四川省政府政务服务和公共资源交易服务中心审定。最终考核结果，作为验收材料（考核最终得分不超过100分，若20分扣完，取消合同，重新招标），验收后，根据响应的分值，予以拨款。</w:t>
      </w:r>
    </w:p>
    <w:p w14:paraId="5377F02A">
      <w:pPr>
        <w:pStyle w:val="259"/>
        <w:tabs>
          <w:tab w:val="left" w:pos="1519"/>
          <w:tab w:val="left" w:pos="10080"/>
        </w:tabs>
        <w:spacing w:line="600" w:lineRule="exact"/>
        <w:ind w:firstLine="640" w:firstLineChars="200"/>
        <w:jc w:val="left"/>
        <w:rPr>
          <w:rFonts w:hint="default" w:ascii="Times New Roman" w:hAnsi="Times New Roman" w:cs="Times New Roman"/>
          <w:highlight w:val="none"/>
          <w:lang w:val="en-US" w:eastAsia="zh-CN"/>
        </w:rPr>
      </w:pPr>
      <w:r>
        <w:rPr>
          <w:rFonts w:hint="eastAsia" w:ascii="Times New Roman" w:hAnsi="Times New Roman" w:eastAsia="仿宋_GB2312" w:cs="Times New Roman"/>
          <w:sz w:val="32"/>
          <w:szCs w:val="32"/>
          <w:highlight w:val="none"/>
        </w:rPr>
        <w:t>以上带“★”条款为实质性要求项，响应人必须满足，否则为无效投标。</w:t>
      </w:r>
    </w:p>
    <w:p w14:paraId="24CAF871">
      <w:pPr>
        <w:pStyle w:val="3"/>
        <w:pageBreakBefore w:val="0"/>
        <w:kinsoku/>
        <w:wordWrap/>
        <w:overflowPunct/>
        <w:topLinePunct w:val="0"/>
        <w:bidi w:val="0"/>
        <w:spacing w:before="0" w:after="0" w:line="540" w:lineRule="exact"/>
        <w:ind w:right="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0EAE2E6F">
      <w:pPr>
        <w:rPr>
          <w:rFonts w:hint="eastAsia" w:ascii="仿宋_GB2312" w:hAnsi="仿宋_GB2312" w:eastAsia="仿宋_GB2312" w:cs="仿宋_GB2312"/>
          <w:b/>
          <w:color w:val="000000" w:themeColor="text1"/>
          <w:sz w:val="32"/>
          <w:szCs w:val="32"/>
          <w14:textFill>
            <w14:solidFill>
              <w14:schemeClr w14:val="tx1"/>
            </w14:solidFill>
          </w14:textFill>
        </w:rPr>
      </w:pPr>
    </w:p>
    <w:p w14:paraId="10B4A172">
      <w:pPr>
        <w:pStyle w:val="2"/>
        <w:rPr>
          <w:rFonts w:hint="eastAsia"/>
        </w:rPr>
      </w:pPr>
    </w:p>
    <w:p w14:paraId="3E84CE1F">
      <w:pPr>
        <w:pStyle w:val="3"/>
        <w:pageBreakBefore w:val="0"/>
        <w:kinsoku/>
        <w:wordWrap/>
        <w:overflowPunct/>
        <w:topLinePunct w:val="0"/>
        <w:bidi w:val="0"/>
        <w:spacing w:before="0" w:after="0" w:line="540" w:lineRule="exact"/>
        <w:ind w:right="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3C87D463">
      <w:pPr>
        <w:pStyle w:val="3"/>
        <w:pageBreakBefore w:val="0"/>
        <w:kinsoku/>
        <w:wordWrap/>
        <w:overflowPunct/>
        <w:topLinePunct w:val="0"/>
        <w:bidi w:val="0"/>
        <w:spacing w:before="0" w:after="0" w:line="540" w:lineRule="exact"/>
        <w:ind w:right="0"/>
        <w:jc w:val="both"/>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53424596">
      <w:pPr>
        <w:rPr>
          <w:rFonts w:hint="eastAsia" w:ascii="仿宋_GB2312" w:hAnsi="仿宋_GB2312" w:eastAsia="仿宋_GB2312" w:cs="仿宋_GB2312"/>
          <w:b/>
          <w:color w:val="000000" w:themeColor="text1"/>
          <w:sz w:val="32"/>
          <w:szCs w:val="32"/>
          <w14:textFill>
            <w14:solidFill>
              <w14:schemeClr w14:val="tx1"/>
            </w14:solidFill>
          </w14:textFill>
        </w:rPr>
      </w:pPr>
    </w:p>
    <w:p w14:paraId="389F1B19">
      <w:pPr>
        <w:pStyle w:val="2"/>
        <w:rPr>
          <w:rFonts w:hint="eastAsia"/>
        </w:rPr>
      </w:pPr>
    </w:p>
    <w:p w14:paraId="5B7E79EC">
      <w:pPr>
        <w:pStyle w:val="3"/>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4"/>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227057964"/>
      <w:bookmarkStart w:id="14" w:name="_Toc378497710"/>
      <w:bookmarkStart w:id="15" w:name="_Toc226969358"/>
      <w:bookmarkStart w:id="16" w:name="_Toc406413564"/>
      <w:bookmarkStart w:id="17" w:name="_Toc385507152"/>
      <w:bookmarkStart w:id="18" w:name="_Toc406313792"/>
      <w:bookmarkStart w:id="19" w:name="_Toc468808809"/>
      <w:bookmarkStart w:id="20" w:name="_Toc396318580"/>
      <w:bookmarkStart w:id="21" w:name="_Toc226969359"/>
      <w:bookmarkStart w:id="22" w:name="_Toc107822557"/>
      <w:bookmarkStart w:id="23" w:name="_Toc227057965"/>
    </w:p>
    <w:p w14:paraId="0C8F633A">
      <w:pPr>
        <w:pStyle w:val="4"/>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4"/>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4"/>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408249246"/>
      <w:bookmarkStart w:id="26" w:name="_Toc263964481"/>
      <w:bookmarkStart w:id="27" w:name="_Toc196153992"/>
      <w:bookmarkStart w:id="28" w:name="_Toc229558393"/>
      <w:bookmarkStart w:id="29" w:name="_Toc319905129"/>
      <w:bookmarkStart w:id="30" w:name="_Toc400970099"/>
      <w:bookmarkStart w:id="31" w:name="_Toc263964579"/>
      <w:bookmarkStart w:id="32" w:name="_Toc263963173"/>
      <w:bookmarkStart w:id="33" w:name="_Toc420655597"/>
      <w:bookmarkStart w:id="34" w:name="_Toc224619345"/>
      <w:bookmarkStart w:id="35" w:name="_Toc196153893"/>
      <w:bookmarkStart w:id="36" w:name="_Toc197247444"/>
      <w:bookmarkStart w:id="37" w:name="_Toc196153694"/>
      <w:bookmarkStart w:id="38" w:name="_Toc193268467"/>
      <w:bookmarkStart w:id="39" w:name="_Toc192354826"/>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894"/>
      <w:bookmarkStart w:id="41" w:name="_Toc196153993"/>
      <w:bookmarkStart w:id="42" w:name="_Toc196153695"/>
    </w:p>
    <w:p w14:paraId="4F5238D1">
      <w:pPr>
        <w:pStyle w:val="53"/>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400970100"/>
      <w:bookmarkStart w:id="44" w:name="_Toc408249247"/>
      <w:bookmarkStart w:id="45" w:name="_Toc263964482"/>
      <w:bookmarkStart w:id="46" w:name="_Toc197247445"/>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196153895"/>
      <w:bookmarkStart w:id="48" w:name="_Toc192354827"/>
      <w:bookmarkStart w:id="49" w:name="_Toc193268468"/>
      <w:bookmarkStart w:id="50" w:name="_Toc197247446"/>
      <w:bookmarkStart w:id="51" w:name="_Toc263964483"/>
      <w:bookmarkStart w:id="52" w:name="_Toc196153994"/>
      <w:bookmarkStart w:id="53" w:name="_Toc196153696"/>
      <w:bookmarkStart w:id="54" w:name="_Toc408249248"/>
      <w:bookmarkStart w:id="55" w:name="_Toc400970101"/>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196153896"/>
      <w:bookmarkStart w:id="57" w:name="_Toc192354828"/>
      <w:bookmarkStart w:id="58" w:name="_Toc196153697"/>
      <w:bookmarkStart w:id="59" w:name="_Toc196153995"/>
      <w:bookmarkStart w:id="60" w:name="_Toc193268469"/>
      <w:bookmarkStart w:id="61" w:name="_Toc197247447"/>
      <w:bookmarkStart w:id="62" w:name="_Toc263964484"/>
      <w:bookmarkStart w:id="63" w:name="_Toc408249249"/>
      <w:bookmarkStart w:id="64" w:name="_Toc400970102"/>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3"/>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13129"/>
      <w:bookmarkStart w:id="66" w:name="_Toc522005482"/>
      <w:bookmarkStart w:id="67" w:name="_Toc32482816"/>
      <w:bookmarkStart w:id="68" w:name="_Toc32405690"/>
      <w:bookmarkStart w:id="69" w:name="_Toc32404463"/>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7"/>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50"/>
      <w:bookmarkEnd w:id="70"/>
      <w:bookmarkStart w:id="71" w:name="_Toc261857556"/>
      <w:bookmarkEnd w:id="71"/>
      <w:bookmarkStart w:id="72" w:name="_Toc261857587"/>
      <w:bookmarkEnd w:id="72"/>
      <w:bookmarkStart w:id="73" w:name="_Toc261857544"/>
      <w:bookmarkEnd w:id="73"/>
      <w:bookmarkStart w:id="74" w:name="_Toc261857581"/>
      <w:bookmarkEnd w:id="74"/>
      <w:bookmarkStart w:id="75" w:name="_Toc261857531"/>
      <w:bookmarkEnd w:id="75"/>
      <w:bookmarkStart w:id="76" w:name="_Toc261857568"/>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39919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评分标准</w:t>
      </w:r>
    </w:p>
    <w:bookmarkEnd w:id="21"/>
    <w:bookmarkEnd w:id="22"/>
    <w:bookmarkEnd w:id="23"/>
    <w:tbl>
      <w:tblPr>
        <w:tblStyle w:val="56"/>
        <w:tblW w:w="5678" w:type="pct"/>
        <w:jc w:val="center"/>
        <w:tblLayout w:type="fixed"/>
        <w:tblCellMar>
          <w:top w:w="0" w:type="dxa"/>
          <w:left w:w="108" w:type="dxa"/>
          <w:bottom w:w="0" w:type="dxa"/>
          <w:right w:w="108" w:type="dxa"/>
        </w:tblCellMar>
      </w:tblPr>
      <w:tblGrid>
        <w:gridCol w:w="680"/>
        <w:gridCol w:w="1657"/>
        <w:gridCol w:w="846"/>
        <w:gridCol w:w="5284"/>
        <w:gridCol w:w="1211"/>
      </w:tblGrid>
      <w:tr w14:paraId="4CBADD92">
        <w:tblPrEx>
          <w:tblCellMar>
            <w:top w:w="0" w:type="dxa"/>
            <w:left w:w="108" w:type="dxa"/>
            <w:bottom w:w="0" w:type="dxa"/>
            <w:right w:w="108" w:type="dxa"/>
          </w:tblCellMar>
        </w:tblPrEx>
        <w:trPr>
          <w:trHeight w:val="465"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6126F89">
            <w:pPr>
              <w:widowControl/>
              <w:spacing w:line="240" w:lineRule="auto"/>
              <w:jc w:val="center"/>
              <w:textAlignment w:val="center"/>
              <w:rPr>
                <w:rFonts w:ascii="Times New Roman" w:hAnsi="Times New Roman" w:eastAsia="黑体" w:cs="Times New Roman"/>
                <w:kern w:val="0"/>
                <w:sz w:val="24"/>
                <w:highlight w:val="none"/>
                <w:lang w:bidi="ar"/>
              </w:rPr>
            </w:pPr>
            <w:bookmarkStart w:id="77" w:name="_Toc468808812"/>
            <w:bookmarkStart w:id="78" w:name="_Toc226969360"/>
            <w:bookmarkStart w:id="79" w:name="_Toc488655907"/>
            <w:bookmarkStart w:id="80" w:name="_Toc227057966"/>
            <w:bookmarkStart w:id="81" w:name="_Toc107822558"/>
            <w:r>
              <w:rPr>
                <w:rFonts w:hint="eastAsia" w:ascii="Times New Roman" w:hAnsi="Times New Roman" w:eastAsia="黑体" w:cs="Times New Roman"/>
                <w:kern w:val="0"/>
                <w:sz w:val="24"/>
                <w:highlight w:val="none"/>
                <w:lang w:bidi="ar"/>
              </w:rPr>
              <w:t>序号</w:t>
            </w:r>
          </w:p>
        </w:tc>
        <w:tc>
          <w:tcPr>
            <w:tcW w:w="85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4D9091">
            <w:pPr>
              <w:widowControl/>
              <w:spacing w:line="240" w:lineRule="auto"/>
              <w:jc w:val="center"/>
              <w:textAlignment w:val="center"/>
              <w:rPr>
                <w:rFonts w:ascii="Times New Roman" w:hAnsi="Times New Roman" w:eastAsia="黑体" w:cs="Times New Roman"/>
                <w:kern w:val="0"/>
                <w:sz w:val="24"/>
                <w:highlight w:val="none"/>
                <w:lang w:bidi="ar"/>
              </w:rPr>
            </w:pPr>
            <w:r>
              <w:rPr>
                <w:rFonts w:hint="eastAsia" w:ascii="Times New Roman" w:hAnsi="Times New Roman" w:eastAsia="黑体" w:cs="Times New Roman"/>
                <w:kern w:val="0"/>
                <w:sz w:val="24"/>
                <w:highlight w:val="none"/>
                <w:lang w:bidi="ar"/>
              </w:rPr>
              <w:t>评分项</w:t>
            </w:r>
          </w:p>
        </w:tc>
        <w:tc>
          <w:tcPr>
            <w:tcW w:w="43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6AFF48D">
            <w:pPr>
              <w:widowControl/>
              <w:spacing w:line="240" w:lineRule="auto"/>
              <w:jc w:val="center"/>
              <w:textAlignment w:val="center"/>
              <w:rPr>
                <w:rFonts w:ascii="Times New Roman" w:hAnsi="Times New Roman" w:eastAsia="黑体" w:cs="Times New Roman"/>
                <w:kern w:val="0"/>
                <w:sz w:val="24"/>
                <w:highlight w:val="none"/>
                <w:lang w:bidi="ar"/>
              </w:rPr>
            </w:pPr>
            <w:r>
              <w:rPr>
                <w:rFonts w:hint="eastAsia" w:ascii="Times New Roman" w:hAnsi="Times New Roman" w:eastAsia="黑体" w:cs="Times New Roman"/>
                <w:kern w:val="0"/>
                <w:sz w:val="24"/>
                <w:highlight w:val="none"/>
                <w:lang w:bidi="ar"/>
              </w:rPr>
              <w:t>分值</w:t>
            </w:r>
          </w:p>
        </w:tc>
        <w:tc>
          <w:tcPr>
            <w:tcW w:w="27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74591F3">
            <w:pPr>
              <w:widowControl/>
              <w:spacing w:line="240" w:lineRule="auto"/>
              <w:jc w:val="center"/>
              <w:textAlignment w:val="center"/>
              <w:rPr>
                <w:rFonts w:ascii="Times New Roman" w:hAnsi="Times New Roman" w:eastAsia="黑体" w:cs="Times New Roman"/>
                <w:kern w:val="0"/>
                <w:sz w:val="24"/>
                <w:highlight w:val="none"/>
                <w:lang w:bidi="ar"/>
              </w:rPr>
            </w:pPr>
            <w:r>
              <w:rPr>
                <w:rFonts w:hint="eastAsia" w:ascii="Times New Roman" w:hAnsi="Times New Roman" w:eastAsia="黑体" w:cs="Times New Roman"/>
                <w:kern w:val="0"/>
                <w:sz w:val="24"/>
                <w:highlight w:val="none"/>
                <w:lang w:bidi="ar"/>
              </w:rPr>
              <w:t>评分标准</w:t>
            </w:r>
          </w:p>
        </w:tc>
        <w:tc>
          <w:tcPr>
            <w:tcW w:w="62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2FCF11E">
            <w:pPr>
              <w:widowControl/>
              <w:spacing w:line="240" w:lineRule="auto"/>
              <w:jc w:val="center"/>
              <w:textAlignment w:val="center"/>
              <w:rPr>
                <w:rFonts w:ascii="Times New Roman" w:hAnsi="Times New Roman" w:eastAsia="黑体" w:cs="Times New Roman"/>
                <w:kern w:val="0"/>
                <w:sz w:val="24"/>
                <w:highlight w:val="none"/>
                <w:lang w:bidi="ar"/>
              </w:rPr>
            </w:pPr>
            <w:r>
              <w:rPr>
                <w:rFonts w:hint="eastAsia" w:ascii="Times New Roman" w:hAnsi="Times New Roman" w:eastAsia="黑体" w:cs="Times New Roman"/>
                <w:kern w:val="0"/>
                <w:sz w:val="24"/>
                <w:highlight w:val="none"/>
                <w:lang w:bidi="ar"/>
              </w:rPr>
              <w:t>说明</w:t>
            </w:r>
          </w:p>
        </w:tc>
      </w:tr>
      <w:tr w14:paraId="0000983E">
        <w:tblPrEx>
          <w:tblCellMar>
            <w:top w:w="0" w:type="dxa"/>
            <w:left w:w="108" w:type="dxa"/>
            <w:bottom w:w="0" w:type="dxa"/>
            <w:right w:w="108" w:type="dxa"/>
          </w:tblCellMar>
        </w:tblPrEx>
        <w:trPr>
          <w:trHeight w:val="1242"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036E">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6130">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报价</w:t>
            </w:r>
          </w:p>
          <w:p w14:paraId="28983A31">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35C6">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10分</w:t>
            </w:r>
          </w:p>
        </w:tc>
        <w:tc>
          <w:tcPr>
            <w:tcW w:w="2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F42C">
            <w:pPr>
              <w:spacing w:line="240" w:lineRule="auto"/>
              <w:jc w:val="left"/>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1.满足</w:t>
            </w:r>
            <w:r>
              <w:rPr>
                <w:rFonts w:hint="eastAsia" w:ascii="Times New Roman" w:hAnsi="Times New Roman" w:eastAsia="仿宋_GB2312" w:cs="Times New Roman"/>
                <w:kern w:val="0"/>
                <w:sz w:val="24"/>
                <w:highlight w:val="none"/>
                <w:lang w:val="en-US" w:eastAsia="zh-CN" w:bidi="ar"/>
              </w:rPr>
              <w:t>比选</w:t>
            </w:r>
            <w:r>
              <w:rPr>
                <w:rFonts w:hint="eastAsia" w:ascii="Times New Roman" w:hAnsi="Times New Roman" w:eastAsia="仿宋_GB2312" w:cs="Times New Roman"/>
                <w:kern w:val="0"/>
                <w:sz w:val="24"/>
                <w:highlight w:val="none"/>
                <w:lang w:bidi="ar"/>
              </w:rPr>
              <w:t>文件要求且最终报价最低的供应商的价格为</w:t>
            </w:r>
            <w:r>
              <w:rPr>
                <w:rFonts w:hint="eastAsia" w:ascii="Times New Roman" w:hAnsi="Times New Roman" w:eastAsia="仿宋_GB2312" w:cs="Times New Roman"/>
                <w:kern w:val="0"/>
                <w:sz w:val="24"/>
                <w:highlight w:val="none"/>
                <w:lang w:eastAsia="zh-CN" w:bidi="ar"/>
              </w:rPr>
              <w:t>比选</w:t>
            </w:r>
            <w:r>
              <w:rPr>
                <w:rFonts w:hint="eastAsia" w:ascii="Times New Roman" w:hAnsi="Times New Roman" w:eastAsia="仿宋_GB2312" w:cs="Times New Roman"/>
                <w:kern w:val="0"/>
                <w:sz w:val="24"/>
                <w:highlight w:val="none"/>
                <w:lang w:bidi="ar"/>
              </w:rPr>
              <w:t>基准价，其价格分为满分。其他供应商的价格分统一按照下列公式计算：报价得分=(</w:t>
            </w:r>
            <w:r>
              <w:rPr>
                <w:rFonts w:hint="eastAsia" w:ascii="Times New Roman" w:hAnsi="Times New Roman" w:eastAsia="仿宋_GB2312" w:cs="Times New Roman"/>
                <w:kern w:val="0"/>
                <w:sz w:val="24"/>
                <w:highlight w:val="none"/>
                <w:lang w:eastAsia="zh-CN" w:bidi="ar"/>
              </w:rPr>
              <w:t>比选</w:t>
            </w:r>
            <w:r>
              <w:rPr>
                <w:rFonts w:hint="eastAsia" w:ascii="Times New Roman" w:hAnsi="Times New Roman" w:eastAsia="仿宋_GB2312" w:cs="Times New Roman"/>
                <w:kern w:val="0"/>
                <w:sz w:val="24"/>
                <w:highlight w:val="none"/>
                <w:lang w:bidi="ar"/>
              </w:rPr>
              <w:t>基准价/最终</w:t>
            </w:r>
            <w:r>
              <w:rPr>
                <w:rFonts w:hint="eastAsia" w:ascii="Times New Roman" w:hAnsi="Times New Roman" w:eastAsia="仿宋_GB2312" w:cs="Times New Roman"/>
                <w:kern w:val="0"/>
                <w:sz w:val="24"/>
                <w:highlight w:val="none"/>
                <w:lang w:eastAsia="zh-CN" w:bidi="ar"/>
              </w:rPr>
              <w:t>比选</w:t>
            </w:r>
            <w:r>
              <w:rPr>
                <w:rFonts w:hint="eastAsia" w:ascii="Times New Roman" w:hAnsi="Times New Roman" w:eastAsia="仿宋_GB2312" w:cs="Times New Roman"/>
                <w:kern w:val="0"/>
                <w:sz w:val="24"/>
                <w:highlight w:val="none"/>
                <w:lang w:bidi="ar"/>
              </w:rPr>
              <w:t>报价)×10%×100。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36F2">
            <w:pPr>
              <w:spacing w:line="240" w:lineRule="auto"/>
              <w:jc w:val="left"/>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详见投标须知前附表</w:t>
            </w:r>
          </w:p>
        </w:tc>
      </w:tr>
      <w:tr w14:paraId="2604C196">
        <w:tblPrEx>
          <w:tblCellMar>
            <w:top w:w="0" w:type="dxa"/>
            <w:left w:w="108" w:type="dxa"/>
            <w:bottom w:w="0" w:type="dxa"/>
            <w:right w:w="108" w:type="dxa"/>
          </w:tblCellMar>
        </w:tblPrEx>
        <w:trPr>
          <w:trHeight w:val="2485"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2A16">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643D">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服务方案</w:t>
            </w:r>
          </w:p>
          <w:p w14:paraId="19A63C0C">
            <w:pPr>
              <w:spacing w:line="240" w:lineRule="auto"/>
              <w:jc w:val="center"/>
              <w:rPr>
                <w:rFonts w:hint="default" w:ascii="Times New Roman" w:hAnsi="Times New Roman" w:eastAsia="仿宋_GB2312" w:cs="Times New Roman"/>
                <w:highlight w:val="none"/>
              </w:rPr>
            </w:pPr>
            <w:r>
              <w:rPr>
                <w:rFonts w:hint="eastAsia" w:ascii="Times New Roman" w:hAnsi="Times New Roman" w:eastAsia="仿宋_GB2312" w:cs="Times New Roman"/>
                <w:kern w:val="0"/>
                <w:sz w:val="24"/>
                <w:highlight w:val="none"/>
                <w:lang w:bidi="ar"/>
              </w:rPr>
              <w:t>（</w:t>
            </w:r>
            <w:r>
              <w:rPr>
                <w:rFonts w:hint="eastAsia" w:ascii="Times New Roman" w:hAnsi="Times New Roman" w:eastAsia="仿宋_GB2312" w:cs="Times New Roman"/>
                <w:kern w:val="0"/>
                <w:sz w:val="24"/>
                <w:highlight w:val="none"/>
                <w:lang w:val="en-US" w:eastAsia="zh-CN" w:bidi="ar"/>
              </w:rPr>
              <w:t>50</w:t>
            </w:r>
            <w:r>
              <w:rPr>
                <w:rFonts w:hint="eastAsia" w:ascii="Times New Roman" w:hAnsi="Times New Roman" w:eastAsia="仿宋_GB2312" w:cs="Times New Roman"/>
                <w:kern w:val="0"/>
                <w:sz w:val="24"/>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6191">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val="en-US" w:eastAsia="zh-CN" w:bidi="ar"/>
              </w:rPr>
              <w:t>50</w:t>
            </w:r>
            <w:r>
              <w:rPr>
                <w:rFonts w:hint="eastAsia" w:ascii="Times New Roman" w:hAnsi="Times New Roman" w:eastAsia="仿宋_GB2312" w:cs="Times New Roman"/>
                <w:kern w:val="0"/>
                <w:sz w:val="24"/>
                <w:highlight w:val="none"/>
                <w:lang w:bidi="ar"/>
              </w:rPr>
              <w:t>分</w:t>
            </w:r>
          </w:p>
        </w:tc>
        <w:tc>
          <w:tcPr>
            <w:tcW w:w="2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BCE9">
            <w:pPr>
              <w:spacing w:line="240" w:lineRule="auto"/>
              <w:jc w:val="left"/>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val="en-US" w:eastAsia="zh-CN" w:bidi="ar"/>
              </w:rPr>
              <w:t>1</w:t>
            </w:r>
            <w:r>
              <w:rPr>
                <w:rFonts w:hint="eastAsia" w:ascii="Times New Roman" w:hAnsi="Times New Roman" w:eastAsia="仿宋_GB2312" w:cs="Times New Roman"/>
                <w:kern w:val="0"/>
                <w:sz w:val="24"/>
                <w:highlight w:val="none"/>
                <w:lang w:bidi="ar"/>
              </w:rPr>
              <w:t>.服务方案。</w:t>
            </w:r>
            <w:r>
              <w:rPr>
                <w:rFonts w:hint="eastAsia" w:ascii="Times New Roman" w:hAnsi="Times New Roman" w:eastAsia="仿宋_GB2312" w:cs="Times New Roman"/>
                <w:kern w:val="0"/>
                <w:sz w:val="24"/>
                <w:highlight w:val="none"/>
                <w:lang w:val="en-US" w:eastAsia="zh-CN" w:bidi="ar"/>
              </w:rPr>
              <w:t>供应商</w:t>
            </w:r>
            <w:r>
              <w:rPr>
                <w:rFonts w:hint="eastAsia" w:ascii="Times New Roman" w:hAnsi="Times New Roman" w:eastAsia="仿宋_GB2312" w:cs="Times New Roman"/>
                <w:kern w:val="0"/>
                <w:sz w:val="24"/>
                <w:highlight w:val="none"/>
                <w:lang w:bidi="ar"/>
              </w:rPr>
              <w:t>须制定完善的服务方案，方案包含</w:t>
            </w:r>
            <w:r>
              <w:rPr>
                <w:rFonts w:hint="eastAsia" w:ascii="Times New Roman" w:hAnsi="Times New Roman" w:eastAsia="仿宋_GB2312" w:cs="Times New Roman"/>
                <w:kern w:val="0"/>
                <w:sz w:val="24"/>
                <w:highlight w:val="none"/>
                <w:lang w:val="en-US" w:eastAsia="zh-CN" w:bidi="ar"/>
              </w:rPr>
              <w:t>项目理解、</w:t>
            </w:r>
            <w:r>
              <w:rPr>
                <w:rFonts w:hint="eastAsia" w:ascii="Times New Roman" w:hAnsi="Times New Roman" w:eastAsia="仿宋_GB2312" w:cs="Times New Roman"/>
                <w:kern w:val="0"/>
                <w:sz w:val="24"/>
                <w:highlight w:val="none"/>
                <w:lang w:bidi="ar"/>
              </w:rPr>
              <w:t>进度安排、质量保障措施、风险保障措施、服务响应机制</w:t>
            </w:r>
            <w:r>
              <w:rPr>
                <w:rFonts w:hint="eastAsia" w:ascii="Times New Roman" w:hAnsi="Times New Roman" w:eastAsia="仿宋_GB2312" w:cs="Times New Roman"/>
                <w:kern w:val="0"/>
                <w:sz w:val="24"/>
                <w:highlight w:val="none"/>
                <w:lang w:val="en-US" w:eastAsia="zh-CN" w:bidi="ar"/>
              </w:rPr>
              <w:t>5</w:t>
            </w:r>
            <w:r>
              <w:rPr>
                <w:rFonts w:hint="eastAsia" w:ascii="Times New Roman" w:hAnsi="Times New Roman" w:eastAsia="仿宋_GB2312" w:cs="Times New Roman"/>
                <w:kern w:val="0"/>
                <w:sz w:val="24"/>
                <w:highlight w:val="none"/>
                <w:lang w:bidi="ar"/>
              </w:rPr>
              <w:t>项内容，每缺失一项扣</w:t>
            </w:r>
            <w:r>
              <w:rPr>
                <w:rFonts w:hint="eastAsia" w:ascii="Times New Roman" w:hAnsi="Times New Roman" w:eastAsia="仿宋_GB2312" w:cs="Times New Roman"/>
                <w:kern w:val="0"/>
                <w:sz w:val="24"/>
                <w:highlight w:val="none"/>
                <w:lang w:val="en-US" w:eastAsia="zh-CN" w:bidi="ar"/>
              </w:rPr>
              <w:t>10</w:t>
            </w:r>
            <w:r>
              <w:rPr>
                <w:rFonts w:hint="eastAsia" w:ascii="Times New Roman" w:hAnsi="Times New Roman" w:eastAsia="仿宋_GB2312" w:cs="Times New Roman"/>
                <w:kern w:val="0"/>
                <w:sz w:val="24"/>
                <w:highlight w:val="none"/>
                <w:lang w:bidi="ar"/>
              </w:rPr>
              <w:t>分，每有一项内容有缺陷的扣</w:t>
            </w:r>
            <w:r>
              <w:rPr>
                <w:rFonts w:hint="eastAsia" w:ascii="Times New Roman" w:hAnsi="Times New Roman" w:eastAsia="仿宋_GB2312" w:cs="Times New Roman"/>
                <w:kern w:val="0"/>
                <w:sz w:val="24"/>
                <w:highlight w:val="none"/>
                <w:lang w:val="en-US" w:eastAsia="zh-CN" w:bidi="ar"/>
              </w:rPr>
              <w:t>2.5</w:t>
            </w:r>
            <w:r>
              <w:rPr>
                <w:rFonts w:hint="eastAsia" w:ascii="Times New Roman" w:hAnsi="Times New Roman" w:eastAsia="仿宋_GB2312" w:cs="Times New Roman"/>
                <w:kern w:val="0"/>
                <w:sz w:val="24"/>
                <w:highlight w:val="none"/>
                <w:lang w:bidi="ar"/>
              </w:rPr>
              <w:t>分，本项最多得</w:t>
            </w:r>
            <w:r>
              <w:rPr>
                <w:rFonts w:hint="eastAsia" w:ascii="Times New Roman" w:hAnsi="Times New Roman" w:eastAsia="仿宋_GB2312" w:cs="Times New Roman"/>
                <w:kern w:val="0"/>
                <w:sz w:val="24"/>
                <w:highlight w:val="none"/>
                <w:lang w:val="en-US" w:eastAsia="zh-CN" w:bidi="ar"/>
              </w:rPr>
              <w:t>5</w:t>
            </w:r>
            <w:r>
              <w:rPr>
                <w:rFonts w:hint="eastAsia" w:ascii="Times New Roman" w:hAnsi="Times New Roman" w:eastAsia="仿宋_GB2312" w:cs="Times New Roman"/>
                <w:kern w:val="0"/>
                <w:sz w:val="24"/>
                <w:highlight w:val="none"/>
                <w:lang w:bidi="ar"/>
              </w:rPr>
              <w:t>0分。注：“内容存在缺陷”是指：是指非专门针对本项目、套用其他项目方案、涉及的规范及标准错误、不可能实现的情形等任意一种情形。</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0A31">
            <w:pPr>
              <w:spacing w:line="240" w:lineRule="auto"/>
              <w:jc w:val="left"/>
              <w:rPr>
                <w:rFonts w:ascii="Times New Roman" w:hAnsi="Times New Roman" w:eastAsia="仿宋_GB2312" w:cs="Times New Roman"/>
                <w:kern w:val="0"/>
                <w:sz w:val="24"/>
                <w:highlight w:val="none"/>
                <w:lang w:bidi="ar"/>
              </w:rPr>
            </w:pPr>
          </w:p>
        </w:tc>
      </w:tr>
      <w:tr w14:paraId="1A15A1F1">
        <w:tblPrEx>
          <w:tblCellMar>
            <w:top w:w="0" w:type="dxa"/>
            <w:left w:w="108" w:type="dxa"/>
            <w:bottom w:w="0" w:type="dxa"/>
            <w:right w:w="108" w:type="dxa"/>
          </w:tblCellMar>
        </w:tblPrEx>
        <w:trPr>
          <w:trHeight w:val="9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E949">
            <w:pPr>
              <w:spacing w:line="240" w:lineRule="auto"/>
              <w:jc w:val="center"/>
              <w:rPr>
                <w:rFonts w:hint="eastAsia" w:ascii="Times New Roman" w:hAnsi="Times New Roman" w:eastAsia="仿宋_GB2312" w:cs="Times New Roman"/>
                <w:kern w:val="0"/>
                <w:sz w:val="24"/>
                <w:highlight w:val="none"/>
                <w:lang w:eastAsia="zh-CN" w:bidi="ar"/>
              </w:rPr>
            </w:pPr>
            <w:r>
              <w:rPr>
                <w:rFonts w:hint="eastAsia" w:ascii="Times New Roman" w:hAnsi="Times New Roman" w:eastAsia="仿宋_GB2312" w:cs="Times New Roman"/>
                <w:kern w:val="0"/>
                <w:sz w:val="24"/>
                <w:highlight w:val="none"/>
                <w:lang w:val="en-US" w:eastAsia="zh-CN" w:bidi="ar"/>
              </w:rPr>
              <w:t>3</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8D2E">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val="en-US" w:eastAsia="zh-CN" w:bidi="ar"/>
              </w:rPr>
              <w:t>履约能力</w:t>
            </w:r>
          </w:p>
          <w:p w14:paraId="078BFAA0">
            <w:pPr>
              <w:spacing w:line="240" w:lineRule="auto"/>
              <w:jc w:val="center"/>
              <w:rPr>
                <w:rFonts w:hint="default" w:ascii="Times New Roman" w:hAnsi="Times New Roman" w:eastAsia="仿宋_GB2312" w:cs="Times New Roman"/>
                <w:highlight w:val="none"/>
              </w:rPr>
            </w:pPr>
            <w:r>
              <w:rPr>
                <w:rFonts w:hint="eastAsia" w:ascii="Times New Roman" w:hAnsi="Times New Roman" w:eastAsia="仿宋_GB2312" w:cs="Times New Roman"/>
                <w:kern w:val="0"/>
                <w:sz w:val="24"/>
                <w:highlight w:val="none"/>
                <w:lang w:bidi="ar"/>
              </w:rPr>
              <w:t>（</w:t>
            </w:r>
            <w:r>
              <w:rPr>
                <w:rFonts w:hint="eastAsia" w:ascii="Times New Roman" w:hAnsi="Times New Roman" w:eastAsia="仿宋_GB2312" w:cs="Times New Roman"/>
                <w:kern w:val="0"/>
                <w:sz w:val="24"/>
                <w:highlight w:val="none"/>
                <w:lang w:val="en-US" w:eastAsia="zh-CN" w:bidi="ar"/>
              </w:rPr>
              <w:t>16</w:t>
            </w:r>
            <w:r>
              <w:rPr>
                <w:rFonts w:hint="eastAsia" w:ascii="Times New Roman" w:hAnsi="Times New Roman" w:eastAsia="仿宋_GB2312" w:cs="Times New Roman"/>
                <w:kern w:val="0"/>
                <w:sz w:val="24"/>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8898">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val="en-US" w:eastAsia="zh-CN" w:bidi="ar"/>
              </w:rPr>
              <w:t>16</w:t>
            </w:r>
            <w:r>
              <w:rPr>
                <w:rFonts w:hint="eastAsia" w:ascii="Times New Roman" w:hAnsi="Times New Roman" w:eastAsia="仿宋_GB2312" w:cs="Times New Roman"/>
                <w:kern w:val="0"/>
                <w:sz w:val="24"/>
                <w:highlight w:val="none"/>
                <w:lang w:bidi="ar"/>
              </w:rPr>
              <w:t>分</w:t>
            </w:r>
          </w:p>
        </w:tc>
        <w:tc>
          <w:tcPr>
            <w:tcW w:w="2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994C">
            <w:pPr>
              <w:spacing w:line="240" w:lineRule="auto"/>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1.</w:t>
            </w:r>
            <w:r>
              <w:rPr>
                <w:rFonts w:hint="eastAsia" w:ascii="Times New Roman" w:hAnsi="Times New Roman" w:eastAsia="仿宋_GB2312" w:cs="Times New Roman"/>
                <w:kern w:val="0"/>
                <w:sz w:val="24"/>
                <w:highlight w:val="none"/>
                <w:lang w:val="en-US" w:eastAsia="zh-CN" w:bidi="ar"/>
              </w:rPr>
              <w:t>供应商</w:t>
            </w:r>
            <w:r>
              <w:rPr>
                <w:rFonts w:hint="eastAsia" w:ascii="Times New Roman" w:hAnsi="Times New Roman" w:eastAsia="仿宋_GB2312" w:cs="Times New Roman"/>
                <w:kern w:val="0"/>
                <w:sz w:val="24"/>
                <w:highlight w:val="none"/>
                <w:lang w:bidi="ar"/>
              </w:rPr>
              <w:t>近</w:t>
            </w:r>
            <w:r>
              <w:rPr>
                <w:rFonts w:hint="eastAsia" w:ascii="Times New Roman" w:hAnsi="Times New Roman" w:eastAsia="仿宋_GB2312" w:cs="Times New Roman"/>
                <w:kern w:val="0"/>
                <w:sz w:val="24"/>
                <w:highlight w:val="none"/>
                <w:lang w:val="en-US" w:eastAsia="zh-CN" w:bidi="ar"/>
              </w:rPr>
              <w:t>3</w:t>
            </w:r>
            <w:r>
              <w:rPr>
                <w:rFonts w:hint="eastAsia" w:ascii="Times New Roman" w:hAnsi="Times New Roman" w:eastAsia="仿宋_GB2312" w:cs="Times New Roman"/>
                <w:kern w:val="0"/>
                <w:sz w:val="24"/>
                <w:highlight w:val="none"/>
                <w:lang w:bidi="ar"/>
              </w:rPr>
              <w:t>年（20</w:t>
            </w:r>
            <w:r>
              <w:rPr>
                <w:rFonts w:hint="eastAsia" w:ascii="Times New Roman" w:hAnsi="Times New Roman" w:eastAsia="仿宋_GB2312" w:cs="Times New Roman"/>
                <w:kern w:val="0"/>
                <w:sz w:val="24"/>
                <w:highlight w:val="none"/>
                <w:lang w:val="en-US" w:eastAsia="zh-CN" w:bidi="ar"/>
              </w:rPr>
              <w:t>22</w:t>
            </w:r>
            <w:r>
              <w:rPr>
                <w:rFonts w:hint="eastAsia" w:ascii="Times New Roman" w:hAnsi="Times New Roman" w:eastAsia="仿宋_GB2312" w:cs="Times New Roman"/>
                <w:kern w:val="0"/>
                <w:sz w:val="24"/>
                <w:highlight w:val="none"/>
                <w:lang w:bidi="ar"/>
              </w:rPr>
              <w:t>年1月1日至投标截止日，以合同签订时间为准）有类似</w:t>
            </w:r>
            <w:r>
              <w:rPr>
                <w:rFonts w:hint="eastAsia" w:ascii="Times New Roman" w:hAnsi="Times New Roman" w:eastAsia="仿宋_GB2312" w:cs="Times New Roman"/>
                <w:kern w:val="0"/>
                <w:sz w:val="24"/>
                <w:highlight w:val="none"/>
                <w:lang w:val="en-US" w:eastAsia="zh-CN" w:bidi="ar"/>
              </w:rPr>
              <w:t>政务服务能力评估的智库服务</w:t>
            </w:r>
            <w:r>
              <w:rPr>
                <w:rFonts w:hint="eastAsia" w:ascii="Times New Roman" w:hAnsi="Times New Roman" w:eastAsia="仿宋_GB2312" w:cs="Times New Roman"/>
                <w:kern w:val="0"/>
                <w:sz w:val="24"/>
                <w:highlight w:val="none"/>
                <w:lang w:bidi="ar"/>
              </w:rPr>
              <w:t>项目案例的，每提供一个得2分，</w:t>
            </w:r>
            <w:r>
              <w:rPr>
                <w:rFonts w:hint="eastAsia" w:ascii="Times New Roman" w:hAnsi="Times New Roman" w:eastAsia="仿宋_GB2312" w:cs="Times New Roman"/>
                <w:kern w:val="0"/>
                <w:sz w:val="24"/>
                <w:highlight w:val="none"/>
                <w:lang w:val="en-US" w:eastAsia="zh-CN" w:bidi="ar"/>
              </w:rPr>
              <w:t>本小项</w:t>
            </w:r>
            <w:r>
              <w:rPr>
                <w:rFonts w:hint="eastAsia" w:ascii="Times New Roman" w:hAnsi="Times New Roman" w:eastAsia="仿宋_GB2312" w:cs="Times New Roman"/>
                <w:kern w:val="0"/>
                <w:sz w:val="24"/>
                <w:highlight w:val="none"/>
                <w:lang w:bidi="ar"/>
              </w:rPr>
              <w:t>最多得</w:t>
            </w:r>
            <w:r>
              <w:rPr>
                <w:rFonts w:hint="eastAsia" w:ascii="Times New Roman" w:hAnsi="Times New Roman" w:eastAsia="仿宋_GB2312" w:cs="Times New Roman"/>
                <w:kern w:val="0"/>
                <w:sz w:val="24"/>
                <w:highlight w:val="none"/>
                <w:lang w:val="en-US" w:eastAsia="zh-CN" w:bidi="ar"/>
              </w:rPr>
              <w:t>10</w:t>
            </w:r>
            <w:r>
              <w:rPr>
                <w:rFonts w:hint="eastAsia" w:ascii="Times New Roman" w:hAnsi="Times New Roman" w:eastAsia="仿宋_GB2312" w:cs="Times New Roman"/>
                <w:kern w:val="0"/>
                <w:sz w:val="24"/>
                <w:highlight w:val="none"/>
                <w:lang w:bidi="ar"/>
              </w:rPr>
              <w:t>分。</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val="en-US" w:eastAsia="zh-CN" w:bidi="ar"/>
              </w:rPr>
              <w:t>供应商投标时提供合同关键页扫描件，包含但不限于合同名称、标的、金额、签字盖章页</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bidi="ar"/>
              </w:rPr>
              <w:br w:type="textWrapping"/>
            </w:r>
            <w:r>
              <w:rPr>
                <w:rFonts w:hint="eastAsia" w:ascii="Times New Roman" w:hAnsi="Times New Roman" w:eastAsia="仿宋_GB2312" w:cs="Times New Roman"/>
                <w:kern w:val="0"/>
                <w:sz w:val="24"/>
                <w:highlight w:val="none"/>
                <w:lang w:bidi="ar"/>
              </w:rPr>
              <w:t>2.</w:t>
            </w:r>
            <w:r>
              <w:rPr>
                <w:rFonts w:hint="eastAsia" w:ascii="Times New Roman" w:hAnsi="Times New Roman" w:eastAsia="仿宋_GB2312" w:cs="Times New Roman"/>
                <w:kern w:val="0"/>
                <w:sz w:val="24"/>
                <w:highlight w:val="none"/>
                <w:lang w:val="en-US" w:eastAsia="zh-CN" w:bidi="ar"/>
              </w:rPr>
              <w:t>供应商具备ISO9001、ISO20000、ISO27001管理体系认证证书的，以上任意1项得2分，本小项最高得6分。（需提供有效的证明文件扫描件，同时提供在“全国认证认可信息公共服务平台”（http://cx.cnca.cn）查证为有效状态的官网截图，否则不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11AC">
            <w:pPr>
              <w:spacing w:line="240" w:lineRule="auto"/>
              <w:jc w:val="left"/>
              <w:rPr>
                <w:rFonts w:ascii="Times New Roman" w:hAnsi="Times New Roman" w:eastAsia="仿宋_GB2312" w:cs="Times New Roman"/>
                <w:kern w:val="0"/>
                <w:sz w:val="24"/>
                <w:highlight w:val="none"/>
                <w:lang w:bidi="ar"/>
              </w:rPr>
            </w:pPr>
          </w:p>
        </w:tc>
      </w:tr>
      <w:tr w14:paraId="29A0A01A">
        <w:tblPrEx>
          <w:tblCellMar>
            <w:top w:w="0" w:type="dxa"/>
            <w:left w:w="108" w:type="dxa"/>
            <w:bottom w:w="0" w:type="dxa"/>
            <w:right w:w="108" w:type="dxa"/>
          </w:tblCellMar>
        </w:tblPrEx>
        <w:trPr>
          <w:trHeight w:val="823"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65B5">
            <w:pPr>
              <w:spacing w:line="240" w:lineRule="auto"/>
              <w:jc w:val="center"/>
              <w:rPr>
                <w:rFonts w:hint="eastAsia" w:ascii="Times New Roman" w:hAnsi="Times New Roman" w:eastAsia="仿宋_GB2312" w:cs="Times New Roman"/>
                <w:kern w:val="0"/>
                <w:sz w:val="24"/>
                <w:highlight w:val="none"/>
                <w:lang w:eastAsia="zh-CN" w:bidi="ar"/>
              </w:rPr>
            </w:pPr>
            <w:r>
              <w:rPr>
                <w:rFonts w:hint="eastAsia" w:ascii="Times New Roman" w:hAnsi="Times New Roman" w:eastAsia="仿宋_GB2312" w:cs="Times New Roman"/>
                <w:kern w:val="0"/>
                <w:sz w:val="24"/>
                <w:highlight w:val="none"/>
                <w:lang w:val="en-US" w:eastAsia="zh-CN" w:bidi="ar"/>
              </w:rPr>
              <w:t>4</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A25A">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服务团队配置</w:t>
            </w:r>
          </w:p>
          <w:p w14:paraId="0E45291F">
            <w:pPr>
              <w:spacing w:line="240" w:lineRule="auto"/>
              <w:jc w:val="center"/>
              <w:rPr>
                <w:rFonts w:hint="default" w:ascii="Times New Roman" w:hAnsi="Times New Roman" w:cs="Times New Roman"/>
                <w:highlight w:val="none"/>
              </w:rPr>
            </w:pPr>
            <w:r>
              <w:rPr>
                <w:rFonts w:hint="eastAsia" w:ascii="Times New Roman" w:hAnsi="Times New Roman" w:eastAsia="仿宋_GB2312" w:cs="Times New Roman"/>
                <w:kern w:val="0"/>
                <w:sz w:val="24"/>
                <w:highlight w:val="none"/>
                <w:lang w:bidi="ar"/>
              </w:rPr>
              <w:t>（</w:t>
            </w:r>
            <w:r>
              <w:rPr>
                <w:rFonts w:hint="eastAsia" w:ascii="Times New Roman" w:hAnsi="Times New Roman" w:eastAsia="仿宋_GB2312" w:cs="Times New Roman"/>
                <w:kern w:val="0"/>
                <w:sz w:val="24"/>
                <w:highlight w:val="none"/>
                <w:lang w:val="en-US" w:eastAsia="zh-CN" w:bidi="ar"/>
              </w:rPr>
              <w:t>24</w:t>
            </w:r>
            <w:r>
              <w:rPr>
                <w:rFonts w:hint="eastAsia" w:ascii="Times New Roman" w:hAnsi="Times New Roman" w:eastAsia="仿宋_GB2312" w:cs="Times New Roman"/>
                <w:kern w:val="0"/>
                <w:sz w:val="24"/>
                <w:highlight w:val="none"/>
                <w:lang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363F">
            <w:pPr>
              <w:spacing w:line="240" w:lineRule="auto"/>
              <w:jc w:val="center"/>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val="en-US" w:eastAsia="zh-CN" w:bidi="ar"/>
              </w:rPr>
              <w:t>24</w:t>
            </w:r>
            <w:r>
              <w:rPr>
                <w:rFonts w:hint="eastAsia" w:ascii="Times New Roman" w:hAnsi="Times New Roman" w:eastAsia="仿宋_GB2312" w:cs="Times New Roman"/>
                <w:kern w:val="0"/>
                <w:sz w:val="24"/>
                <w:highlight w:val="none"/>
                <w:lang w:bidi="ar"/>
              </w:rPr>
              <w:t>分</w:t>
            </w:r>
          </w:p>
        </w:tc>
        <w:tc>
          <w:tcPr>
            <w:tcW w:w="2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5F4B">
            <w:pPr>
              <w:numPr>
                <w:ilvl w:val="-1"/>
                <w:numId w:val="0"/>
              </w:numPr>
              <w:spacing w:line="240" w:lineRule="auto"/>
              <w:jc w:val="left"/>
              <w:rPr>
                <w:rFonts w:hint="eastAsia"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1.项目经理（仅限1人）。</w:t>
            </w:r>
          </w:p>
          <w:p w14:paraId="5ED98C53">
            <w:pPr>
              <w:numPr>
                <w:ilvl w:val="-1"/>
                <w:numId w:val="0"/>
              </w:numPr>
              <w:spacing w:line="240" w:lineRule="auto"/>
              <w:jc w:val="left"/>
              <w:rPr>
                <w:rFonts w:hint="eastAsia" w:ascii="Times New Roman" w:hAnsi="Times New Roman" w:eastAsia="仿宋_GB2312" w:cs="Times New Roman"/>
                <w:kern w:val="0"/>
                <w:sz w:val="24"/>
                <w:highlight w:val="none"/>
                <w:lang w:val="en-US" w:eastAsia="zh-CN" w:bidi="ar"/>
              </w:rPr>
            </w:pP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val="en-US" w:eastAsia="zh-CN" w:bidi="ar"/>
              </w:rPr>
              <w:t>1</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bidi="ar"/>
              </w:rPr>
              <w:t>拟派的项目经理具有</w:t>
            </w:r>
            <w:r>
              <w:rPr>
                <w:rFonts w:hint="eastAsia" w:ascii="Times New Roman" w:hAnsi="Times New Roman" w:eastAsia="仿宋_GB2312" w:cs="Times New Roman"/>
                <w:kern w:val="0"/>
                <w:sz w:val="24"/>
                <w:highlight w:val="none"/>
                <w:lang w:val="en-US" w:eastAsia="zh-CN" w:bidi="ar"/>
              </w:rPr>
              <w:t>本科及以上学历证书的，得2分；</w:t>
            </w:r>
          </w:p>
          <w:p w14:paraId="05F68DD7">
            <w:pPr>
              <w:numPr>
                <w:ilvl w:val="-1"/>
                <w:numId w:val="0"/>
              </w:numPr>
              <w:spacing w:line="240" w:lineRule="auto"/>
              <w:jc w:val="left"/>
              <w:rPr>
                <w:rFonts w:hint="eastAsia" w:ascii="Times New Roman" w:hAnsi="Times New Roman" w:eastAsia="仿宋_GB2312" w:cs="Times New Roman"/>
                <w:kern w:val="0"/>
                <w:sz w:val="24"/>
                <w:highlight w:val="none"/>
                <w:lang w:val="en-US" w:eastAsia="zh-CN" w:bidi="ar"/>
              </w:rPr>
            </w:pPr>
            <w:r>
              <w:rPr>
                <w:rFonts w:hint="eastAsia" w:ascii="Times New Roman" w:hAnsi="Times New Roman" w:eastAsia="仿宋_GB2312" w:cs="Times New Roman"/>
                <w:kern w:val="0"/>
                <w:sz w:val="24"/>
                <w:highlight w:val="none"/>
                <w:lang w:val="en-US" w:eastAsia="zh-CN" w:bidi="ar"/>
              </w:rPr>
              <w:t>（2）</w:t>
            </w:r>
            <w:r>
              <w:rPr>
                <w:rFonts w:hint="eastAsia" w:ascii="Times New Roman" w:hAnsi="Times New Roman" w:eastAsia="仿宋_GB2312" w:cs="Times New Roman"/>
                <w:kern w:val="0"/>
                <w:sz w:val="24"/>
                <w:highlight w:val="none"/>
                <w:lang w:bidi="ar"/>
              </w:rPr>
              <w:t>拟派的项目经理具有</w:t>
            </w:r>
            <w:r>
              <w:rPr>
                <w:rFonts w:hint="eastAsia" w:ascii="Times New Roman" w:hAnsi="Times New Roman" w:eastAsia="仿宋_GB2312" w:cs="Times New Roman"/>
                <w:kern w:val="0"/>
                <w:sz w:val="24"/>
                <w:highlight w:val="none"/>
                <w:lang w:val="en-US" w:eastAsia="zh-CN" w:bidi="ar"/>
              </w:rPr>
              <w:t>编辑类等副高级及以上职称的，得2分；</w:t>
            </w:r>
          </w:p>
          <w:p w14:paraId="44BE8027">
            <w:pPr>
              <w:numPr>
                <w:ilvl w:val="-1"/>
                <w:numId w:val="0"/>
              </w:numPr>
              <w:spacing w:line="240" w:lineRule="auto"/>
              <w:jc w:val="left"/>
              <w:rPr>
                <w:rFonts w:hint="eastAsia" w:ascii="Times New Roman" w:hAnsi="Times New Roman" w:eastAsia="仿宋_GB2312" w:cs="Times New Roman"/>
                <w:kern w:val="0"/>
                <w:sz w:val="24"/>
                <w:highlight w:val="none"/>
                <w:lang w:eastAsia="zh-CN" w:bidi="ar"/>
              </w:rPr>
            </w:pPr>
            <w:r>
              <w:rPr>
                <w:rFonts w:hint="eastAsia" w:ascii="Times New Roman" w:hAnsi="Times New Roman" w:eastAsia="仿宋_GB2312" w:cs="Times New Roman"/>
                <w:kern w:val="0"/>
                <w:sz w:val="24"/>
                <w:highlight w:val="none"/>
                <w:lang w:val="en-US" w:eastAsia="zh-CN" w:bidi="ar"/>
              </w:rPr>
              <w:t>（3）</w:t>
            </w:r>
            <w:r>
              <w:rPr>
                <w:rFonts w:hint="eastAsia" w:ascii="Times New Roman" w:hAnsi="Times New Roman" w:eastAsia="仿宋_GB2312" w:cs="Times New Roman"/>
                <w:kern w:val="0"/>
                <w:sz w:val="24"/>
                <w:highlight w:val="none"/>
                <w:lang w:bidi="ar"/>
              </w:rPr>
              <w:t>拟派的项目经理</w:t>
            </w:r>
            <w:r>
              <w:rPr>
                <w:rFonts w:hint="eastAsia" w:ascii="Times New Roman" w:hAnsi="Times New Roman" w:eastAsia="仿宋_GB2312" w:cs="Times New Roman"/>
                <w:kern w:val="0"/>
                <w:sz w:val="24"/>
                <w:highlight w:val="none"/>
                <w:lang w:val="en-US" w:eastAsia="zh-CN" w:bidi="ar"/>
              </w:rPr>
              <w:t>具有省级及以上政务服务类项目经验的，得4分。</w:t>
            </w:r>
            <w:r>
              <w:rPr>
                <w:rFonts w:hint="eastAsia" w:ascii="Times New Roman" w:hAnsi="Times New Roman" w:eastAsia="仿宋_GB2312" w:cs="Times New Roman"/>
                <w:kern w:val="0"/>
                <w:sz w:val="24"/>
                <w:highlight w:val="none"/>
                <w:lang w:bidi="ar"/>
              </w:rPr>
              <w:t>（</w:t>
            </w:r>
            <w:r>
              <w:rPr>
                <w:rFonts w:hint="eastAsia" w:ascii="Times New Roman" w:hAnsi="Times New Roman" w:eastAsia="仿宋_GB2312" w:cs="Times New Roman"/>
                <w:kern w:val="0"/>
                <w:sz w:val="24"/>
                <w:highlight w:val="none"/>
                <w:lang w:val="en-US" w:eastAsia="zh-CN" w:bidi="ar"/>
              </w:rPr>
              <w:t>供应商投标时提供参与项目时的相关任务分工表或团队人员名单等证明材料加盖电子印章</w:t>
            </w:r>
            <w:r>
              <w:rPr>
                <w:rFonts w:hint="eastAsia" w:ascii="Times New Roman" w:hAnsi="Times New Roman" w:eastAsia="仿宋_GB2312" w:cs="Times New Roman"/>
                <w:kern w:val="0"/>
                <w:sz w:val="24"/>
                <w:highlight w:val="none"/>
                <w:lang w:bidi="ar"/>
              </w:rPr>
              <w:t>）</w:t>
            </w:r>
          </w:p>
          <w:p w14:paraId="348F9843">
            <w:pPr>
              <w:numPr>
                <w:ilvl w:val="-1"/>
                <w:numId w:val="0"/>
              </w:numPr>
              <w:spacing w:line="240" w:lineRule="auto"/>
              <w:jc w:val="left"/>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2.项目实施成员（除项目经理外）。</w:t>
            </w:r>
            <w:r>
              <w:rPr>
                <w:rFonts w:hint="eastAsia" w:ascii="Times New Roman" w:hAnsi="Times New Roman" w:eastAsia="仿宋_GB2312" w:cs="Times New Roman"/>
                <w:kern w:val="0"/>
                <w:sz w:val="24"/>
                <w:highlight w:val="none"/>
                <w:lang w:bidi="ar"/>
              </w:rPr>
              <w:br w:type="textWrapping"/>
            </w:r>
            <w:r>
              <w:rPr>
                <w:rFonts w:hint="eastAsia" w:ascii="Times New Roman" w:hAnsi="Times New Roman" w:eastAsia="仿宋_GB2312" w:cs="Times New Roman"/>
                <w:kern w:val="0"/>
                <w:sz w:val="24"/>
                <w:highlight w:val="none"/>
                <w:lang w:bidi="ar"/>
              </w:rPr>
              <w:t>（1）投入本项目的团队成员具有</w:t>
            </w:r>
            <w:r>
              <w:rPr>
                <w:rFonts w:hint="eastAsia" w:ascii="Times New Roman" w:hAnsi="Times New Roman" w:eastAsia="仿宋_GB2312" w:cs="Times New Roman"/>
                <w:kern w:val="0"/>
                <w:sz w:val="24"/>
                <w:highlight w:val="none"/>
                <w:lang w:val="en-US" w:eastAsia="zh-CN" w:bidi="ar"/>
              </w:rPr>
              <w:t>政务服务类项目经验</w:t>
            </w:r>
            <w:r>
              <w:rPr>
                <w:rFonts w:hint="eastAsia" w:ascii="Times New Roman" w:hAnsi="Times New Roman" w:eastAsia="仿宋_GB2312" w:cs="Times New Roman"/>
                <w:kern w:val="0"/>
                <w:sz w:val="24"/>
                <w:highlight w:val="none"/>
                <w:lang w:bidi="ar"/>
              </w:rPr>
              <w:t>的，每有</w:t>
            </w:r>
            <w:r>
              <w:rPr>
                <w:rFonts w:hint="eastAsia" w:ascii="Times New Roman" w:hAnsi="Times New Roman" w:eastAsia="仿宋_GB2312" w:cs="Times New Roman"/>
                <w:kern w:val="0"/>
                <w:sz w:val="24"/>
                <w:highlight w:val="none"/>
                <w:lang w:val="en-US" w:eastAsia="zh-CN" w:bidi="ar"/>
              </w:rPr>
              <w:t>1个得2</w:t>
            </w:r>
            <w:r>
              <w:rPr>
                <w:rFonts w:hint="eastAsia" w:ascii="Times New Roman" w:hAnsi="Times New Roman" w:eastAsia="仿宋_GB2312" w:cs="Times New Roman"/>
                <w:kern w:val="0"/>
                <w:sz w:val="24"/>
                <w:highlight w:val="none"/>
                <w:lang w:bidi="ar"/>
              </w:rPr>
              <w:t>分，最多得4分。（</w:t>
            </w:r>
            <w:r>
              <w:rPr>
                <w:rFonts w:hint="eastAsia" w:ascii="Times New Roman" w:hAnsi="Times New Roman" w:eastAsia="仿宋_GB2312" w:cs="Times New Roman"/>
                <w:kern w:val="0"/>
                <w:sz w:val="24"/>
                <w:highlight w:val="none"/>
                <w:lang w:val="en-US" w:eastAsia="zh-CN" w:bidi="ar"/>
              </w:rPr>
              <w:t>供应商投标时提供参与项目时的相关任务分工表或团队人员名单等证明材料加盖电子印章</w:t>
            </w:r>
            <w:r>
              <w:rPr>
                <w:rFonts w:hint="eastAsia" w:ascii="Times New Roman" w:hAnsi="Times New Roman" w:eastAsia="仿宋_GB2312" w:cs="Times New Roman"/>
                <w:kern w:val="0"/>
                <w:sz w:val="24"/>
                <w:highlight w:val="none"/>
                <w:lang w:bidi="ar"/>
              </w:rPr>
              <w:t>）</w:t>
            </w:r>
            <w:r>
              <w:rPr>
                <w:rFonts w:hint="eastAsia" w:ascii="Times New Roman" w:hAnsi="Times New Roman" w:eastAsia="仿宋_GB2312" w:cs="Times New Roman"/>
                <w:kern w:val="0"/>
                <w:sz w:val="24"/>
                <w:highlight w:val="none"/>
                <w:lang w:bidi="ar"/>
              </w:rPr>
              <w:br w:type="textWrapping"/>
            </w:r>
            <w:r>
              <w:rPr>
                <w:rFonts w:hint="eastAsia" w:ascii="Times New Roman" w:hAnsi="Times New Roman" w:eastAsia="仿宋_GB2312" w:cs="Times New Roman"/>
                <w:kern w:val="0"/>
                <w:sz w:val="24"/>
                <w:highlight w:val="none"/>
                <w:lang w:bidi="ar"/>
              </w:rPr>
              <w:t>（2）具有</w:t>
            </w:r>
            <w:r>
              <w:rPr>
                <w:rFonts w:hint="eastAsia" w:ascii="Times New Roman" w:hAnsi="Times New Roman" w:eastAsia="仿宋_GB2312" w:cs="Times New Roman"/>
                <w:kern w:val="0"/>
                <w:sz w:val="24"/>
                <w:highlight w:val="none"/>
                <w:lang w:val="en-US" w:eastAsia="zh-CN" w:bidi="ar"/>
              </w:rPr>
              <w:t>硕士研究生及以上学历证书的，每个得2分；最多得6分</w:t>
            </w:r>
            <w:r>
              <w:rPr>
                <w:rFonts w:hint="eastAsia" w:ascii="Times New Roman" w:hAnsi="Times New Roman" w:eastAsia="仿宋_GB2312" w:cs="Times New Roman"/>
                <w:kern w:val="0"/>
                <w:sz w:val="24"/>
                <w:highlight w:val="none"/>
                <w:lang w:bidi="ar"/>
              </w:rPr>
              <w:t>。</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val="en-US" w:eastAsia="zh-CN" w:bidi="ar"/>
              </w:rPr>
              <w:t>供应商投标时提供学位证或毕业证复印件加盖电子印章</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bidi="ar"/>
              </w:rPr>
              <w:br w:type="textWrapping"/>
            </w:r>
            <w:r>
              <w:rPr>
                <w:rFonts w:hint="eastAsia" w:ascii="Times New Roman" w:hAnsi="Times New Roman" w:eastAsia="仿宋_GB2312" w:cs="Times New Roman"/>
                <w:kern w:val="0"/>
                <w:sz w:val="24"/>
                <w:highlight w:val="none"/>
                <w:lang w:bidi="ar"/>
              </w:rPr>
              <w:t>（3）具有</w:t>
            </w:r>
            <w:r>
              <w:rPr>
                <w:rFonts w:hint="eastAsia" w:ascii="Times New Roman" w:hAnsi="Times New Roman" w:eastAsia="仿宋_GB2312" w:cs="Times New Roman"/>
                <w:kern w:val="0"/>
                <w:sz w:val="24"/>
                <w:highlight w:val="none"/>
                <w:lang w:val="en-US" w:eastAsia="zh-CN" w:bidi="ar"/>
              </w:rPr>
              <w:t>编辑类等副高级及以上职称的</w:t>
            </w:r>
            <w:r>
              <w:rPr>
                <w:rFonts w:hint="eastAsia" w:ascii="Times New Roman" w:hAnsi="Times New Roman" w:eastAsia="仿宋_GB2312" w:cs="Times New Roman"/>
                <w:kern w:val="0"/>
                <w:sz w:val="24"/>
                <w:highlight w:val="none"/>
                <w:lang w:bidi="ar"/>
              </w:rPr>
              <w:t>，每个得2分；最多得</w:t>
            </w:r>
            <w:r>
              <w:rPr>
                <w:rFonts w:hint="eastAsia" w:ascii="Times New Roman" w:hAnsi="Times New Roman" w:eastAsia="仿宋_GB2312" w:cs="Times New Roman"/>
                <w:kern w:val="0"/>
                <w:sz w:val="24"/>
                <w:highlight w:val="none"/>
                <w:lang w:val="en-US" w:eastAsia="zh-CN" w:bidi="ar"/>
              </w:rPr>
              <w:t>6</w:t>
            </w:r>
            <w:r>
              <w:rPr>
                <w:rFonts w:hint="eastAsia" w:ascii="Times New Roman" w:hAnsi="Times New Roman" w:eastAsia="仿宋_GB2312" w:cs="Times New Roman"/>
                <w:kern w:val="0"/>
                <w:sz w:val="24"/>
                <w:highlight w:val="none"/>
                <w:lang w:bidi="ar"/>
              </w:rPr>
              <w:t>分。</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val="en-US" w:eastAsia="zh-CN" w:bidi="ar"/>
              </w:rPr>
              <w:t>供应商投标时提供相应职称证书复印件加盖电子印章</w:t>
            </w:r>
            <w:r>
              <w:rPr>
                <w:rFonts w:hint="eastAsia" w:ascii="Times New Roman" w:hAnsi="Times New Roman" w:eastAsia="仿宋_GB2312" w:cs="Times New Roman"/>
                <w:kern w:val="0"/>
                <w:sz w:val="24"/>
                <w:highlight w:val="none"/>
                <w:lang w:eastAsia="zh-CN" w:bidi="ar"/>
              </w:rPr>
              <w:t>）</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C404">
            <w:pPr>
              <w:spacing w:line="240" w:lineRule="auto"/>
              <w:jc w:val="left"/>
              <w:rPr>
                <w:rFonts w:ascii="Times New Roman" w:hAnsi="Times New Roman" w:eastAsia="仿宋_GB2312" w:cs="Times New Roman"/>
                <w:kern w:val="0"/>
                <w:sz w:val="24"/>
                <w:highlight w:val="none"/>
                <w:lang w:bidi="ar"/>
              </w:rPr>
            </w:pPr>
            <w:r>
              <w:rPr>
                <w:rFonts w:hint="eastAsia" w:ascii="Times New Roman" w:hAnsi="Times New Roman" w:eastAsia="仿宋_GB2312" w:cs="Times New Roman"/>
                <w:kern w:val="0"/>
                <w:sz w:val="24"/>
                <w:highlight w:val="none"/>
                <w:lang w:bidi="ar"/>
              </w:rPr>
              <w:t>提供拟派人员相关资质证书复印件以及投标截止日之前</w:t>
            </w:r>
            <w:r>
              <w:rPr>
                <w:rFonts w:hint="eastAsia" w:ascii="Times New Roman" w:hAnsi="Times New Roman" w:eastAsia="仿宋_GB2312" w:cs="Times New Roman"/>
                <w:kern w:val="0"/>
                <w:sz w:val="24"/>
                <w:highlight w:val="none"/>
                <w:lang w:val="en-US" w:eastAsia="zh-CN" w:bidi="ar"/>
              </w:rPr>
              <w:t>三</w:t>
            </w:r>
            <w:r>
              <w:rPr>
                <w:rFonts w:hint="eastAsia" w:ascii="Times New Roman" w:hAnsi="Times New Roman" w:eastAsia="仿宋_GB2312" w:cs="Times New Roman"/>
                <w:kern w:val="0"/>
                <w:sz w:val="24"/>
                <w:highlight w:val="none"/>
                <w:lang w:bidi="ar"/>
              </w:rPr>
              <w:t>个月以内任意</w:t>
            </w:r>
            <w:r>
              <w:rPr>
                <w:rFonts w:hint="eastAsia" w:ascii="Times New Roman" w:hAnsi="Times New Roman" w:eastAsia="仿宋_GB2312" w:cs="Times New Roman"/>
                <w:kern w:val="0"/>
                <w:sz w:val="24"/>
                <w:highlight w:val="none"/>
                <w:lang w:val="en-US" w:eastAsia="zh-CN" w:bidi="ar"/>
              </w:rPr>
              <w:t>一个月</w:t>
            </w:r>
            <w:r>
              <w:rPr>
                <w:rFonts w:hint="eastAsia" w:ascii="Times New Roman" w:hAnsi="Times New Roman" w:eastAsia="仿宋_GB2312" w:cs="Times New Roman"/>
                <w:kern w:val="0"/>
                <w:sz w:val="24"/>
                <w:highlight w:val="none"/>
                <w:lang w:bidi="ar"/>
              </w:rPr>
              <w:t>的</w:t>
            </w:r>
            <w:r>
              <w:rPr>
                <w:rFonts w:hint="eastAsia" w:ascii="Times New Roman" w:hAnsi="Times New Roman" w:eastAsia="仿宋_GB2312" w:cs="Times New Roman"/>
                <w:kern w:val="0"/>
                <w:sz w:val="24"/>
                <w:highlight w:val="none"/>
                <w:lang w:val="en-US" w:eastAsia="zh-CN" w:bidi="ar"/>
              </w:rPr>
              <w:t>社保缴纳证明材料</w:t>
            </w:r>
            <w:r>
              <w:rPr>
                <w:rFonts w:hint="eastAsia" w:ascii="Times New Roman" w:hAnsi="Times New Roman" w:eastAsia="仿宋_GB2312" w:cs="Times New Roman"/>
                <w:kern w:val="0"/>
                <w:sz w:val="24"/>
                <w:highlight w:val="none"/>
                <w:lang w:bidi="ar"/>
              </w:rPr>
              <w:t>并加盖响应人</w:t>
            </w:r>
            <w:r>
              <w:rPr>
                <w:rFonts w:hint="eastAsia" w:ascii="Times New Roman" w:hAnsi="Times New Roman" w:eastAsia="仿宋_GB2312" w:cs="Times New Roman"/>
                <w:kern w:val="0"/>
                <w:sz w:val="24"/>
                <w:highlight w:val="none"/>
                <w:lang w:val="en-US" w:eastAsia="zh-CN" w:bidi="ar"/>
              </w:rPr>
              <w:t>公</w:t>
            </w:r>
            <w:r>
              <w:rPr>
                <w:rFonts w:hint="eastAsia" w:ascii="Times New Roman" w:hAnsi="Times New Roman" w:eastAsia="仿宋_GB2312" w:cs="Times New Roman"/>
                <w:kern w:val="0"/>
                <w:sz w:val="24"/>
                <w:highlight w:val="none"/>
                <w:lang w:bidi="ar"/>
              </w:rPr>
              <w:t>章。</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val="en-US" w:eastAsia="zh-CN" w:bidi="ar"/>
              </w:rPr>
              <w:t>公司成立不足三个月的，提供加盖公章的说明亦可得分</w:t>
            </w:r>
            <w:r>
              <w:rPr>
                <w:rFonts w:hint="eastAsia" w:ascii="Times New Roman" w:hAnsi="Times New Roman" w:eastAsia="仿宋_GB2312" w:cs="Times New Roman"/>
                <w:kern w:val="0"/>
                <w:sz w:val="24"/>
                <w:highlight w:val="none"/>
                <w:lang w:eastAsia="zh-CN" w:bidi="ar"/>
              </w:rPr>
              <w:t>）</w:t>
            </w:r>
            <w:r>
              <w:rPr>
                <w:rFonts w:hint="eastAsia" w:ascii="Times New Roman" w:hAnsi="Times New Roman" w:eastAsia="仿宋_GB2312" w:cs="Times New Roman"/>
                <w:kern w:val="0"/>
                <w:sz w:val="24"/>
                <w:highlight w:val="none"/>
                <w:lang w:bidi="ar"/>
              </w:rPr>
              <w:br w:type="textWrapping"/>
            </w:r>
            <w:r>
              <w:rPr>
                <w:rFonts w:hint="eastAsia" w:ascii="Times New Roman" w:hAnsi="Times New Roman" w:eastAsia="仿宋_GB2312" w:cs="Times New Roman"/>
                <w:kern w:val="0"/>
                <w:sz w:val="24"/>
                <w:highlight w:val="none"/>
                <w:lang w:bidi="ar"/>
              </w:rPr>
              <w:t>注：项目实施成员人员取得的同一类证书不重复计分。</w:t>
            </w:r>
          </w:p>
        </w:tc>
      </w:tr>
    </w:tbl>
    <w:p w14:paraId="43E4E849">
      <w:pPr>
        <w:rPr>
          <w:rFonts w:hint="eastAsia" w:ascii="仿宋_GB2312" w:hAnsi="仿宋_GB2312" w:eastAsia="仿宋_GB2312" w:cs="仿宋_GB2312"/>
          <w:sz w:val="24"/>
        </w:rPr>
      </w:pPr>
      <w:r>
        <w:rPr>
          <w:rFonts w:hint="eastAsia" w:ascii="仿宋_GB2312" w:hAnsi="仿宋_GB2312" w:eastAsia="仿宋_GB2312" w:cs="仿宋_GB2312"/>
          <w:sz w:val="24"/>
        </w:rPr>
        <w:t>注： 评分的取值按四舍五入法，保留小数点后两位。</w:t>
      </w:r>
    </w:p>
    <w:p w14:paraId="43801713">
      <w:pPr>
        <w:pStyle w:val="54"/>
      </w:pPr>
    </w:p>
    <w:p w14:paraId="3ADE451E">
      <w:pPr>
        <w:pStyle w:val="54"/>
        <w:ind w:left="0" w:leftChars="0" w:firstLine="0" w:firstLineChars="0"/>
      </w:pPr>
    </w:p>
    <w:p w14:paraId="04FEB217">
      <w:pPr>
        <w:pStyle w:val="2"/>
      </w:pPr>
    </w:p>
    <w:p w14:paraId="035BD88C"/>
    <w:p w14:paraId="5FDBAE53">
      <w:pPr>
        <w:pStyle w:val="2"/>
      </w:pPr>
    </w:p>
    <w:p w14:paraId="4CB3FD0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r>
        <w:rPr>
          <w:rFonts w:ascii="华文细黑" w:hAnsi="华文细黑" w:eastAsia="华文细黑"/>
          <w:b/>
          <w:bCs/>
          <w:color w:val="000000" w:themeColor="text1"/>
          <w:sz w:val="24"/>
          <w14:textFill>
            <w14:solidFill>
              <w14:schemeClr w14:val="tx1"/>
            </w14:solidFill>
          </w14:textFill>
        </w:rPr>
        <w:t>3.</w:t>
      </w:r>
      <w:r>
        <w:rPr>
          <w:rFonts w:hint="eastAsia" w:ascii="华文细黑" w:hAnsi="华文细黑" w:eastAsia="华文细黑"/>
          <w:b/>
          <w:bCs/>
          <w:color w:val="000000" w:themeColor="text1"/>
          <w:sz w:val="24"/>
          <w:lang w:val="en-US" w:eastAsia="zh-CN"/>
          <w14:textFill>
            <w14:solidFill>
              <w14:schemeClr w14:val="tx1"/>
            </w14:solidFill>
          </w14:textFill>
        </w:rPr>
        <w:t>3</w:t>
      </w:r>
      <w:r>
        <w:rPr>
          <w:rFonts w:ascii="华文细黑" w:hAnsi="华文细黑" w:eastAsia="华文细黑"/>
          <w:b/>
          <w:bCs/>
          <w:color w:val="000000" w:themeColor="text1"/>
          <w:sz w:val="24"/>
          <w14:textFill>
            <w14:solidFill>
              <w14:schemeClr w14:val="tx1"/>
            </w14:solidFill>
          </w14:textFill>
        </w:rPr>
        <w:t xml:space="preserve">  </w:t>
      </w:r>
      <w:bookmarkStart w:id="82" w:name="_Toc488655909"/>
      <w:bookmarkStart w:id="83" w:name="_Toc107822560"/>
      <w:bookmarkStart w:id="84" w:name="_Toc226969362"/>
      <w:bookmarkStart w:id="85" w:name="_Toc227057968"/>
      <w:r>
        <w:rPr>
          <w:rFonts w:hint="eastAsia" w:ascii="华文细黑" w:hAnsi="华文细黑" w:eastAsia="华文细黑"/>
          <w:b/>
          <w:bCs/>
          <w:color w:val="000000" w:themeColor="text1"/>
          <w:sz w:val="24"/>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267B0631">
      <w:pPr>
        <w:pageBreakBefore w:val="0"/>
        <w:kinsoku/>
        <w:wordWrap/>
        <w:overflowPunct/>
        <w:topLinePunct w:val="0"/>
        <w:bidi w:val="0"/>
        <w:spacing w:line="540" w:lineRule="exact"/>
        <w:ind w:left="0" w:leftChars="0" w:right="0"/>
        <w:jc w:val="center"/>
        <w:textAlignment w:val="auto"/>
        <w:rPr>
          <w:rFonts w:hint="eastAsia"/>
          <w:b/>
          <w:color w:val="000000" w:themeColor="text1"/>
          <w:sz w:val="32"/>
          <w:szCs w:val="32"/>
          <w:lang w:val="en-US" w:eastAsia="zh-CN"/>
          <w14:textFill>
            <w14:solidFill>
              <w14:schemeClr w14:val="tx1"/>
            </w14:solidFill>
          </w14:textFill>
        </w:rPr>
      </w:pPr>
      <w:bookmarkStart w:id="86" w:name="_Toc527444256"/>
      <w:bookmarkStart w:id="87" w:name="_Toc516487564"/>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四川省政府政务服务和公共资源交易服务中心全省政务服务网第三方评估服务项目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5"/>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7"/>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0A66D8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1"/>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四川省政府政务服务和公共资源交易服务中心全省政务服务网第三方评估服务</w:t>
      </w:r>
      <w:r>
        <w:rPr>
          <w:rFonts w:hint="eastAsia" w:ascii="宋体" w:hAnsi="宋体"/>
          <w:color w:val="000000" w:themeColor="text1"/>
          <w:sz w:val="28"/>
          <w:szCs w:val="28"/>
          <w:u w:val="single"/>
          <w:lang w:val="en-US" w:eastAsia="zh-CN"/>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宋体"/>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3"/>
      <w:jc w:val="center"/>
    </w:pPr>
    <w:r>
      <w:rPr>
        <w:rStyle w:val="61"/>
        <w:rFonts w:hint="eastAsia"/>
      </w:rPr>
      <w:t>第</w:t>
    </w:r>
    <w:r>
      <w:rPr>
        <w:rStyle w:val="61"/>
      </w:rPr>
      <w:fldChar w:fldCharType="begin"/>
    </w:r>
    <w:r>
      <w:rPr>
        <w:rStyle w:val="61"/>
      </w:rPr>
      <w:instrText xml:space="preserve"> PAGE </w:instrText>
    </w:r>
    <w:r>
      <w:rPr>
        <w:rStyle w:val="61"/>
      </w:rPr>
      <w:fldChar w:fldCharType="separate"/>
    </w:r>
    <w:r>
      <w:rPr>
        <w:rStyle w:val="61"/>
      </w:rPr>
      <w:t>5</w:t>
    </w:r>
    <w:r>
      <w:rPr>
        <w:rStyle w:val="61"/>
      </w:rPr>
      <w:fldChar w:fldCharType="end"/>
    </w:r>
    <w:r>
      <w:rPr>
        <w:rStyle w:val="6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3"/>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510D5"/>
    <w:multiLevelType w:val="singleLevel"/>
    <w:tmpl w:val="A16510D5"/>
    <w:lvl w:ilvl="0" w:tentative="0">
      <w:start w:val="1"/>
      <w:numFmt w:val="bullet"/>
      <w:suff w:val="space"/>
      <w:lvlText w:val=""/>
      <w:lvlJc w:val="left"/>
      <w:pPr>
        <w:ind w:left="0" w:firstLine="0"/>
      </w:pPr>
      <w:rPr>
        <w:rFonts w:hint="default" w:ascii="Wingdings" w:hAnsi="Wingdings"/>
      </w:rPr>
    </w:lvl>
  </w:abstractNum>
  <w:abstractNum w:abstractNumId="1">
    <w:nsid w:val="FFFFFF88"/>
    <w:multiLevelType w:val="singleLevel"/>
    <w:tmpl w:val="FFFFFF88"/>
    <w:lvl w:ilvl="0" w:tentative="0">
      <w:start w:val="1"/>
      <w:numFmt w:val="decimal"/>
      <w:pStyle w:val="14"/>
      <w:lvlText w:val="%1."/>
      <w:lvlJc w:val="left"/>
      <w:pPr>
        <w:tabs>
          <w:tab w:val="left" w:pos="360"/>
        </w:tabs>
        <w:ind w:left="360" w:hanging="360"/>
      </w:pPr>
      <w:rPr>
        <w:rFonts w:cs="Times New Roman"/>
      </w:rPr>
    </w:lvl>
  </w:abstractNum>
  <w:abstractNum w:abstractNumId="2">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3">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5">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6">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7">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8">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0">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1">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7139748A"/>
    <w:multiLevelType w:val="singleLevel"/>
    <w:tmpl w:val="7139748A"/>
    <w:lvl w:ilvl="0" w:tentative="0">
      <w:start w:val="1"/>
      <w:numFmt w:val="bullet"/>
      <w:pStyle w:val="17"/>
      <w:lvlText w:val=""/>
      <w:lvlJc w:val="left"/>
      <w:pPr>
        <w:tabs>
          <w:tab w:val="left" w:pos="785"/>
        </w:tabs>
        <w:ind w:firstLine="425"/>
      </w:pPr>
      <w:rPr>
        <w:rFonts w:hint="default" w:ascii="Wingdings" w:hAnsi="Wingdings"/>
      </w:rPr>
    </w:lvl>
  </w:abstractNum>
  <w:abstractNum w:abstractNumId="14">
    <w:nsid w:val="738038D2"/>
    <w:multiLevelType w:val="singleLevel"/>
    <w:tmpl w:val="738038D2"/>
    <w:lvl w:ilvl="0" w:tentative="0">
      <w:start w:val="2"/>
      <w:numFmt w:val="chineseCounting"/>
      <w:suff w:val="nothing"/>
      <w:lvlText w:val="（%1）"/>
      <w:lvlJc w:val="left"/>
      <w:rPr>
        <w:rFonts w:hint="eastAsia"/>
      </w:rPr>
    </w:lvl>
  </w:abstractNum>
  <w:abstractNum w:abstractNumId="15">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1"/>
  </w:num>
  <w:num w:numId="2">
    <w:abstractNumId w:val="13"/>
  </w:num>
  <w:num w:numId="3">
    <w:abstractNumId w:val="7"/>
  </w:num>
  <w:num w:numId="4">
    <w:abstractNumId w:val="15"/>
  </w:num>
  <w:num w:numId="5">
    <w:abstractNumId w:val="8"/>
  </w:num>
  <w:num w:numId="6">
    <w:abstractNumId w:val="10"/>
  </w:num>
  <w:num w:numId="7">
    <w:abstractNumId w:val="4"/>
  </w:num>
  <w:num w:numId="8">
    <w:abstractNumId w:val="9"/>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6"/>
  </w:num>
  <w:num w:numId="14">
    <w:abstractNumId w:val="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900AF3"/>
    <w:rsid w:val="0C9C06AB"/>
    <w:rsid w:val="0DC52948"/>
    <w:rsid w:val="0E9C1330"/>
    <w:rsid w:val="0EA75D08"/>
    <w:rsid w:val="0F800E2D"/>
    <w:rsid w:val="0FE90B71"/>
    <w:rsid w:val="11CF41D4"/>
    <w:rsid w:val="12A272E2"/>
    <w:rsid w:val="133C2385"/>
    <w:rsid w:val="13873574"/>
    <w:rsid w:val="152C29AE"/>
    <w:rsid w:val="16A317BF"/>
    <w:rsid w:val="16C91448"/>
    <w:rsid w:val="18260D81"/>
    <w:rsid w:val="1A415B5C"/>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F1553AA"/>
    <w:rsid w:val="2F7774D9"/>
    <w:rsid w:val="30A64F78"/>
    <w:rsid w:val="32C23B65"/>
    <w:rsid w:val="32F46B56"/>
    <w:rsid w:val="35E5474C"/>
    <w:rsid w:val="372F3BCB"/>
    <w:rsid w:val="376A5A8A"/>
    <w:rsid w:val="38266265"/>
    <w:rsid w:val="38B41FE8"/>
    <w:rsid w:val="38BC1628"/>
    <w:rsid w:val="397322C1"/>
    <w:rsid w:val="3BC47B4D"/>
    <w:rsid w:val="3CD87AC7"/>
    <w:rsid w:val="3E801FE3"/>
    <w:rsid w:val="3EA843EA"/>
    <w:rsid w:val="3EB169D5"/>
    <w:rsid w:val="40116410"/>
    <w:rsid w:val="40891116"/>
    <w:rsid w:val="40E32649"/>
    <w:rsid w:val="421564CB"/>
    <w:rsid w:val="421C6C36"/>
    <w:rsid w:val="42247626"/>
    <w:rsid w:val="45135DAF"/>
    <w:rsid w:val="485B60D5"/>
    <w:rsid w:val="4A80432C"/>
    <w:rsid w:val="4BB548C0"/>
    <w:rsid w:val="4C4A055B"/>
    <w:rsid w:val="4CB17CEF"/>
    <w:rsid w:val="4DED0F2F"/>
    <w:rsid w:val="50A9305D"/>
    <w:rsid w:val="50CC6F61"/>
    <w:rsid w:val="5109402A"/>
    <w:rsid w:val="538C0638"/>
    <w:rsid w:val="53F17237"/>
    <w:rsid w:val="54672F20"/>
    <w:rsid w:val="550E4668"/>
    <w:rsid w:val="55255EE7"/>
    <w:rsid w:val="55771238"/>
    <w:rsid w:val="58384844"/>
    <w:rsid w:val="58984118"/>
    <w:rsid w:val="5A3C527B"/>
    <w:rsid w:val="5C822AA8"/>
    <w:rsid w:val="5DF0426A"/>
    <w:rsid w:val="5E546B65"/>
    <w:rsid w:val="5FD76F7D"/>
    <w:rsid w:val="60255E9C"/>
    <w:rsid w:val="604A08CD"/>
    <w:rsid w:val="60A5053A"/>
    <w:rsid w:val="60DB5FA6"/>
    <w:rsid w:val="61241E74"/>
    <w:rsid w:val="61585386"/>
    <w:rsid w:val="61907F8F"/>
    <w:rsid w:val="61A06F26"/>
    <w:rsid w:val="63E4197E"/>
    <w:rsid w:val="63F649C9"/>
    <w:rsid w:val="642F60C2"/>
    <w:rsid w:val="666A569F"/>
    <w:rsid w:val="67717E0E"/>
    <w:rsid w:val="68A96E42"/>
    <w:rsid w:val="6996622D"/>
    <w:rsid w:val="6B6A6978"/>
    <w:rsid w:val="6B6C6A03"/>
    <w:rsid w:val="6C453F77"/>
    <w:rsid w:val="6CB84F1C"/>
    <w:rsid w:val="6D713B9A"/>
    <w:rsid w:val="704824EC"/>
    <w:rsid w:val="704C02B4"/>
    <w:rsid w:val="70D85181"/>
    <w:rsid w:val="720024FB"/>
    <w:rsid w:val="727F6749"/>
    <w:rsid w:val="75B10AE0"/>
    <w:rsid w:val="76870B6B"/>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4">
    <w:name w:val="heading 2"/>
    <w:basedOn w:val="1"/>
    <w:next w:val="1"/>
    <w:link w:val="70"/>
    <w:qFormat/>
    <w:uiPriority w:val="99"/>
    <w:pPr>
      <w:keepNext/>
      <w:keepLines/>
      <w:spacing w:before="260" w:after="260" w:line="416" w:lineRule="auto"/>
      <w:outlineLvl w:val="1"/>
    </w:pPr>
    <w:rPr>
      <w:rFonts w:ascii="Arial" w:hAnsi="Arial" w:eastAsia="黑体"/>
      <w:bCs/>
      <w:sz w:val="28"/>
      <w:szCs w:val="32"/>
    </w:rPr>
  </w:style>
  <w:style w:type="paragraph" w:styleId="5">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72"/>
    <w:qFormat/>
    <w:uiPriority w:val="99"/>
    <w:pPr>
      <w:keepNext/>
      <w:outlineLvl w:val="3"/>
    </w:pPr>
    <w:rPr>
      <w:sz w:val="28"/>
      <w:szCs w:val="20"/>
    </w:rPr>
  </w:style>
  <w:style w:type="paragraph" w:styleId="7">
    <w:name w:val="heading 5"/>
    <w:basedOn w:val="1"/>
    <w:next w:val="1"/>
    <w:link w:val="73"/>
    <w:qFormat/>
    <w:uiPriority w:val="99"/>
    <w:pPr>
      <w:keepNext/>
      <w:keepLines/>
      <w:spacing w:before="280" w:after="290" w:line="376" w:lineRule="auto"/>
      <w:outlineLvl w:val="4"/>
    </w:pPr>
    <w:rPr>
      <w:b/>
      <w:bCs/>
      <w:sz w:val="28"/>
      <w:szCs w:val="28"/>
    </w:rPr>
  </w:style>
  <w:style w:type="paragraph" w:styleId="8">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9">
    <w:name w:val="heading 7"/>
    <w:basedOn w:val="1"/>
    <w:next w:val="1"/>
    <w:link w:val="75"/>
    <w:qFormat/>
    <w:uiPriority w:val="99"/>
    <w:pPr>
      <w:keepNext/>
      <w:keepLines/>
      <w:spacing w:before="240" w:after="64" w:line="320" w:lineRule="auto"/>
      <w:outlineLvl w:val="6"/>
    </w:pPr>
    <w:rPr>
      <w:b/>
      <w:bCs/>
      <w:sz w:val="24"/>
    </w:rPr>
  </w:style>
  <w:style w:type="paragraph" w:styleId="10">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59">
    <w:name w:val="Default Paragraph Font"/>
    <w:semiHidden/>
    <w:qFormat/>
    <w:uiPriority w:val="99"/>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12">
    <w:name w:val="toc 7"/>
    <w:basedOn w:val="1"/>
    <w:next w:val="1"/>
    <w:qFormat/>
    <w:uiPriority w:val="99"/>
    <w:pPr>
      <w:ind w:left="2520" w:leftChars="1200"/>
    </w:pPr>
    <w:rPr>
      <w:rFonts w:ascii="Calibri" w:hAnsi="Calibri"/>
      <w:szCs w:val="22"/>
    </w:rPr>
  </w:style>
  <w:style w:type="paragraph" w:styleId="13">
    <w:name w:val="index 8"/>
    <w:basedOn w:val="1"/>
    <w:next w:val="1"/>
    <w:qFormat/>
    <w:locked/>
    <w:uiPriority w:val="0"/>
    <w:pPr>
      <w:ind w:left="2940"/>
    </w:pPr>
  </w:style>
  <w:style w:type="paragraph" w:styleId="14">
    <w:name w:val="List Number"/>
    <w:basedOn w:val="1"/>
    <w:qFormat/>
    <w:uiPriority w:val="99"/>
    <w:pPr>
      <w:numPr>
        <w:ilvl w:val="0"/>
        <w:numId w:val="1"/>
      </w:numPr>
      <w:spacing w:line="360" w:lineRule="auto"/>
      <w:ind w:hangingChars="200"/>
    </w:pPr>
    <w:rPr>
      <w:sz w:val="24"/>
    </w:rPr>
  </w:style>
  <w:style w:type="paragraph" w:styleId="15">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99"/>
    <w:pPr>
      <w:widowControl/>
      <w:spacing w:before="120" w:after="120"/>
      <w:jc w:val="center"/>
    </w:pPr>
    <w:rPr>
      <w:rFonts w:ascii="Calibri" w:hAnsi="Calibri"/>
      <w:b/>
      <w:kern w:val="0"/>
      <w:sz w:val="24"/>
      <w:lang w:eastAsia="en-US"/>
    </w:rPr>
  </w:style>
  <w:style w:type="paragraph" w:styleId="17">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8">
    <w:name w:val="Document Map"/>
    <w:basedOn w:val="1"/>
    <w:link w:val="80"/>
    <w:qFormat/>
    <w:uiPriority w:val="99"/>
    <w:rPr>
      <w:rFonts w:ascii="宋体"/>
      <w:sz w:val="18"/>
      <w:szCs w:val="18"/>
    </w:rPr>
  </w:style>
  <w:style w:type="paragraph" w:styleId="19">
    <w:name w:val="annotation text"/>
    <w:basedOn w:val="1"/>
    <w:link w:val="81"/>
    <w:qFormat/>
    <w:uiPriority w:val="99"/>
    <w:pPr>
      <w:jc w:val="left"/>
    </w:pPr>
    <w:rPr>
      <w:szCs w:val="20"/>
    </w:rPr>
  </w:style>
  <w:style w:type="paragraph" w:styleId="20">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1">
    <w:name w:val="Body Text"/>
    <w:basedOn w:val="1"/>
    <w:next w:val="13"/>
    <w:link w:val="78"/>
    <w:qFormat/>
    <w:uiPriority w:val="99"/>
    <w:rPr>
      <w:sz w:val="28"/>
      <w:szCs w:val="20"/>
    </w:rPr>
  </w:style>
  <w:style w:type="paragraph" w:styleId="22">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2"/>
    <w:basedOn w:val="1"/>
    <w:qFormat/>
    <w:uiPriority w:val="99"/>
    <w:pPr>
      <w:ind w:left="100" w:leftChars="200" w:hanging="200" w:hangingChars="200"/>
    </w:pPr>
  </w:style>
  <w:style w:type="paragraph" w:styleId="24">
    <w:name w:val="List Bullet 2"/>
    <w:basedOn w:val="1"/>
    <w:qFormat/>
    <w:uiPriority w:val="99"/>
    <w:pPr>
      <w:spacing w:line="324" w:lineRule="auto"/>
      <w:ind w:left="840" w:hanging="420"/>
    </w:pPr>
  </w:style>
  <w:style w:type="paragraph" w:styleId="25">
    <w:name w:val="toc 5"/>
    <w:basedOn w:val="1"/>
    <w:next w:val="1"/>
    <w:qFormat/>
    <w:uiPriority w:val="99"/>
    <w:pPr>
      <w:ind w:left="1680" w:leftChars="800"/>
    </w:pPr>
    <w:rPr>
      <w:rFonts w:ascii="Calibri" w:hAnsi="Calibri"/>
      <w:szCs w:val="22"/>
    </w:rPr>
  </w:style>
  <w:style w:type="paragraph" w:styleId="26">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7">
    <w:name w:val="Plain Text"/>
    <w:basedOn w:val="1"/>
    <w:link w:val="84"/>
    <w:qFormat/>
    <w:uiPriority w:val="99"/>
    <w:rPr>
      <w:rFonts w:ascii="宋体" w:hAnsi="Courier New"/>
      <w:szCs w:val="20"/>
    </w:rPr>
  </w:style>
  <w:style w:type="paragraph" w:styleId="28">
    <w:name w:val="toc 8"/>
    <w:basedOn w:val="1"/>
    <w:next w:val="1"/>
    <w:qFormat/>
    <w:uiPriority w:val="99"/>
    <w:pPr>
      <w:ind w:left="2940" w:leftChars="1400"/>
    </w:pPr>
    <w:rPr>
      <w:rFonts w:ascii="Calibri" w:hAnsi="Calibri"/>
      <w:szCs w:val="22"/>
    </w:rPr>
  </w:style>
  <w:style w:type="paragraph" w:styleId="29">
    <w:name w:val="Date"/>
    <w:basedOn w:val="1"/>
    <w:next w:val="1"/>
    <w:link w:val="85"/>
    <w:qFormat/>
    <w:uiPriority w:val="99"/>
    <w:pPr>
      <w:ind w:left="100" w:leftChars="2500"/>
    </w:pPr>
    <w:rPr>
      <w:szCs w:val="20"/>
    </w:rPr>
  </w:style>
  <w:style w:type="paragraph" w:styleId="30">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1">
    <w:name w:val="List Continue 5"/>
    <w:basedOn w:val="1"/>
    <w:qFormat/>
    <w:uiPriority w:val="99"/>
    <w:pPr>
      <w:adjustRightInd w:val="0"/>
      <w:spacing w:after="120" w:line="312" w:lineRule="atLeast"/>
      <w:ind w:left="2100"/>
      <w:textAlignment w:val="baseline"/>
    </w:pPr>
    <w:rPr>
      <w:kern w:val="0"/>
      <w:szCs w:val="20"/>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6">
    <w:name w:val="toc 4"/>
    <w:basedOn w:val="1"/>
    <w:next w:val="1"/>
    <w:qFormat/>
    <w:uiPriority w:val="99"/>
    <w:pPr>
      <w:ind w:left="1260" w:leftChars="600"/>
    </w:pPr>
    <w:rPr>
      <w:rFonts w:ascii="Calibri" w:hAnsi="Calibri"/>
      <w:szCs w:val="22"/>
    </w:rPr>
  </w:style>
  <w:style w:type="paragraph" w:styleId="37">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8">
    <w:name w:val="List"/>
    <w:basedOn w:val="1"/>
    <w:qFormat/>
    <w:uiPriority w:val="99"/>
    <w:pPr>
      <w:ind w:left="200" w:hanging="200" w:hangingChars="200"/>
    </w:pPr>
  </w:style>
  <w:style w:type="paragraph" w:styleId="39">
    <w:name w:val="footnote text"/>
    <w:basedOn w:val="1"/>
    <w:link w:val="91"/>
    <w:qFormat/>
    <w:uiPriority w:val="99"/>
    <w:pPr>
      <w:snapToGrid w:val="0"/>
      <w:jc w:val="left"/>
    </w:pPr>
    <w:rPr>
      <w:sz w:val="18"/>
      <w:szCs w:val="18"/>
    </w:rPr>
  </w:style>
  <w:style w:type="paragraph" w:styleId="40">
    <w:name w:val="toc 6"/>
    <w:basedOn w:val="1"/>
    <w:next w:val="1"/>
    <w:qFormat/>
    <w:uiPriority w:val="99"/>
    <w:pPr>
      <w:ind w:left="2100" w:leftChars="1000"/>
    </w:pPr>
    <w:rPr>
      <w:rFonts w:ascii="Calibri" w:hAnsi="Calibri"/>
      <w:szCs w:val="22"/>
    </w:rPr>
  </w:style>
  <w:style w:type="paragraph" w:styleId="41">
    <w:name w:val="List 5"/>
    <w:basedOn w:val="1"/>
    <w:qFormat/>
    <w:uiPriority w:val="99"/>
    <w:pPr>
      <w:ind w:left="100" w:leftChars="800" w:hanging="200" w:hangingChars="200"/>
      <w:contextualSpacing/>
    </w:pPr>
  </w:style>
  <w:style w:type="paragraph" w:styleId="42">
    <w:name w:val="Body Text Indent 3"/>
    <w:basedOn w:val="1"/>
    <w:link w:val="92"/>
    <w:qFormat/>
    <w:uiPriority w:val="99"/>
    <w:pPr>
      <w:spacing w:after="120" w:line="360" w:lineRule="atLeast"/>
      <w:ind w:firstLine="720" w:firstLineChars="300"/>
    </w:pPr>
    <w:rPr>
      <w:sz w:val="24"/>
      <w:szCs w:val="20"/>
    </w:rPr>
  </w:style>
  <w:style w:type="paragraph" w:styleId="43">
    <w:name w:val="table of figures"/>
    <w:basedOn w:val="1"/>
    <w:next w:val="1"/>
    <w:qFormat/>
    <w:uiPriority w:val="99"/>
    <w:pPr>
      <w:ind w:left="200" w:leftChars="200" w:hanging="200" w:hangingChars="200"/>
    </w:pPr>
  </w:style>
  <w:style w:type="paragraph" w:styleId="44">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5">
    <w:name w:val="toc 9"/>
    <w:basedOn w:val="1"/>
    <w:next w:val="1"/>
    <w:qFormat/>
    <w:uiPriority w:val="99"/>
    <w:pPr>
      <w:ind w:left="3360" w:leftChars="1600"/>
    </w:pPr>
    <w:rPr>
      <w:rFonts w:ascii="Calibri" w:hAnsi="Calibri"/>
      <w:szCs w:val="22"/>
    </w:rPr>
  </w:style>
  <w:style w:type="paragraph" w:styleId="46">
    <w:name w:val="Body Text 2"/>
    <w:basedOn w:val="1"/>
    <w:link w:val="93"/>
    <w:qFormat/>
    <w:uiPriority w:val="99"/>
    <w:pPr>
      <w:spacing w:after="120" w:line="480" w:lineRule="auto"/>
    </w:pPr>
  </w:style>
  <w:style w:type="paragraph" w:styleId="47">
    <w:name w:val="List 4"/>
    <w:basedOn w:val="1"/>
    <w:qFormat/>
    <w:uiPriority w:val="99"/>
    <w:pPr>
      <w:adjustRightInd w:val="0"/>
      <w:spacing w:line="312" w:lineRule="atLeast"/>
      <w:ind w:left="1680" w:hanging="420"/>
      <w:textAlignment w:val="baseline"/>
    </w:pPr>
    <w:rPr>
      <w:kern w:val="0"/>
      <w:szCs w:val="20"/>
    </w:rPr>
  </w:style>
  <w:style w:type="paragraph" w:styleId="48">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widowControl/>
      <w:jc w:val="left"/>
    </w:pPr>
    <w:rPr>
      <w:rFonts w:ascii="Calibri" w:hAnsi="Calibri"/>
      <w:kern w:val="0"/>
      <w:sz w:val="24"/>
      <w:szCs w:val="20"/>
      <w:lang w:eastAsia="en-US"/>
    </w:rPr>
  </w:style>
  <w:style w:type="paragraph" w:styleId="51">
    <w:name w:val="Title"/>
    <w:basedOn w:val="1"/>
    <w:next w:val="1"/>
    <w:link w:val="95"/>
    <w:qFormat/>
    <w:uiPriority w:val="99"/>
    <w:pPr>
      <w:spacing w:before="240" w:after="60"/>
      <w:jc w:val="center"/>
      <w:outlineLvl w:val="0"/>
    </w:pPr>
    <w:rPr>
      <w:rFonts w:ascii="Cambria" w:hAnsi="Cambria"/>
      <w:b/>
      <w:bCs/>
      <w:sz w:val="32"/>
      <w:szCs w:val="32"/>
    </w:rPr>
  </w:style>
  <w:style w:type="paragraph" w:styleId="52">
    <w:name w:val="annotation subject"/>
    <w:basedOn w:val="19"/>
    <w:next w:val="19"/>
    <w:link w:val="96"/>
    <w:qFormat/>
    <w:uiPriority w:val="99"/>
    <w:rPr>
      <w:b/>
      <w:bCs/>
    </w:rPr>
  </w:style>
  <w:style w:type="paragraph" w:styleId="53">
    <w:name w:val="Body Text First Indent"/>
    <w:basedOn w:val="21"/>
    <w:next w:val="54"/>
    <w:link w:val="79"/>
    <w:qFormat/>
    <w:uiPriority w:val="99"/>
    <w:pPr>
      <w:spacing w:after="120"/>
      <w:ind w:firstLine="420" w:firstLineChars="100"/>
    </w:pPr>
    <w:rPr>
      <w:sz w:val="21"/>
      <w:szCs w:val="24"/>
    </w:rPr>
  </w:style>
  <w:style w:type="paragraph" w:customStyle="1" w:styleId="5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5">
    <w:name w:val="Body Text First Indent 2"/>
    <w:basedOn w:val="22"/>
    <w:link w:val="97"/>
    <w:qFormat/>
    <w:uiPriority w:val="99"/>
    <w:pPr>
      <w:autoSpaceDE/>
      <w:autoSpaceDN/>
      <w:spacing w:line="312" w:lineRule="atLeast"/>
      <w:ind w:left="0" w:firstLine="210"/>
      <w:textAlignment w:val="baseline"/>
    </w:pPr>
    <w:rPr>
      <w:kern w:val="2"/>
      <w:sz w:val="21"/>
      <w:szCs w:val="24"/>
    </w:rPr>
  </w:style>
  <w:style w:type="table" w:styleId="57">
    <w:name w:val="Table Grid"/>
    <w:basedOn w:val="5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99"/>
    <w:rPr>
      <w:rFonts w:cs="Times New Roman"/>
      <w:b/>
    </w:rPr>
  </w:style>
  <w:style w:type="character" w:styleId="61">
    <w:name w:val="page number"/>
    <w:basedOn w:val="59"/>
    <w:qFormat/>
    <w:uiPriority w:val="99"/>
    <w:rPr>
      <w:rFonts w:cs="Times New Roman"/>
    </w:rPr>
  </w:style>
  <w:style w:type="character" w:styleId="62">
    <w:name w:val="FollowedHyperlink"/>
    <w:basedOn w:val="59"/>
    <w:qFormat/>
    <w:uiPriority w:val="99"/>
    <w:rPr>
      <w:rFonts w:cs="Times New Roman"/>
      <w:color w:val="800080"/>
      <w:u w:val="single"/>
    </w:rPr>
  </w:style>
  <w:style w:type="character" w:styleId="63">
    <w:name w:val="Emphasis"/>
    <w:basedOn w:val="59"/>
    <w:qFormat/>
    <w:uiPriority w:val="99"/>
    <w:rPr>
      <w:rFonts w:ascii="Calibri" w:hAnsi="Calibri" w:eastAsia="宋体" w:cs="Times New Roman"/>
      <w:b/>
      <w:i/>
      <w:kern w:val="2"/>
      <w:sz w:val="24"/>
      <w:lang w:val="en-US" w:eastAsia="zh-CN"/>
    </w:rPr>
  </w:style>
  <w:style w:type="character" w:styleId="64">
    <w:name w:val="HTML Typewriter"/>
    <w:basedOn w:val="59"/>
    <w:qFormat/>
    <w:uiPriority w:val="99"/>
    <w:rPr>
      <w:rFonts w:ascii="宋体" w:hAnsi="宋体" w:eastAsia="宋体" w:cs="Times New Roman"/>
      <w:sz w:val="24"/>
    </w:rPr>
  </w:style>
  <w:style w:type="character" w:styleId="65">
    <w:name w:val="Hyperlink"/>
    <w:basedOn w:val="59"/>
    <w:qFormat/>
    <w:uiPriority w:val="99"/>
    <w:rPr>
      <w:rFonts w:cs="Times New Roman"/>
      <w:color w:val="0000FF"/>
      <w:u w:val="single"/>
    </w:rPr>
  </w:style>
  <w:style w:type="character" w:styleId="66">
    <w:name w:val="annotation reference"/>
    <w:basedOn w:val="59"/>
    <w:qFormat/>
    <w:uiPriority w:val="99"/>
    <w:rPr>
      <w:rFonts w:cs="Times New Roman"/>
      <w:sz w:val="21"/>
    </w:rPr>
  </w:style>
  <w:style w:type="character" w:styleId="67">
    <w:name w:val="footnote reference"/>
    <w:basedOn w:val="59"/>
    <w:qFormat/>
    <w:uiPriority w:val="99"/>
    <w:rPr>
      <w:rFonts w:cs="Times New Roman"/>
      <w:vertAlign w:val="superscript"/>
    </w:rPr>
  </w:style>
  <w:style w:type="paragraph" w:customStyle="1" w:styleId="68">
    <w:name w:val="正文-标"/>
    <w:basedOn w:val="1"/>
    <w:qFormat/>
    <w:uiPriority w:val="0"/>
    <w:pPr>
      <w:spacing w:line="360" w:lineRule="auto"/>
      <w:ind w:firstLine="200" w:firstLineChars="200"/>
    </w:pPr>
  </w:style>
  <w:style w:type="character" w:customStyle="1" w:styleId="69">
    <w:name w:val="Heading 1 Char"/>
    <w:basedOn w:val="59"/>
    <w:link w:val="3"/>
    <w:qFormat/>
    <w:uiPriority w:val="9"/>
    <w:rPr>
      <w:b/>
      <w:bCs/>
      <w:kern w:val="44"/>
      <w:sz w:val="44"/>
      <w:szCs w:val="44"/>
    </w:rPr>
  </w:style>
  <w:style w:type="character" w:customStyle="1" w:styleId="70">
    <w:name w:val="Heading 2 Char"/>
    <w:basedOn w:val="59"/>
    <w:link w:val="4"/>
    <w:qFormat/>
    <w:locked/>
    <w:uiPriority w:val="99"/>
    <w:rPr>
      <w:rFonts w:ascii="Arial" w:hAnsi="Arial" w:eastAsia="黑体"/>
      <w:kern w:val="2"/>
      <w:sz w:val="32"/>
    </w:rPr>
  </w:style>
  <w:style w:type="character" w:customStyle="1" w:styleId="71">
    <w:name w:val="Heading 3 Char"/>
    <w:basedOn w:val="59"/>
    <w:link w:val="5"/>
    <w:qFormat/>
    <w:locked/>
    <w:uiPriority w:val="99"/>
    <w:rPr>
      <w:rFonts w:ascii="黑体" w:eastAsia="黑体"/>
      <w:sz w:val="28"/>
    </w:rPr>
  </w:style>
  <w:style w:type="character" w:customStyle="1" w:styleId="72">
    <w:name w:val="Heading 4 Char"/>
    <w:basedOn w:val="59"/>
    <w:link w:val="6"/>
    <w:qFormat/>
    <w:locked/>
    <w:uiPriority w:val="99"/>
    <w:rPr>
      <w:kern w:val="2"/>
      <w:sz w:val="28"/>
    </w:rPr>
  </w:style>
  <w:style w:type="character" w:customStyle="1" w:styleId="73">
    <w:name w:val="Heading 5 Char"/>
    <w:basedOn w:val="59"/>
    <w:link w:val="7"/>
    <w:qFormat/>
    <w:locked/>
    <w:uiPriority w:val="99"/>
    <w:rPr>
      <w:b/>
      <w:kern w:val="2"/>
      <w:sz w:val="28"/>
    </w:rPr>
  </w:style>
  <w:style w:type="character" w:customStyle="1" w:styleId="74">
    <w:name w:val="Heading 6 Char"/>
    <w:basedOn w:val="59"/>
    <w:link w:val="8"/>
    <w:qFormat/>
    <w:locked/>
    <w:uiPriority w:val="99"/>
    <w:rPr>
      <w:rFonts w:ascii="Arial" w:hAnsi="Arial" w:eastAsia="黑体"/>
      <w:b/>
      <w:kern w:val="2"/>
      <w:sz w:val="24"/>
    </w:rPr>
  </w:style>
  <w:style w:type="character" w:customStyle="1" w:styleId="75">
    <w:name w:val="Heading 7 Char"/>
    <w:basedOn w:val="59"/>
    <w:link w:val="9"/>
    <w:qFormat/>
    <w:locked/>
    <w:uiPriority w:val="99"/>
    <w:rPr>
      <w:b/>
      <w:kern w:val="2"/>
      <w:sz w:val="24"/>
    </w:rPr>
  </w:style>
  <w:style w:type="character" w:customStyle="1" w:styleId="76">
    <w:name w:val="Heading 8 Char"/>
    <w:basedOn w:val="59"/>
    <w:link w:val="10"/>
    <w:qFormat/>
    <w:locked/>
    <w:uiPriority w:val="99"/>
    <w:rPr>
      <w:rFonts w:ascii="Arial" w:hAnsi="Arial" w:eastAsia="黑体"/>
      <w:kern w:val="2"/>
      <w:sz w:val="24"/>
    </w:rPr>
  </w:style>
  <w:style w:type="character" w:customStyle="1" w:styleId="77">
    <w:name w:val="Heading 9 Char"/>
    <w:basedOn w:val="59"/>
    <w:link w:val="11"/>
    <w:qFormat/>
    <w:locked/>
    <w:uiPriority w:val="99"/>
    <w:rPr>
      <w:rFonts w:ascii="Arial" w:hAnsi="Arial" w:eastAsia="黑体"/>
      <w:kern w:val="2"/>
      <w:sz w:val="21"/>
    </w:rPr>
  </w:style>
  <w:style w:type="character" w:customStyle="1" w:styleId="78">
    <w:name w:val="Body Text Char"/>
    <w:basedOn w:val="59"/>
    <w:link w:val="21"/>
    <w:qFormat/>
    <w:locked/>
    <w:uiPriority w:val="99"/>
    <w:rPr>
      <w:rFonts w:cs="Times New Roman"/>
      <w:kern w:val="2"/>
      <w:sz w:val="28"/>
    </w:rPr>
  </w:style>
  <w:style w:type="character" w:customStyle="1" w:styleId="79">
    <w:name w:val="Body Text First Indent Char"/>
    <w:basedOn w:val="78"/>
    <w:link w:val="53"/>
    <w:qFormat/>
    <w:locked/>
    <w:uiPriority w:val="99"/>
    <w:rPr>
      <w:sz w:val="24"/>
      <w:szCs w:val="24"/>
    </w:rPr>
  </w:style>
  <w:style w:type="character" w:customStyle="1" w:styleId="80">
    <w:name w:val="Document Map Char"/>
    <w:basedOn w:val="59"/>
    <w:link w:val="18"/>
    <w:qFormat/>
    <w:locked/>
    <w:uiPriority w:val="99"/>
    <w:rPr>
      <w:rFonts w:ascii="宋体"/>
      <w:kern w:val="2"/>
      <w:sz w:val="18"/>
    </w:rPr>
  </w:style>
  <w:style w:type="character" w:customStyle="1" w:styleId="81">
    <w:name w:val="Comment Text Char"/>
    <w:basedOn w:val="59"/>
    <w:link w:val="19"/>
    <w:qFormat/>
    <w:locked/>
    <w:uiPriority w:val="99"/>
    <w:rPr>
      <w:rFonts w:eastAsia="宋体"/>
      <w:kern w:val="2"/>
      <w:sz w:val="21"/>
      <w:lang w:val="en-US" w:eastAsia="zh-CN"/>
    </w:rPr>
  </w:style>
  <w:style w:type="character" w:customStyle="1" w:styleId="82">
    <w:name w:val="Body Text 3 Char"/>
    <w:basedOn w:val="59"/>
    <w:link w:val="20"/>
    <w:qFormat/>
    <w:locked/>
    <w:uiPriority w:val="99"/>
    <w:rPr>
      <w:rFonts w:cs="Times New Roman"/>
      <w:b/>
      <w:bCs/>
      <w:sz w:val="36"/>
    </w:rPr>
  </w:style>
  <w:style w:type="character" w:customStyle="1" w:styleId="83">
    <w:name w:val="Body Text Indent Char"/>
    <w:basedOn w:val="59"/>
    <w:link w:val="22"/>
    <w:qFormat/>
    <w:locked/>
    <w:uiPriority w:val="99"/>
    <w:rPr>
      <w:rFonts w:ascii="楷体_GB2312" w:eastAsia="楷体_GB2312" w:cs="Times New Roman"/>
      <w:sz w:val="28"/>
    </w:rPr>
  </w:style>
  <w:style w:type="character" w:customStyle="1" w:styleId="84">
    <w:name w:val="Plain Text Char"/>
    <w:basedOn w:val="59"/>
    <w:link w:val="27"/>
    <w:qFormat/>
    <w:locked/>
    <w:uiPriority w:val="99"/>
    <w:rPr>
      <w:rFonts w:ascii="宋体" w:hAnsi="Courier New"/>
      <w:kern w:val="2"/>
      <w:sz w:val="21"/>
    </w:rPr>
  </w:style>
  <w:style w:type="character" w:customStyle="1" w:styleId="85">
    <w:name w:val="Date Char"/>
    <w:basedOn w:val="59"/>
    <w:link w:val="29"/>
    <w:qFormat/>
    <w:locked/>
    <w:uiPriority w:val="99"/>
    <w:rPr>
      <w:kern w:val="2"/>
      <w:sz w:val="21"/>
    </w:rPr>
  </w:style>
  <w:style w:type="character" w:customStyle="1" w:styleId="86">
    <w:name w:val="Body Text Indent 2 Char"/>
    <w:basedOn w:val="59"/>
    <w:link w:val="30"/>
    <w:qFormat/>
    <w:locked/>
    <w:uiPriority w:val="99"/>
    <w:rPr>
      <w:rFonts w:ascii="仿宋_GB2312" w:hAnsi="宋体" w:eastAsia="仿宋_GB2312"/>
      <w:kern w:val="2"/>
      <w:sz w:val="24"/>
    </w:rPr>
  </w:style>
  <w:style w:type="character" w:customStyle="1" w:styleId="87">
    <w:name w:val="Balloon Text Char"/>
    <w:basedOn w:val="59"/>
    <w:link w:val="32"/>
    <w:qFormat/>
    <w:locked/>
    <w:uiPriority w:val="99"/>
    <w:rPr>
      <w:kern w:val="2"/>
      <w:sz w:val="18"/>
    </w:rPr>
  </w:style>
  <w:style w:type="character" w:customStyle="1" w:styleId="88">
    <w:name w:val="Footer Char"/>
    <w:basedOn w:val="59"/>
    <w:link w:val="33"/>
    <w:qFormat/>
    <w:locked/>
    <w:uiPriority w:val="99"/>
    <w:rPr>
      <w:kern w:val="2"/>
      <w:sz w:val="18"/>
    </w:rPr>
  </w:style>
  <w:style w:type="character" w:customStyle="1" w:styleId="89">
    <w:name w:val="Header Char"/>
    <w:basedOn w:val="59"/>
    <w:link w:val="34"/>
    <w:qFormat/>
    <w:locked/>
    <w:uiPriority w:val="99"/>
    <w:rPr>
      <w:kern w:val="2"/>
      <w:sz w:val="18"/>
    </w:rPr>
  </w:style>
  <w:style w:type="character" w:customStyle="1" w:styleId="90">
    <w:name w:val="Subtitle Char"/>
    <w:basedOn w:val="59"/>
    <w:link w:val="37"/>
    <w:qFormat/>
    <w:locked/>
    <w:uiPriority w:val="99"/>
    <w:rPr>
      <w:rFonts w:ascii="楷体_GB2312" w:eastAsia="楷体_GB2312"/>
      <w:sz w:val="28"/>
    </w:rPr>
  </w:style>
  <w:style w:type="character" w:customStyle="1" w:styleId="91">
    <w:name w:val="Footnote Text Char"/>
    <w:basedOn w:val="59"/>
    <w:link w:val="39"/>
    <w:qFormat/>
    <w:locked/>
    <w:uiPriority w:val="99"/>
    <w:rPr>
      <w:kern w:val="2"/>
      <w:sz w:val="18"/>
    </w:rPr>
  </w:style>
  <w:style w:type="character" w:customStyle="1" w:styleId="92">
    <w:name w:val="Body Text Indent 3 Char"/>
    <w:basedOn w:val="59"/>
    <w:link w:val="42"/>
    <w:qFormat/>
    <w:locked/>
    <w:uiPriority w:val="99"/>
    <w:rPr>
      <w:kern w:val="2"/>
      <w:sz w:val="24"/>
    </w:rPr>
  </w:style>
  <w:style w:type="character" w:customStyle="1" w:styleId="93">
    <w:name w:val="Body Text 2 Char"/>
    <w:basedOn w:val="59"/>
    <w:link w:val="46"/>
    <w:qFormat/>
    <w:locked/>
    <w:uiPriority w:val="99"/>
    <w:rPr>
      <w:kern w:val="2"/>
      <w:sz w:val="24"/>
    </w:rPr>
  </w:style>
  <w:style w:type="character" w:customStyle="1" w:styleId="94">
    <w:name w:val="HTML Preformatted Char"/>
    <w:basedOn w:val="59"/>
    <w:link w:val="48"/>
    <w:qFormat/>
    <w:locked/>
    <w:uiPriority w:val="99"/>
    <w:rPr>
      <w:rFonts w:ascii="宋体" w:eastAsia="宋体" w:cs="Times New Roman"/>
      <w:sz w:val="24"/>
      <w:szCs w:val="24"/>
    </w:rPr>
  </w:style>
  <w:style w:type="character" w:customStyle="1" w:styleId="95">
    <w:name w:val="Title Char"/>
    <w:basedOn w:val="59"/>
    <w:link w:val="51"/>
    <w:qFormat/>
    <w:locked/>
    <w:uiPriority w:val="99"/>
    <w:rPr>
      <w:rFonts w:ascii="Cambria" w:hAnsi="Cambria"/>
      <w:b/>
      <w:kern w:val="2"/>
      <w:sz w:val="32"/>
    </w:rPr>
  </w:style>
  <w:style w:type="character" w:customStyle="1" w:styleId="96">
    <w:name w:val="Comment Subject Char"/>
    <w:basedOn w:val="81"/>
    <w:link w:val="52"/>
    <w:qFormat/>
    <w:locked/>
    <w:uiPriority w:val="99"/>
    <w:rPr>
      <w:b/>
    </w:rPr>
  </w:style>
  <w:style w:type="character" w:customStyle="1" w:styleId="97">
    <w:name w:val="Body Text First Indent 2 Char"/>
    <w:basedOn w:val="83"/>
    <w:link w:val="55"/>
    <w:qFormat/>
    <w:locked/>
    <w:uiPriority w:val="99"/>
    <w:rPr>
      <w:kern w:val="2"/>
      <w:sz w:val="24"/>
      <w:szCs w:val="24"/>
    </w:rPr>
  </w:style>
  <w:style w:type="paragraph" w:customStyle="1" w:styleId="98">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8"/>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3"/>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4"/>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4"/>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3"/>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5"/>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8"/>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8"/>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8"/>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8"/>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8"/>
    <w:qFormat/>
    <w:uiPriority w:val="99"/>
    <w:pPr>
      <w:shd w:val="clear" w:color="auto" w:fill="000080"/>
    </w:pPr>
    <w:rPr>
      <w:rFonts w:ascii="Tahoma" w:hAnsi="Tahoma"/>
      <w:sz w:val="24"/>
      <w:szCs w:val="24"/>
    </w:rPr>
  </w:style>
  <w:style w:type="paragraph" w:customStyle="1" w:styleId="151">
    <w:name w:val="Char Char Char Char Char Char Char"/>
    <w:basedOn w:val="18"/>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8"/>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6"/>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59"/>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59"/>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59"/>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8"/>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59"/>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3"/>
    <w:qFormat/>
    <w:uiPriority w:val="99"/>
    <w:pPr>
      <w:spacing w:before="120" w:after="120" w:line="400" w:lineRule="exact"/>
    </w:pPr>
    <w:rPr>
      <w:rFonts w:ascii="黑体" w:hAnsi="黑体" w:cs="宋体"/>
      <w:bCs w:val="0"/>
      <w:sz w:val="32"/>
      <w:szCs w:val="20"/>
    </w:rPr>
  </w:style>
  <w:style w:type="paragraph" w:customStyle="1" w:styleId="221">
    <w:name w:val="样式2"/>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5"/>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3"/>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49"/>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4"/>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59"/>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6"/>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 w:type="paragraph" w:customStyle="1" w:styleId="269">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17</Pages>
  <Words>4065</Words>
  <Characters>4182</Characters>
  <Lines>0</Lines>
  <Paragraphs>0</Paragraphs>
  <TotalTime>5</TotalTime>
  <ScaleCrop>false</ScaleCrop>
  <LinksUpToDate>false</LinksUpToDate>
  <CharactersWithSpaces>4225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2025-11-17T08:42:00Z</cp:lastPrinted>
  <dcterms:modified xsi:type="dcterms:W3CDTF">2025-11-21T01:19:18Z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EC8B37B539974321AF4F90E56B7D6189_13</vt:lpwstr>
  </property>
  <property fmtid="{D5CDD505-2E9C-101B-9397-08002B2CF9AE}" pid="4" name="KSOTemplateDocerSaveRecord">
    <vt:lpwstr>eyJoZGlkIjoiZDg4NWM1ZjRlZmY3NmQ0YjJlYWI4ZGI0NmRkM2JiYjIiLCJ1c2VySWQiOiIxMDA4ODI3NDM3In0=</vt:lpwstr>
  </property>
</Properties>
</file>