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DAA4">
      <w:pPr>
        <w:pStyle w:val="4"/>
        <w:keepNext w:val="0"/>
        <w:keepLines w:val="0"/>
        <w:pageBreakBefore w:val="0"/>
        <w:kinsoku/>
        <w:wordWrap/>
        <w:overflowPunct/>
        <w:topLinePunct w:val="0"/>
        <w:autoSpaceDE/>
        <w:autoSpaceDN/>
        <w:bidi w:val="0"/>
        <w:adjustRightInd/>
        <w:snapToGrid/>
        <w:ind w:firstLine="0"/>
        <w:textAlignment w:val="auto"/>
        <w:outlineLvl w:val="2"/>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bookmarkStart w:id="0" w:name="_GoBack"/>
      <w:bookmarkEnd w:id="0"/>
    </w:p>
    <w:p w14:paraId="5C0EF7AB">
      <w:pPr>
        <w:keepNext w:val="0"/>
        <w:keepLines w:val="0"/>
        <w:pageBreakBefore w:val="0"/>
        <w:widowControl w:val="0"/>
        <w:kinsoku/>
        <w:wordWrap/>
        <w:overflowPunct/>
        <w:topLinePunct w:val="0"/>
        <w:autoSpaceDE/>
        <w:autoSpaceDN/>
        <w:bidi w:val="0"/>
        <w:adjustRightInd w:val="0"/>
        <w:snapToGrid/>
        <w:spacing w:line="620" w:lineRule="exact"/>
        <w:ind w:right="0"/>
        <w:jc w:val="center"/>
        <w:textAlignment w:val="auto"/>
        <w:outlineLvl w:val="9"/>
        <w:rPr>
          <w:rFonts w:hint="eastAsia" w:ascii="宋体" w:hAnsi="宋体" w:eastAsia="宋体" w:cs="宋体"/>
          <w:sz w:val="24"/>
          <w:szCs w:val="24"/>
        </w:rPr>
      </w:pPr>
    </w:p>
    <w:p w14:paraId="25D8331F">
      <w:pPr>
        <w:keepNext w:val="0"/>
        <w:keepLines w:val="0"/>
        <w:pageBreakBefore w:val="0"/>
        <w:widowControl w:val="0"/>
        <w:kinsoku/>
        <w:wordWrap/>
        <w:overflowPunct/>
        <w:topLinePunct w:val="0"/>
        <w:autoSpaceDE/>
        <w:autoSpaceDN/>
        <w:bidi w:val="0"/>
        <w:adjustRightInd w:val="0"/>
        <w:snapToGrid/>
        <w:spacing w:line="620" w:lineRule="exact"/>
        <w:ind w:right="0"/>
        <w:jc w:val="center"/>
        <w:textAlignment w:val="auto"/>
        <w:outlineLvl w:val="9"/>
        <w:rPr>
          <w:rFonts w:hint="eastAsia" w:ascii="宋体" w:hAnsi="宋体" w:eastAsia="宋体" w:cs="宋体"/>
          <w:sz w:val="24"/>
          <w:szCs w:val="24"/>
        </w:rPr>
      </w:pPr>
    </w:p>
    <w:p w14:paraId="7E3EA261">
      <w:pPr>
        <w:keepNext w:val="0"/>
        <w:keepLines w:val="0"/>
        <w:pageBreakBefore w:val="0"/>
        <w:widowControl w:val="0"/>
        <w:kinsoku/>
        <w:wordWrap/>
        <w:overflowPunct/>
        <w:topLinePunct w:val="0"/>
        <w:autoSpaceDE/>
        <w:autoSpaceDN/>
        <w:bidi w:val="0"/>
        <w:adjustRightInd w:val="0"/>
        <w:snapToGrid/>
        <w:spacing w:line="620" w:lineRule="exact"/>
        <w:ind w:right="0"/>
        <w:jc w:val="center"/>
        <w:textAlignment w:val="auto"/>
        <w:outlineLvl w:val="9"/>
        <w:rPr>
          <w:rFonts w:hint="eastAsia" w:ascii="宋体" w:hAnsi="宋体" w:eastAsia="宋体" w:cs="宋体"/>
          <w:sz w:val="24"/>
          <w:szCs w:val="24"/>
        </w:rPr>
      </w:pPr>
    </w:p>
    <w:p w14:paraId="2F7262EC">
      <w:pPr>
        <w:keepNext w:val="0"/>
        <w:keepLines w:val="0"/>
        <w:pageBreakBefore w:val="0"/>
        <w:widowControl w:val="0"/>
        <w:kinsoku/>
        <w:wordWrap/>
        <w:overflowPunct/>
        <w:topLinePunct w:val="0"/>
        <w:autoSpaceDE/>
        <w:autoSpaceDN/>
        <w:bidi w:val="0"/>
        <w:adjustRightInd w:val="0"/>
        <w:snapToGrid/>
        <w:spacing w:line="620" w:lineRule="exact"/>
        <w:ind w:right="0"/>
        <w:jc w:val="center"/>
        <w:textAlignment w:val="auto"/>
        <w:outlineLvl w:val="9"/>
        <w:rPr>
          <w:rFonts w:hint="eastAsia" w:ascii="Times New Roman" w:hAnsi="Times New Roman" w:eastAsia="方正小标宋简体" w:cs="Times New Roman"/>
          <w:b w:val="0"/>
          <w:bCs w:val="0"/>
          <w:sz w:val="44"/>
          <w:szCs w:val="44"/>
          <w:highlight w:val="none"/>
          <w:lang w:val="en-US" w:eastAsia="zh-CN"/>
        </w:rPr>
      </w:pPr>
      <w:r>
        <w:rPr>
          <w:rFonts w:hint="eastAsia" w:ascii="宋体" w:hAnsi="宋体" w:eastAsia="宋体" w:cs="宋体"/>
          <w:sz w:val="24"/>
          <w:szCs w:val="24"/>
        </w:rPr>
        <w:br w:type="textWrapping"/>
      </w:r>
      <w:r>
        <w:rPr>
          <w:rFonts w:hint="eastAsia" w:ascii="Times New Roman" w:hAnsi="Times New Roman" w:eastAsia="方正小标宋简体" w:cs="Times New Roman"/>
          <w:b w:val="0"/>
          <w:bCs w:val="0"/>
          <w:sz w:val="44"/>
          <w:szCs w:val="44"/>
          <w:highlight w:val="none"/>
          <w:lang w:val="en-US" w:eastAsia="zh-CN"/>
        </w:rPr>
        <w:t>四川省2025年基础软件（桌面操作系统、办公软件专业版(适配Linux平台)）</w:t>
      </w:r>
    </w:p>
    <w:p w14:paraId="706C16B8">
      <w:pPr>
        <w:keepNext w:val="0"/>
        <w:keepLines w:val="0"/>
        <w:pageBreakBefore w:val="0"/>
        <w:widowControl w:val="0"/>
        <w:kinsoku/>
        <w:wordWrap/>
        <w:overflowPunct/>
        <w:topLinePunct w:val="0"/>
        <w:autoSpaceDE/>
        <w:autoSpaceDN/>
        <w:bidi w:val="0"/>
        <w:adjustRightInd w:val="0"/>
        <w:snapToGrid/>
        <w:spacing w:line="620" w:lineRule="exact"/>
        <w:ind w:right="0"/>
        <w:jc w:val="center"/>
        <w:textAlignment w:val="auto"/>
        <w:outlineLvl w:val="9"/>
        <w:rPr>
          <w:rFonts w:hint="eastAsia" w:ascii="宋体" w:hAnsi="宋体" w:eastAsia="宋体" w:cs="宋体"/>
          <w:sz w:val="52"/>
          <w:szCs w:val="52"/>
        </w:rPr>
      </w:pPr>
      <w:r>
        <w:rPr>
          <w:rFonts w:hint="eastAsia" w:ascii="Times New Roman" w:hAnsi="Times New Roman" w:eastAsia="方正小标宋简体" w:cs="Times New Roman"/>
          <w:b w:val="0"/>
          <w:bCs w:val="0"/>
          <w:sz w:val="44"/>
          <w:szCs w:val="44"/>
          <w:highlight w:val="none"/>
          <w:lang w:val="en-US" w:eastAsia="zh-CN"/>
        </w:rPr>
        <w:t>开放式框架协议采购需求</w:t>
      </w:r>
    </w:p>
    <w:p w14:paraId="10352AD9">
      <w:pPr>
        <w:pStyle w:val="4"/>
        <w:keepNext w:val="0"/>
        <w:keepLines w:val="0"/>
        <w:pageBreakBefore w:val="0"/>
        <w:kinsoku/>
        <w:wordWrap/>
        <w:overflowPunct/>
        <w:topLinePunct w:val="0"/>
        <w:autoSpaceDE/>
        <w:autoSpaceDN/>
        <w:bidi w:val="0"/>
        <w:adjustRightInd/>
        <w:snapToGrid/>
        <w:spacing w:before="3000"/>
        <w:ind w:firstLine="0"/>
        <w:jc w:val="center"/>
        <w:textAlignment w:val="auto"/>
        <w:outlineLvl w:val="2"/>
        <w:rPr>
          <w:rFonts w:hint="eastAsia" w:ascii="宋体" w:hAnsi="宋体" w:eastAsia="宋体" w:cs="宋体"/>
          <w:b/>
          <w:sz w:val="24"/>
          <w:szCs w:val="24"/>
        </w:rPr>
      </w:pPr>
    </w:p>
    <w:p w14:paraId="721F3C6F">
      <w:pPr>
        <w:pStyle w:val="4"/>
        <w:keepNext w:val="0"/>
        <w:keepLines w:val="0"/>
        <w:pageBreakBefore w:val="0"/>
        <w:kinsoku/>
        <w:wordWrap/>
        <w:overflowPunct/>
        <w:topLinePunct w:val="0"/>
        <w:autoSpaceDE/>
        <w:autoSpaceDN/>
        <w:bidi w:val="0"/>
        <w:adjustRightInd/>
        <w:snapToGrid/>
        <w:spacing w:before="3000"/>
        <w:ind w:firstLine="0"/>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征集人：四川省政府采购中心</w:t>
      </w:r>
    </w:p>
    <w:p w14:paraId="6267F6CA">
      <w:pPr>
        <w:pStyle w:val="4"/>
        <w:keepNext w:val="0"/>
        <w:keepLines w:val="0"/>
        <w:pageBreakBefore w:val="0"/>
        <w:kinsoku/>
        <w:wordWrap/>
        <w:overflowPunct/>
        <w:topLinePunct w:val="0"/>
        <w:autoSpaceDE/>
        <w:autoSpaceDN/>
        <w:bidi w:val="0"/>
        <w:adjustRightInd/>
        <w:snapToGrid/>
        <w:ind w:firstLine="0"/>
        <w:jc w:val="center"/>
        <w:textAlignment w:val="auto"/>
        <w:outlineLvl w:val="2"/>
        <w:rPr>
          <w:rFonts w:hint="eastAsia" w:ascii="宋体" w:hAnsi="宋体" w:eastAsia="宋体" w:cs="宋体"/>
          <w:b/>
          <w:sz w:val="24"/>
          <w:szCs w:val="24"/>
        </w:rPr>
      </w:pPr>
      <w:r>
        <w:rPr>
          <w:rFonts w:hint="eastAsia" w:ascii="宋体" w:hAnsi="宋体" w:eastAsia="宋体" w:cs="宋体"/>
          <w:b/>
          <w:sz w:val="24"/>
          <w:szCs w:val="24"/>
        </w:rPr>
        <w:t>编制时间：202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年09月</w:t>
      </w:r>
      <w:r>
        <w:rPr>
          <w:rFonts w:hint="eastAsia" w:ascii="宋体" w:hAnsi="宋体" w:eastAsia="宋体" w:cs="宋体"/>
          <w:b/>
          <w:sz w:val="24"/>
          <w:szCs w:val="24"/>
          <w:lang w:val="en-US" w:eastAsia="zh-CN"/>
        </w:rPr>
        <w:t>5</w:t>
      </w:r>
      <w:r>
        <w:rPr>
          <w:rFonts w:hint="eastAsia" w:ascii="宋体" w:hAnsi="宋体" w:eastAsia="宋体" w:cs="宋体"/>
          <w:b/>
          <w:sz w:val="24"/>
          <w:szCs w:val="24"/>
        </w:rPr>
        <w:t>日</w:t>
      </w:r>
    </w:p>
    <w:p w14:paraId="6BA660D5">
      <w:pPr>
        <w:pStyle w:val="4"/>
        <w:keepNext w:val="0"/>
        <w:keepLines w:val="0"/>
        <w:pageBreakBefore w:val="0"/>
        <w:kinsoku/>
        <w:wordWrap/>
        <w:overflowPunct/>
        <w:topLinePunct w:val="0"/>
        <w:autoSpaceDE/>
        <w:autoSpaceDN/>
        <w:bidi w:val="0"/>
        <w:adjustRightInd/>
        <w:snapToGrid/>
        <w:ind w:firstLine="0"/>
        <w:jc w:val="center"/>
        <w:textAlignment w:val="auto"/>
        <w:outlineLvl w:val="2"/>
        <w:rPr>
          <w:rFonts w:hint="eastAsia" w:ascii="宋体" w:hAnsi="宋体" w:eastAsia="宋体" w:cs="宋体"/>
          <w:b/>
          <w:sz w:val="24"/>
          <w:szCs w:val="24"/>
        </w:rPr>
      </w:pPr>
    </w:p>
    <w:p w14:paraId="5F9913F0">
      <w:pPr>
        <w:rPr>
          <w:rFonts w:hint="eastAsia" w:ascii="宋体" w:hAnsi="宋体" w:eastAsia="宋体" w:cs="宋体"/>
          <w:b/>
          <w:sz w:val="24"/>
          <w:szCs w:val="24"/>
        </w:rPr>
      </w:pPr>
      <w:r>
        <w:rPr>
          <w:rFonts w:hint="eastAsia" w:ascii="宋体" w:hAnsi="宋体" w:eastAsia="宋体" w:cs="宋体"/>
          <w:b/>
          <w:sz w:val="24"/>
          <w:szCs w:val="24"/>
        </w:rPr>
        <w:br w:type="page"/>
      </w:r>
    </w:p>
    <w:p w14:paraId="016D9B8B">
      <w:pPr>
        <w:pStyle w:val="4"/>
        <w:keepNext w:val="0"/>
        <w:keepLines w:val="0"/>
        <w:pageBreakBefore w:val="0"/>
        <w:kinsoku/>
        <w:wordWrap/>
        <w:overflowPunct/>
        <w:topLinePunct w:val="0"/>
        <w:autoSpaceDE/>
        <w:autoSpaceDN/>
        <w:bidi w:val="0"/>
        <w:adjustRightInd/>
        <w:snapToGrid/>
        <w:ind w:firstLine="0"/>
        <w:jc w:val="center"/>
        <w:textAlignment w:val="auto"/>
        <w:outlineLvl w:val="2"/>
        <w:rPr>
          <w:rFonts w:hint="eastAsia" w:ascii="宋体" w:hAnsi="宋体" w:eastAsia="宋体" w:cs="宋体"/>
          <w:b/>
          <w:sz w:val="24"/>
          <w:szCs w:val="24"/>
        </w:rPr>
      </w:pPr>
    </w:p>
    <w:p w14:paraId="7E3D10DE">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sz w:val="24"/>
          <w:szCs w:val="24"/>
        </w:rPr>
      </w:pPr>
      <w:r>
        <w:rPr>
          <w:rFonts w:hint="eastAsia" w:ascii="宋体" w:hAnsi="宋体" w:eastAsia="宋体" w:cs="宋体"/>
          <w:b/>
          <w:sz w:val="24"/>
          <w:szCs w:val="24"/>
        </w:rPr>
        <w:t>一、总体情况</w:t>
      </w:r>
    </w:p>
    <w:p w14:paraId="54235EF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（一）项目编号： </w:t>
      </w:r>
      <w:r>
        <w:rPr>
          <w:rFonts w:hint="eastAsia" w:ascii="宋体" w:hAnsi="宋体" w:eastAsia="宋体" w:cs="宋体"/>
          <w:sz w:val="24"/>
          <w:szCs w:val="24"/>
          <w:lang w:val="en-US" w:eastAsia="zh-CN"/>
        </w:rPr>
        <w:t>/</w:t>
      </w:r>
    </w:p>
    <w:p w14:paraId="7FA9F88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（二）项目名称： 四川省202</w:t>
      </w:r>
      <w:r>
        <w:rPr>
          <w:rFonts w:hint="eastAsia" w:ascii="宋体" w:hAnsi="宋体" w:eastAsia="宋体" w:cs="宋体"/>
          <w:sz w:val="24"/>
          <w:szCs w:val="24"/>
          <w:lang w:val="en-US" w:eastAsia="zh-CN"/>
        </w:rPr>
        <w:t>5</w:t>
      </w:r>
      <w:r>
        <w:rPr>
          <w:rFonts w:hint="eastAsia" w:ascii="宋体" w:hAnsi="宋体" w:eastAsia="宋体" w:cs="宋体"/>
          <w:sz w:val="24"/>
          <w:szCs w:val="24"/>
        </w:rPr>
        <w:t>年基础软件（桌面操作系统、办公软件专业版(适配Linux平台)）框架协议采购</w:t>
      </w:r>
    </w:p>
    <w:p w14:paraId="1C75A1E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（三）项目所属分类： 货物类</w:t>
      </w:r>
    </w:p>
    <w:p w14:paraId="71669B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（四）项目概况：为满足各单位桌面操作系统、办公软件专业版(适配Linux平台)的需要。</w:t>
      </w:r>
    </w:p>
    <w:p w14:paraId="1FD14B6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（五）本项目符合《政府采购框架协议采购方式管理暂行办法》中“集中采购目录以内品目，以及与之配套的必要耗材、配件等，属于小额零星采购的”适用情形。</w:t>
      </w:r>
    </w:p>
    <w:p w14:paraId="487719A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理由描述：集中采购目录以内品目，以及与之配套的必要耗材、配件等，属于小额零星采购的。</w:t>
      </w:r>
    </w:p>
    <w:p w14:paraId="4F95348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（六）框架协议采购分类： 开放式框架协议采购</w:t>
      </w:r>
    </w:p>
    <w:p w14:paraId="118E68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选择开放式框架协议的理由： 对于集中采购目录以内品目，以及与之配套的必要耗材、配件等，属于小额零星采购的，因执行政府采购政策不宜淘汰供应商的，或者受基础设施、行政许可、知识产权等限制，供应商数量在3家以下且不宜淘汰供应商的</w:t>
      </w:r>
    </w:p>
    <w:p w14:paraId="7116B6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（七）框架协议期限：</w:t>
      </w:r>
    </w:p>
    <w:p w14:paraId="1A31A3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自框架协议签订之日起 1年 ，如框架协议期满，因新一期框架协议征集出现废标、质疑投诉等特殊情形，导致新一期框架协议不能按时签订的，本框架协议继续履行，直至新一期框架协议签订为止。</w:t>
      </w:r>
    </w:p>
    <w:p w14:paraId="78E7102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（八）采购人或服务对象范围：</w:t>
      </w:r>
    </w:p>
    <w:p w14:paraId="36B9DE7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1、征集人范围：</w:t>
      </w:r>
    </w:p>
    <w:tbl>
      <w:tblPr>
        <w:tblStyle w:val="2"/>
        <w:tblW w:w="9039" w:type="dxa"/>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2492"/>
        <w:gridCol w:w="2844"/>
        <w:gridCol w:w="3703"/>
      </w:tblGrid>
      <w:tr w14:paraId="7512CAA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616ABC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4058BB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C170A6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类型</w:t>
            </w:r>
          </w:p>
        </w:tc>
      </w:tr>
      <w:tr w14:paraId="4EC9166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3DCAB1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BB80068">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四川省四川省本级所属采购单位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029458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6DFAE84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7FB178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FE0079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四川省成都市所属采购单位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6B67E4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3610819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9B3A9F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C5B8D5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四川省自贡市所属采购单位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5325B9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2696675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4F4505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DCFE9B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四川省攀枝花市所属采购单位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CF3033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6A0DD63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8985C3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80192C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四川省泸州市所属采购单位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7B3E53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21CD2DC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725B70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893D36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四川省德阳市所属采购单位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09245D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2503E23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5C3EEE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8A1ABB5">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四川省绵阳市所属采购单位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F7605E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1CFFD62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0B771B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924C17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四川省广元市所属采购单位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5837E5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25330A5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1F7C35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B3D6DF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四川省遂宁市所属采购单位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40DAD7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66A1FC4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0E1056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3E20C9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四川省内江市所属采购单位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F4A207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454AD30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C7D430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A7D0A5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四川省乐山市所属采购单位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E0FCCF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7F2E9E6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074A59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F8E12B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四川省南充市所属采购单位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6282AC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09A5C6B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4C88306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01D516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四川省眉山市所属采购单位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D8FD23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3D5730E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D05E7C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67A576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四川省宜宾市所属采购单位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F6503D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4CAD426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BDB129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756841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四川省广安市所属采购单位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0108F7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64F4470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D88AB2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D067B1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四川省达州市所属采购单位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CB0AC2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1B9B731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A213F4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6CB149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四川省雅安市所属采购单位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D27E79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761810A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8EA73B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82B4886">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四川省巴中市所属采购单位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7C0D966">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0A6E8AE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4AFB863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2CA1D3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四川省资阳市所属采购单位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C33180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5C4214F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00CE2C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06CAD7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四川省阿坝藏族羌族自治州所属采购单位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D4DD1C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426E269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34D8A4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B77777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四川省甘孜藏族自治州所属采购单位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F31AEB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r w14:paraId="35ECFEC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B4DC4E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844"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FFE8C4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四川省凉山彝族自治州所属采购单位</w:t>
            </w:r>
          </w:p>
        </w:tc>
        <w:tc>
          <w:tcPr>
            <w:tcW w:w="370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0F8089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行政区划</w:t>
            </w:r>
          </w:p>
        </w:tc>
      </w:tr>
    </w:tbl>
    <w:p w14:paraId="4E8B494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（九）确定第二阶段成交供应商方式的限额：</w:t>
      </w:r>
    </w:p>
    <w:p w14:paraId="04063E2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当二阶段两种成交方式都选择时，采购计划金额小于二十万的项目，可选择直接选定或二次竞价方式确定成交供应商，采购计划金额大于等于二十万的项目，通过二次竞价方式确定成交供应商。如果只选择直接选定或是二次竞价，则不做金额限制。</w:t>
      </w:r>
    </w:p>
    <w:p w14:paraId="13C71126">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、采购实施计划</w:t>
      </w:r>
    </w:p>
    <w:p w14:paraId="6740CEE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（一）采购组织形式：集中采购</w:t>
      </w:r>
    </w:p>
    <w:p w14:paraId="41EF910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（二）采购方式：框架协议</w:t>
      </w:r>
    </w:p>
    <w:p w14:paraId="3ED0FEA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（三）入围供应商清退和补充规则：</w:t>
      </w:r>
    </w:p>
    <w:p w14:paraId="64C0664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1．入围供应商清退规则：</w:t>
      </w:r>
    </w:p>
    <w:p w14:paraId="65FD750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入围供应商有下列情形之一，尚未签订框架协议的，取消其入围资格；已经签订框架协议的，解除与其签订的框架协议：</w:t>
      </w:r>
    </w:p>
    <w:p w14:paraId="7F8ED2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 恶意串通谋取入围或者合同成交的；</w:t>
      </w:r>
    </w:p>
    <w:p w14:paraId="1CD8D9E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2) 提供虚假材料谋取入围或者合同成交的；</w:t>
      </w:r>
    </w:p>
    <w:p w14:paraId="3B0375A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3) 无正当理由拒不接受合同授予的；</w:t>
      </w:r>
    </w:p>
    <w:p w14:paraId="78D7747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4) 不履行合同义务或者履行合同义务不符合约定，经采购人请求履行后仍不履行或者仍未按约定履行的；</w:t>
      </w:r>
    </w:p>
    <w:p w14:paraId="071205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5) 框架协议有效期内，因违法行为被禁止或限制参加政府采购活动的；</w:t>
      </w:r>
    </w:p>
    <w:p w14:paraId="06FCA51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6) 出现供应商信用管理规定的应当清退的情形。</w:t>
      </w:r>
    </w:p>
    <w:p w14:paraId="17C4CC9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 将政府采购合同转包；</w:t>
      </w:r>
    </w:p>
    <w:p w14:paraId="7499104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(2) 提供假冒伪劣产品；</w:t>
      </w:r>
    </w:p>
    <w:p w14:paraId="5B4E6D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(3) 向采购人行贿或者提供其他不正当利益；</w:t>
      </w:r>
    </w:p>
    <w:p w14:paraId="2BADBB7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(4) 拒绝财政部门监督检查或者提供虚假情况；</w:t>
      </w:r>
    </w:p>
    <w:p w14:paraId="20D289F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(5) 干扰、扰乱系统正常使用，包括但不限于爬取、篡改、利用漏洞的行为；</w:t>
      </w:r>
    </w:p>
    <w:p w14:paraId="513CEE1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(6) 出现供应商信用管理规定的应当清退出库的其他情形；</w:t>
      </w:r>
    </w:p>
    <w:p w14:paraId="4E798A9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被取消入围资格或者被解除框架协议的供应商不得重新申请加入同一开放式框架协议。</w:t>
      </w:r>
    </w:p>
    <w:p w14:paraId="2A50D34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（四）执行政府采购促进中小企业发展的相关政策</w:t>
      </w:r>
    </w:p>
    <w:p w14:paraId="2FF30E6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不专门面向中小企业采购</w:t>
      </w:r>
    </w:p>
    <w:p w14:paraId="2A604B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color w:val="000000"/>
          <w:sz w:val="24"/>
          <w:szCs w:val="24"/>
        </w:rPr>
        <w:t>不专门面向的原因：</w:t>
      </w:r>
      <w:r>
        <w:rPr>
          <w:rFonts w:hint="eastAsia" w:ascii="宋体" w:hAnsi="宋体" w:eastAsia="宋体" w:cs="宋体"/>
          <w:sz w:val="24"/>
          <w:szCs w:val="24"/>
        </w:rPr>
        <w:t>框架协议采购项目</w:t>
      </w:r>
    </w:p>
    <w:p w14:paraId="08A17B2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i/>
          <w:sz w:val="24"/>
          <w:szCs w:val="24"/>
        </w:rPr>
        <w:t>注：监狱企业和残疾人福利单位视同小微企业。</w:t>
      </w:r>
    </w:p>
    <w:p w14:paraId="5085051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（五）采购人可以将合同授予非入围供应商</w:t>
      </w:r>
    </w:p>
    <w:p w14:paraId="4E0645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3939655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（六）联合征集二阶段成交结果公告发布：</w:t>
      </w:r>
    </w:p>
    <w:p w14:paraId="1D6405A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第二阶段单个成交结果由各属地采购中心发布，汇总成交结果由征集人发布，均由系统自动生成、汇总。</w:t>
      </w:r>
    </w:p>
    <w:p w14:paraId="11D1F7D3">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、采购需求及分包情况、采购标的</w:t>
      </w:r>
    </w:p>
    <w:p w14:paraId="63334595">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sz w:val="24"/>
          <w:szCs w:val="24"/>
        </w:rPr>
      </w:pPr>
      <w:r>
        <w:rPr>
          <w:rFonts w:hint="eastAsia" w:ascii="宋体" w:hAnsi="宋体" w:eastAsia="宋体" w:cs="宋体"/>
          <w:b/>
          <w:sz w:val="24"/>
          <w:szCs w:val="24"/>
        </w:rPr>
        <w:t>（一）分包名称：包1</w:t>
      </w:r>
    </w:p>
    <w:p w14:paraId="54BD760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1.采购标的：操作系统</w:t>
      </w:r>
    </w:p>
    <w:p w14:paraId="4908704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2.需求明细</w:t>
      </w:r>
    </w:p>
    <w:p w14:paraId="26DA5E3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1）标的名称：桌面操作系统</w:t>
      </w:r>
    </w:p>
    <w:p w14:paraId="468A1D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2）计量单位：套</w:t>
      </w:r>
    </w:p>
    <w:p w14:paraId="65DB003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3）是否强制采购节能产品： 否</w:t>
      </w:r>
    </w:p>
    <w:p w14:paraId="4BA2056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4）是否优先采购节能环保产品： 否</w:t>
      </w:r>
    </w:p>
    <w:p w14:paraId="69B771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5）是否采购进口产品： 否</w:t>
      </w:r>
    </w:p>
    <w:p w14:paraId="4A358B1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6）标的物所属行业：软件和信息技术服务业</w:t>
      </w:r>
    </w:p>
    <w:p w14:paraId="522DA52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3.拟采购标的的技术要求：</w:t>
      </w:r>
    </w:p>
    <w:tbl>
      <w:tblPr>
        <w:tblStyle w:val="2"/>
        <w:tblW w:w="10177" w:type="dxa"/>
        <w:tblInd w:w="-96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623"/>
        <w:gridCol w:w="877"/>
        <w:gridCol w:w="1050"/>
        <w:gridCol w:w="842"/>
        <w:gridCol w:w="785"/>
        <w:gridCol w:w="992"/>
        <w:gridCol w:w="3969"/>
        <w:gridCol w:w="1039"/>
      </w:tblGrid>
      <w:tr w14:paraId="0EB06A2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58508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877" w:type="dxa"/>
            <w:vAlign w:val="center"/>
          </w:tcPr>
          <w:p w14:paraId="62176F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技术要求</w:t>
            </w:r>
          </w:p>
        </w:tc>
        <w:tc>
          <w:tcPr>
            <w:tcW w:w="1050" w:type="dxa"/>
            <w:vAlign w:val="center"/>
          </w:tcPr>
          <w:p w14:paraId="1EBAC7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技术</w:t>
            </w:r>
          </w:p>
          <w:p w14:paraId="24251E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w:t>
            </w:r>
          </w:p>
        </w:tc>
        <w:tc>
          <w:tcPr>
            <w:tcW w:w="842" w:type="dxa"/>
            <w:vAlign w:val="center"/>
          </w:tcPr>
          <w:p w14:paraId="4093AC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85" w:type="dxa"/>
            <w:vAlign w:val="center"/>
          </w:tcPr>
          <w:p w14:paraId="6CAC0C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参数符号</w:t>
            </w:r>
          </w:p>
        </w:tc>
        <w:tc>
          <w:tcPr>
            <w:tcW w:w="992" w:type="dxa"/>
            <w:vAlign w:val="center"/>
          </w:tcPr>
          <w:p w14:paraId="33069C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参数值规则</w:t>
            </w:r>
          </w:p>
        </w:tc>
        <w:tc>
          <w:tcPr>
            <w:tcW w:w="3969" w:type="dxa"/>
            <w:vAlign w:val="center"/>
          </w:tcPr>
          <w:p w14:paraId="11D493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参数值</w:t>
            </w:r>
          </w:p>
        </w:tc>
        <w:tc>
          <w:tcPr>
            <w:tcW w:w="1039" w:type="dxa"/>
            <w:vAlign w:val="center"/>
          </w:tcPr>
          <w:p w14:paraId="1B9867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参数值偏离规则</w:t>
            </w:r>
          </w:p>
        </w:tc>
      </w:tr>
      <w:tr w14:paraId="4DC3499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2AF73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77" w:type="dxa"/>
            <w:vAlign w:val="center"/>
          </w:tcPr>
          <w:p w14:paraId="451946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24EE91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防火墙工具基本要求</w:t>
            </w:r>
          </w:p>
        </w:tc>
        <w:tc>
          <w:tcPr>
            <w:tcW w:w="842" w:type="dxa"/>
            <w:vAlign w:val="center"/>
          </w:tcPr>
          <w:p w14:paraId="422B84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F1C2EF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32065C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73C5B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操作系统支持开启或关闭防火墙； 支持添加防火墙规则，至少包括名称、协议、地址和端口； 提供不同场景下的缺省防火墙配置，如公共、专用和自定义； 支持不同的访问策略，包括允许、拒绝。</w:t>
            </w:r>
          </w:p>
        </w:tc>
        <w:tc>
          <w:tcPr>
            <w:tcW w:w="1039" w:type="dxa"/>
            <w:vAlign w:val="center"/>
          </w:tcPr>
          <w:p w14:paraId="4172E2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76EF12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88371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77" w:type="dxa"/>
            <w:vAlign w:val="center"/>
          </w:tcPr>
          <w:p w14:paraId="094B04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A15D9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强制访问控制</w:t>
            </w:r>
          </w:p>
        </w:tc>
        <w:tc>
          <w:tcPr>
            <w:tcW w:w="842" w:type="dxa"/>
            <w:vAlign w:val="center"/>
          </w:tcPr>
          <w:p w14:paraId="442950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182EF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7FD933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4BF86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操作系统支持对应用程序的访问控制与资源限制，包括对文件、网络等客体的访问控制； 支持应用安装控制、应用执行控制。</w:t>
            </w:r>
          </w:p>
        </w:tc>
        <w:tc>
          <w:tcPr>
            <w:tcW w:w="1039" w:type="dxa"/>
            <w:vAlign w:val="center"/>
          </w:tcPr>
          <w:p w14:paraId="727BF4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0085F4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7F2AD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877" w:type="dxa"/>
            <w:vAlign w:val="center"/>
          </w:tcPr>
          <w:p w14:paraId="454E6F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1106E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自主访问控制</w:t>
            </w:r>
          </w:p>
        </w:tc>
        <w:tc>
          <w:tcPr>
            <w:tcW w:w="842" w:type="dxa"/>
            <w:vAlign w:val="center"/>
          </w:tcPr>
          <w:p w14:paraId="4414BD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1F9AB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E0109B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67267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允许客体拥有者以普通账户决定并控制对客体的访问，并阻止非授权账户对客体的访问普通用户缺省拥有新建、读写和删除私有目录下文件的权限； 支持细粒度的自主访问控制，将访问控制的粒度控制在指定账户，对系统中的每一个客体，实现由客体拥有者以指定账户方式确定其对该客体的访问权限，而其他同组账户或非同组的账户和用户组对该客体的访问权则由客体拥有者授予。</w:t>
            </w:r>
          </w:p>
        </w:tc>
        <w:tc>
          <w:tcPr>
            <w:tcW w:w="1039" w:type="dxa"/>
            <w:vAlign w:val="center"/>
          </w:tcPr>
          <w:p w14:paraId="4C43FAE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FF2C29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29A29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77" w:type="dxa"/>
            <w:vAlign w:val="center"/>
          </w:tcPr>
          <w:p w14:paraId="4C77D0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871BC2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中断处理</w:t>
            </w:r>
          </w:p>
        </w:tc>
        <w:tc>
          <w:tcPr>
            <w:tcW w:w="842" w:type="dxa"/>
            <w:vAlign w:val="center"/>
          </w:tcPr>
          <w:p w14:paraId="536513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FD9BF4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1F1E57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5252F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硬件中断号和软件中断号的映射、注册和处理；支持高精度时钟中断、类软中断和类tasklet下半部中断处理；支持中断使能、屏蔽、亲和力处理以及中断抢占；支持中断工作队列处理，包括工作队列创建、初始化、调度和回收等。</w:t>
            </w:r>
          </w:p>
        </w:tc>
        <w:tc>
          <w:tcPr>
            <w:tcW w:w="1039" w:type="dxa"/>
            <w:vAlign w:val="center"/>
          </w:tcPr>
          <w:p w14:paraId="13CA22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2E6861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2C2E4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77" w:type="dxa"/>
            <w:vAlign w:val="center"/>
          </w:tcPr>
          <w:p w14:paraId="343DFD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D275B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代码无风险</w:t>
            </w:r>
          </w:p>
        </w:tc>
        <w:tc>
          <w:tcPr>
            <w:tcW w:w="842" w:type="dxa"/>
            <w:vAlign w:val="center"/>
          </w:tcPr>
          <w:p w14:paraId="093A59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B5F61A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EADE95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81EE0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操作系统厂商可提供源代码，源代码可供第三方机构审查，开源许可合规，代码知识产权无风险，无恶意安全漏洞或后门，代码可追溯、可重构</w:t>
            </w:r>
          </w:p>
        </w:tc>
        <w:tc>
          <w:tcPr>
            <w:tcW w:w="1039" w:type="dxa"/>
            <w:vAlign w:val="center"/>
          </w:tcPr>
          <w:p w14:paraId="2255FE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9B0CC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B9A53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877" w:type="dxa"/>
            <w:vAlign w:val="center"/>
          </w:tcPr>
          <w:p w14:paraId="6229DE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50452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系统升级</w:t>
            </w:r>
          </w:p>
        </w:tc>
        <w:tc>
          <w:tcPr>
            <w:tcW w:w="842" w:type="dxa"/>
            <w:vAlign w:val="center"/>
          </w:tcPr>
          <w:p w14:paraId="2F0380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6C3EC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10FEF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BD3EC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操作系统支持系统增量升级功能，对系统部件、安全补丁等升级； 支持在线升级和离线升级； 升级不得修改破坏用户数据； 升级不得影响原有软硬件兼容性； 提供升级回退机制，能卸载已升级的软件包，恢复系统原有状态； 如升级为不可回退，则系统升级前以显式的提示告知用户。</w:t>
            </w:r>
          </w:p>
        </w:tc>
        <w:tc>
          <w:tcPr>
            <w:tcW w:w="1039" w:type="dxa"/>
            <w:vAlign w:val="center"/>
          </w:tcPr>
          <w:p w14:paraId="15DACB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416E46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35910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877" w:type="dxa"/>
            <w:vAlign w:val="center"/>
          </w:tcPr>
          <w:p w14:paraId="22367F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0D194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备份还原</w:t>
            </w:r>
          </w:p>
        </w:tc>
        <w:tc>
          <w:tcPr>
            <w:tcW w:w="842" w:type="dxa"/>
            <w:vAlign w:val="center"/>
          </w:tcPr>
          <w:p w14:paraId="0307BE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2991DC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8EDC12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49490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操作系统提供备份还原功能： 支持系统的备份和还原； 支持全盘备份到外部存储设备； 支持还原到指定备份点； 支持保留用户数据的系统还原； 支持系统无法正常进入状态时，可对系统进行还原。</w:t>
            </w:r>
          </w:p>
        </w:tc>
        <w:tc>
          <w:tcPr>
            <w:tcW w:w="1039" w:type="dxa"/>
            <w:vAlign w:val="center"/>
          </w:tcPr>
          <w:p w14:paraId="71C0AB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CF279F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0782F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877" w:type="dxa"/>
            <w:vAlign w:val="center"/>
          </w:tcPr>
          <w:p w14:paraId="2BE4B8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D8D09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网络管理</w:t>
            </w:r>
          </w:p>
        </w:tc>
        <w:tc>
          <w:tcPr>
            <w:tcW w:w="842" w:type="dxa"/>
            <w:vAlign w:val="center"/>
          </w:tcPr>
          <w:p w14:paraId="0CA651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F15098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AD530A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A8503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支持图形化显示； 支持DNS设置； 支持IPV4/IPV6地址配置； 支持自动获取网络地址； 支持网关设置； 支持手动/自动设置网络代理服务器， 支持HTTP、HTTPS、FTP、SOCKS等多种协议； 支持无线网络管理，包括连接或断开网络、配置口令、手动刷新无线热点列表等； 支持个人热点共享，包括有线、无线网络生成的网络热点； 支持L2TP、PPTP、OpenVPN、StrongSwan类型的VPN连接，支持新增、导入、编辑和删除连接配置，支持启用或禁用VPN自动连接。</w:t>
            </w:r>
          </w:p>
        </w:tc>
        <w:tc>
          <w:tcPr>
            <w:tcW w:w="1039" w:type="dxa"/>
            <w:vAlign w:val="center"/>
          </w:tcPr>
          <w:p w14:paraId="06594E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A39658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8E4A7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877" w:type="dxa"/>
            <w:vAlign w:val="center"/>
          </w:tcPr>
          <w:p w14:paraId="4522B6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F7539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同源兼容多CPU平台架构</w:t>
            </w:r>
          </w:p>
        </w:tc>
        <w:tc>
          <w:tcPr>
            <w:tcW w:w="842" w:type="dxa"/>
            <w:vAlign w:val="center"/>
          </w:tcPr>
          <w:p w14:paraId="2FC26D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A1DA14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F70E9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39740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操作系统同源兼容ARM、LoongArch、MIPS、SW64、x86等平台架构的CPU</w:t>
            </w:r>
          </w:p>
        </w:tc>
        <w:tc>
          <w:tcPr>
            <w:tcW w:w="1039" w:type="dxa"/>
            <w:vAlign w:val="center"/>
          </w:tcPr>
          <w:p w14:paraId="18D988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A3979E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D6C8F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877" w:type="dxa"/>
            <w:vAlign w:val="center"/>
          </w:tcPr>
          <w:p w14:paraId="08C7B7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180DE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多核支持</w:t>
            </w:r>
          </w:p>
        </w:tc>
        <w:tc>
          <w:tcPr>
            <w:tcW w:w="842" w:type="dxa"/>
            <w:vAlign w:val="center"/>
          </w:tcPr>
          <w:p w14:paraId="192EB3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83AE7F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CA3A68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B964F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操作系统支持双核及多核处理器，支持核间负载均衡、线程绑定，并提供系统多核访问及调度接口</w:t>
            </w:r>
          </w:p>
        </w:tc>
        <w:tc>
          <w:tcPr>
            <w:tcW w:w="1039" w:type="dxa"/>
            <w:vAlign w:val="center"/>
          </w:tcPr>
          <w:p w14:paraId="373E6A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297A5D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63DC9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877" w:type="dxa"/>
            <w:vAlign w:val="center"/>
          </w:tcPr>
          <w:p w14:paraId="6C46EB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E3519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CPU虚拟化支持</w:t>
            </w:r>
          </w:p>
        </w:tc>
        <w:tc>
          <w:tcPr>
            <w:tcW w:w="842" w:type="dxa"/>
            <w:vAlign w:val="center"/>
          </w:tcPr>
          <w:p w14:paraId="3437F9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3A4FA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1F4F63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E05E9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操作系统支持CPU虚拟化技术</w:t>
            </w:r>
          </w:p>
        </w:tc>
        <w:tc>
          <w:tcPr>
            <w:tcW w:w="1039" w:type="dxa"/>
            <w:vAlign w:val="center"/>
          </w:tcPr>
          <w:p w14:paraId="0C8C71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F6A86B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1873E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877" w:type="dxa"/>
            <w:vAlign w:val="center"/>
          </w:tcPr>
          <w:p w14:paraId="6858F2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DF11D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动态调节CPU运行频率</w:t>
            </w:r>
          </w:p>
        </w:tc>
        <w:tc>
          <w:tcPr>
            <w:tcW w:w="842" w:type="dxa"/>
            <w:vAlign w:val="center"/>
          </w:tcPr>
          <w:p w14:paraId="71FCCC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ABA1BA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B0CB19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952C8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操作系统根据负载情况，自动调节CPU的运行频率</w:t>
            </w:r>
          </w:p>
        </w:tc>
        <w:tc>
          <w:tcPr>
            <w:tcW w:w="1039" w:type="dxa"/>
            <w:vAlign w:val="center"/>
          </w:tcPr>
          <w:p w14:paraId="769410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030E17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008AC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877" w:type="dxa"/>
            <w:vAlign w:val="center"/>
          </w:tcPr>
          <w:p w14:paraId="1F9DAA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FDE82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支持CPU内置安全功能</w:t>
            </w:r>
          </w:p>
        </w:tc>
        <w:tc>
          <w:tcPr>
            <w:tcW w:w="842" w:type="dxa"/>
            <w:vAlign w:val="center"/>
          </w:tcPr>
          <w:p w14:paraId="655C9B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BE6DA9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4A6AE5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775ED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操作系统支持CPU硬件密码运算与随机数生成等功能，并提供标准接口供应用程序调用</w:t>
            </w:r>
          </w:p>
        </w:tc>
        <w:tc>
          <w:tcPr>
            <w:tcW w:w="1039" w:type="dxa"/>
            <w:vAlign w:val="center"/>
          </w:tcPr>
          <w:p w14:paraId="631EB5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C2F53E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88433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877" w:type="dxa"/>
            <w:vAlign w:val="center"/>
          </w:tcPr>
          <w:p w14:paraId="1082F6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86249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双硬盘安装</w:t>
            </w:r>
          </w:p>
        </w:tc>
        <w:tc>
          <w:tcPr>
            <w:tcW w:w="842" w:type="dxa"/>
            <w:vAlign w:val="center"/>
          </w:tcPr>
          <w:p w14:paraId="4DED16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FD6B40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DED873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B3ADF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当计算机同时存在固态硬盘和机械硬盘时，自动分区优先将系统盘（或分区）设置在固态硬盘，优先将数据盘（或分区）设置在机械硬盘</w:t>
            </w:r>
          </w:p>
        </w:tc>
        <w:tc>
          <w:tcPr>
            <w:tcW w:w="1039" w:type="dxa"/>
            <w:vAlign w:val="center"/>
          </w:tcPr>
          <w:p w14:paraId="0D8F07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22F646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293AC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877" w:type="dxa"/>
            <w:vAlign w:val="center"/>
          </w:tcPr>
          <w:p w14:paraId="27EE38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C0EAD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多系统安装</w:t>
            </w:r>
          </w:p>
        </w:tc>
        <w:tc>
          <w:tcPr>
            <w:tcW w:w="842" w:type="dxa"/>
            <w:vAlign w:val="center"/>
          </w:tcPr>
          <w:p w14:paraId="2CE9FD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1001766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93281E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AA9D0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操作系统能够识别已安装的其他系统，可自动复用引导分区等，并实现多系统引导</w:t>
            </w:r>
          </w:p>
        </w:tc>
        <w:tc>
          <w:tcPr>
            <w:tcW w:w="1039" w:type="dxa"/>
            <w:vAlign w:val="center"/>
          </w:tcPr>
          <w:p w14:paraId="7B549F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A6E263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64488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877" w:type="dxa"/>
            <w:vAlign w:val="center"/>
          </w:tcPr>
          <w:p w14:paraId="7B38F2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C0FC6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加密</w:t>
            </w:r>
          </w:p>
        </w:tc>
        <w:tc>
          <w:tcPr>
            <w:tcW w:w="842" w:type="dxa"/>
            <w:vAlign w:val="center"/>
          </w:tcPr>
          <w:p w14:paraId="7D3717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7C5E16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917CE6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D07A4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操作系统应提供基于分区的用户数据加密功能，保护用户存储区数据安全</w:t>
            </w:r>
          </w:p>
        </w:tc>
        <w:tc>
          <w:tcPr>
            <w:tcW w:w="1039" w:type="dxa"/>
            <w:vAlign w:val="center"/>
          </w:tcPr>
          <w:p w14:paraId="2F25E2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E790A2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D091C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877" w:type="dxa"/>
            <w:vAlign w:val="center"/>
          </w:tcPr>
          <w:p w14:paraId="5FA1682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820AD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初始化备份</w:t>
            </w:r>
          </w:p>
        </w:tc>
        <w:tc>
          <w:tcPr>
            <w:tcW w:w="842" w:type="dxa"/>
            <w:vAlign w:val="center"/>
          </w:tcPr>
          <w:p w14:paraId="5AB246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8B128B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E93975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B7667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操作系统应提供用户备份初始系统环境的功能</w:t>
            </w:r>
          </w:p>
        </w:tc>
        <w:tc>
          <w:tcPr>
            <w:tcW w:w="1039" w:type="dxa"/>
            <w:vAlign w:val="center"/>
          </w:tcPr>
          <w:p w14:paraId="36222C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8B3CCE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A1F65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877" w:type="dxa"/>
            <w:vAlign w:val="center"/>
          </w:tcPr>
          <w:p w14:paraId="11E83A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FE452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保留用户数据</w:t>
            </w:r>
          </w:p>
        </w:tc>
        <w:tc>
          <w:tcPr>
            <w:tcW w:w="842" w:type="dxa"/>
            <w:vAlign w:val="center"/>
          </w:tcPr>
          <w:p w14:paraId="759D85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83307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FABE9E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8E3B2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用户重装操作系统时提供保留用户数据的功能</w:t>
            </w:r>
          </w:p>
        </w:tc>
        <w:tc>
          <w:tcPr>
            <w:tcW w:w="1039" w:type="dxa"/>
            <w:vAlign w:val="center"/>
          </w:tcPr>
          <w:p w14:paraId="5AE51B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F220A4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7A49A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877" w:type="dxa"/>
            <w:vAlign w:val="center"/>
          </w:tcPr>
          <w:p w14:paraId="117073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75F4E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系统-引导模式</w:t>
            </w:r>
          </w:p>
        </w:tc>
        <w:tc>
          <w:tcPr>
            <w:tcW w:w="842" w:type="dxa"/>
            <w:vAlign w:val="center"/>
          </w:tcPr>
          <w:p w14:paraId="360EF0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F1EC2B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90FDA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AD9C1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操作系统应支持UEFI2.0及以上规范固件引导： a）当计算机以UEFI模式启动安装时，安装程序应分配ESP，并在ESP中放置启动引导文件，使操作系统能以UEFI模式引导； b)当计算机固件不支持UEFI模式时， 安装程序根据计算机固件提供的引导方式，安装系统引导代码或配置系统引导选单，使安装完的系统可以正常引导。</w:t>
            </w:r>
          </w:p>
        </w:tc>
        <w:tc>
          <w:tcPr>
            <w:tcW w:w="1039" w:type="dxa"/>
            <w:vAlign w:val="center"/>
          </w:tcPr>
          <w:p w14:paraId="123988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218A71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91E5B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877" w:type="dxa"/>
            <w:vAlign w:val="center"/>
          </w:tcPr>
          <w:p w14:paraId="36C7B8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1C58E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系统-引导修复</w:t>
            </w:r>
          </w:p>
        </w:tc>
        <w:tc>
          <w:tcPr>
            <w:tcW w:w="842" w:type="dxa"/>
            <w:vAlign w:val="center"/>
          </w:tcPr>
          <w:p w14:paraId="6EEEF9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91019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71E09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9D91B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安装程序提供系统引导修复功能，当已安装的操作系统引导被破坏时，可重建系统引导</w:t>
            </w:r>
          </w:p>
        </w:tc>
        <w:tc>
          <w:tcPr>
            <w:tcW w:w="1039" w:type="dxa"/>
            <w:vAlign w:val="center"/>
          </w:tcPr>
          <w:p w14:paraId="4E2849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86F064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529AA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877" w:type="dxa"/>
            <w:vAlign w:val="center"/>
          </w:tcPr>
          <w:p w14:paraId="54EECE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0A7021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图形化显示</w:t>
            </w:r>
          </w:p>
        </w:tc>
        <w:tc>
          <w:tcPr>
            <w:tcW w:w="842" w:type="dxa"/>
            <w:vAlign w:val="center"/>
          </w:tcPr>
          <w:p w14:paraId="61E332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B78759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AFB7D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3988F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操作系统应提供安装过程图形化显示</w:t>
            </w:r>
          </w:p>
        </w:tc>
        <w:tc>
          <w:tcPr>
            <w:tcW w:w="1039" w:type="dxa"/>
            <w:vAlign w:val="center"/>
          </w:tcPr>
          <w:p w14:paraId="71EC85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9A92D9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8912B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877" w:type="dxa"/>
            <w:vAlign w:val="center"/>
          </w:tcPr>
          <w:p w14:paraId="5A51FF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E1A2D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安装提示</w:t>
            </w:r>
          </w:p>
        </w:tc>
        <w:tc>
          <w:tcPr>
            <w:tcW w:w="842" w:type="dxa"/>
            <w:vAlign w:val="center"/>
          </w:tcPr>
          <w:p w14:paraId="5A69A5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9B14C5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31BCC1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F6369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操作系统在安装执行前明确提示用户可能会删除已有数据，并提供退出或取消功能； 当用户取消安装时，不改变硬盘上已有数据； 如用户自定义的某些配置可能会影响后续的正常使用，予以明确提示。</w:t>
            </w:r>
          </w:p>
        </w:tc>
        <w:tc>
          <w:tcPr>
            <w:tcW w:w="1039" w:type="dxa"/>
            <w:vAlign w:val="center"/>
          </w:tcPr>
          <w:p w14:paraId="404210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F5C9DF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8F96A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877" w:type="dxa"/>
            <w:vAlign w:val="center"/>
          </w:tcPr>
          <w:p w14:paraId="04D7B8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BF51C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分辨率自适应</w:t>
            </w:r>
          </w:p>
        </w:tc>
        <w:tc>
          <w:tcPr>
            <w:tcW w:w="842" w:type="dxa"/>
            <w:vAlign w:val="center"/>
          </w:tcPr>
          <w:p w14:paraId="033539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94E6E0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6C3DA6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1670B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操作系统安装完成后自动适配显示器最佳分辨率</w:t>
            </w:r>
          </w:p>
        </w:tc>
        <w:tc>
          <w:tcPr>
            <w:tcW w:w="1039" w:type="dxa"/>
            <w:vAlign w:val="center"/>
          </w:tcPr>
          <w:p w14:paraId="468378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E17CA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E896A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877" w:type="dxa"/>
            <w:vAlign w:val="center"/>
          </w:tcPr>
          <w:p w14:paraId="4D6885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6B627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系统-内核要求</w:t>
            </w:r>
          </w:p>
        </w:tc>
        <w:tc>
          <w:tcPr>
            <w:tcW w:w="842" w:type="dxa"/>
            <w:vAlign w:val="center"/>
          </w:tcPr>
          <w:p w14:paraId="06BB12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10D7E8F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1F121F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0EB1F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a)若操作系统是基于Linux内核的微型计算机操作系统应兼容5.4版内核主要功能，包括进程管理、内存管理、任务调度、中断处理、并发与同步处理等b)若操作系统属于其他类型内核不做要求</w:t>
            </w:r>
          </w:p>
        </w:tc>
        <w:tc>
          <w:tcPr>
            <w:tcW w:w="1039" w:type="dxa"/>
            <w:vAlign w:val="center"/>
          </w:tcPr>
          <w:p w14:paraId="645CF4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C1C4AE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9B65F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877" w:type="dxa"/>
            <w:vAlign w:val="center"/>
          </w:tcPr>
          <w:p w14:paraId="1F123B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D712E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优先级设置</w:t>
            </w:r>
          </w:p>
        </w:tc>
        <w:tc>
          <w:tcPr>
            <w:tcW w:w="842" w:type="dxa"/>
            <w:vAlign w:val="center"/>
          </w:tcPr>
          <w:p w14:paraId="05A3EA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5055A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75CEA7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92360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操作系统支持进程优先级设置，包括优先级范围设置、优先级调度策略设置等</w:t>
            </w:r>
          </w:p>
        </w:tc>
        <w:tc>
          <w:tcPr>
            <w:tcW w:w="1039" w:type="dxa"/>
            <w:vAlign w:val="center"/>
          </w:tcPr>
          <w:p w14:paraId="790023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A32DA5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750F6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877" w:type="dxa"/>
            <w:vAlign w:val="center"/>
          </w:tcPr>
          <w:p w14:paraId="76772B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8CDF2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中文支持要求-字符编码</w:t>
            </w:r>
          </w:p>
        </w:tc>
        <w:tc>
          <w:tcPr>
            <w:tcW w:w="842" w:type="dxa"/>
            <w:vAlign w:val="center"/>
          </w:tcPr>
          <w:p w14:paraId="3A15FC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208317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416F91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10DF9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操作系统符合GB18030的要求</w:t>
            </w:r>
          </w:p>
        </w:tc>
        <w:tc>
          <w:tcPr>
            <w:tcW w:w="1039" w:type="dxa"/>
            <w:vAlign w:val="center"/>
          </w:tcPr>
          <w:p w14:paraId="3CF42C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E98F5D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9B87A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877" w:type="dxa"/>
            <w:vAlign w:val="center"/>
          </w:tcPr>
          <w:p w14:paraId="318809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A03FD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中文支持要求-字库</w:t>
            </w:r>
          </w:p>
        </w:tc>
        <w:tc>
          <w:tcPr>
            <w:tcW w:w="842" w:type="dxa"/>
            <w:vAlign w:val="center"/>
          </w:tcPr>
          <w:p w14:paraId="683A24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FD1FA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D6FD85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89743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操作系统提供符合GB18030标准的字库，至少包括宋体、仿宋体、黑体、楷体及小标宋体在内的5种字库； 支持曲线字库，可无级放缩字形大小，以适应不同分辨率的输出设备，输出字形应字形正确，字体规范； 支持用户扩展安装字库。</w:t>
            </w:r>
          </w:p>
        </w:tc>
        <w:tc>
          <w:tcPr>
            <w:tcW w:w="1039" w:type="dxa"/>
            <w:vAlign w:val="center"/>
          </w:tcPr>
          <w:p w14:paraId="172A65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D47CAF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AE029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877" w:type="dxa"/>
            <w:vAlign w:val="center"/>
          </w:tcPr>
          <w:p w14:paraId="562298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EF1EE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中文支持要求-输入法</w:t>
            </w:r>
          </w:p>
        </w:tc>
        <w:tc>
          <w:tcPr>
            <w:tcW w:w="842" w:type="dxa"/>
            <w:vAlign w:val="center"/>
          </w:tcPr>
          <w:p w14:paraId="4BB70B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2060C9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758DD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E8428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操作系统应内置输入法框架； 至少提供一种音码和一种型码输入法；支持GB18030中已编码的语言文字输入法的安装使用。</w:t>
            </w:r>
          </w:p>
        </w:tc>
        <w:tc>
          <w:tcPr>
            <w:tcW w:w="1039" w:type="dxa"/>
            <w:vAlign w:val="center"/>
          </w:tcPr>
          <w:p w14:paraId="609B45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B61822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73D88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877" w:type="dxa"/>
            <w:vAlign w:val="center"/>
          </w:tcPr>
          <w:p w14:paraId="51A054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2C2E2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中文支持要求-输出</w:t>
            </w:r>
          </w:p>
        </w:tc>
        <w:tc>
          <w:tcPr>
            <w:tcW w:w="842" w:type="dxa"/>
            <w:vAlign w:val="center"/>
          </w:tcPr>
          <w:p w14:paraId="6DECE2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A9F49C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5945B7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FDD4C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系统配置的字库能被工具或软件正常调用打印和显示</w:t>
            </w:r>
          </w:p>
        </w:tc>
        <w:tc>
          <w:tcPr>
            <w:tcW w:w="1039" w:type="dxa"/>
            <w:vAlign w:val="center"/>
          </w:tcPr>
          <w:p w14:paraId="1D4509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3C4404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E1846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877" w:type="dxa"/>
            <w:vAlign w:val="center"/>
          </w:tcPr>
          <w:p w14:paraId="39B263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DE4AA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中文支持要求-表示</w:t>
            </w:r>
          </w:p>
        </w:tc>
        <w:tc>
          <w:tcPr>
            <w:tcW w:w="842" w:type="dxa"/>
            <w:vAlign w:val="center"/>
          </w:tcPr>
          <w:p w14:paraId="459195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E50E3E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FB9EB6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27087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操作系统提供中文界面显示，提供符合要求的日期、星期、上下午、时间、货币、数字等显示及表示方式</w:t>
            </w:r>
          </w:p>
        </w:tc>
        <w:tc>
          <w:tcPr>
            <w:tcW w:w="1039" w:type="dxa"/>
            <w:vAlign w:val="center"/>
          </w:tcPr>
          <w:p w14:paraId="23652E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B35D56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8A3E2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877" w:type="dxa"/>
            <w:vAlign w:val="center"/>
          </w:tcPr>
          <w:p w14:paraId="358750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C479F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系统信息</w:t>
            </w:r>
          </w:p>
        </w:tc>
        <w:tc>
          <w:tcPr>
            <w:tcW w:w="842" w:type="dxa"/>
            <w:vAlign w:val="center"/>
          </w:tcPr>
          <w:p w14:paraId="5AE25E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68753A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4F3B11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BB464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操作系统提供系统信息查看工具，支持用户查看系统版本、内核版本、内存容量、CPU型号等信息</w:t>
            </w:r>
          </w:p>
        </w:tc>
        <w:tc>
          <w:tcPr>
            <w:tcW w:w="1039" w:type="dxa"/>
            <w:vAlign w:val="center"/>
          </w:tcPr>
          <w:p w14:paraId="461631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DC75A5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079E1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877" w:type="dxa"/>
            <w:vAlign w:val="center"/>
          </w:tcPr>
          <w:p w14:paraId="54C959E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585A8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系统资源管理</w:t>
            </w:r>
          </w:p>
        </w:tc>
        <w:tc>
          <w:tcPr>
            <w:tcW w:w="842" w:type="dxa"/>
            <w:vAlign w:val="center"/>
          </w:tcPr>
          <w:p w14:paraId="75BD263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FE527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6D7DF6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7C3DA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操作系统提供系统资源管理工具并图形化显示进程信息、资源信息、文件资源信息等</w:t>
            </w:r>
          </w:p>
        </w:tc>
        <w:tc>
          <w:tcPr>
            <w:tcW w:w="1039" w:type="dxa"/>
            <w:vAlign w:val="center"/>
          </w:tcPr>
          <w:p w14:paraId="4E0919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6D3E15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16817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877" w:type="dxa"/>
            <w:vAlign w:val="center"/>
          </w:tcPr>
          <w:p w14:paraId="674264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E3B92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硬盘管理</w:t>
            </w:r>
          </w:p>
        </w:tc>
        <w:tc>
          <w:tcPr>
            <w:tcW w:w="842" w:type="dxa"/>
            <w:vAlign w:val="center"/>
          </w:tcPr>
          <w:p w14:paraId="643CA4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1A6F5E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9637A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11455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操作系统提供硬盘管理工具，显示硬盘容量及硬盘信息，支持新建和删除硬盘分区，分区支持EXT3、EXT4、FAT32、NTFS、XFS、exFAT、Btrfs等文件系统格式</w:t>
            </w:r>
          </w:p>
        </w:tc>
        <w:tc>
          <w:tcPr>
            <w:tcW w:w="1039" w:type="dxa"/>
            <w:vAlign w:val="center"/>
          </w:tcPr>
          <w:p w14:paraId="3620C6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34412E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79E77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34</w:t>
            </w:r>
          </w:p>
        </w:tc>
        <w:tc>
          <w:tcPr>
            <w:tcW w:w="877" w:type="dxa"/>
            <w:vAlign w:val="center"/>
          </w:tcPr>
          <w:p w14:paraId="065E34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D652B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设备信息</w:t>
            </w:r>
          </w:p>
        </w:tc>
        <w:tc>
          <w:tcPr>
            <w:tcW w:w="842" w:type="dxa"/>
            <w:vAlign w:val="center"/>
          </w:tcPr>
          <w:p w14:paraId="2E163E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324D1A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905B75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627C2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操作系统提供设备信息工具，显示CPU、内存、主板、存储、网卡、声卡、电源、USB、蓝牙等参数信息，显示硬件信息、计算机型号和操作系统信息、设备驱动状态（启用或禁用），并支持设备启用、禁用状态设置</w:t>
            </w:r>
          </w:p>
        </w:tc>
        <w:tc>
          <w:tcPr>
            <w:tcW w:w="1039" w:type="dxa"/>
            <w:vAlign w:val="center"/>
          </w:tcPr>
          <w:p w14:paraId="3B418E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836434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7B003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35</w:t>
            </w:r>
          </w:p>
        </w:tc>
        <w:tc>
          <w:tcPr>
            <w:tcW w:w="877" w:type="dxa"/>
            <w:vAlign w:val="center"/>
          </w:tcPr>
          <w:p w14:paraId="351E19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2C0DA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文件管理器</w:t>
            </w:r>
          </w:p>
        </w:tc>
        <w:tc>
          <w:tcPr>
            <w:tcW w:w="842" w:type="dxa"/>
            <w:vAlign w:val="center"/>
          </w:tcPr>
          <w:p w14:paraId="7C5F15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E7E4E6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5599C8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16E79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操作系统支持按文件名、文件类型、文件修改时间、文件大小排序显示文件；支持文本文件、图片文件和视频文件首帧的预览； 显示当前用户的主目录、桌面、文档、下载、回收站等文件资源； 支持对光驱、闪存盘的访问； 支持对网络资源的访问，包括SMB、FTP、NFS等协议下的网络资源； 支持通过地址栏输入绝对路径定位文件夹； 支持文件按照列表显示或网格图标显示； 支持新建文件、文件夹和快捷方式，并支持扩展新建的文件类型； 支持全选当前文件夹所有文件，支持文件多选、反选； 支持复制、粘贴、删除、剪切、重命名、压缩等文件操作； 支持选择文件打开方式，可以使用默认用程序打开，并支持修改默认用程序；支持按文件名、修改时间、文件大小等搜索。</w:t>
            </w:r>
          </w:p>
        </w:tc>
        <w:tc>
          <w:tcPr>
            <w:tcW w:w="1039" w:type="dxa"/>
            <w:vAlign w:val="center"/>
          </w:tcPr>
          <w:p w14:paraId="1C8671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6B38B1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85C4C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877" w:type="dxa"/>
            <w:vAlign w:val="center"/>
          </w:tcPr>
          <w:p w14:paraId="02B8B0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80C0C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登录管理</w:t>
            </w:r>
          </w:p>
        </w:tc>
        <w:tc>
          <w:tcPr>
            <w:tcW w:w="842" w:type="dxa"/>
            <w:vAlign w:val="center"/>
          </w:tcPr>
          <w:p w14:paraId="771197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7AFA6C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2468F3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0736B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操作系统支持本地帐户、LDAP帐户鉴别登录，提供口令、指纹、人脸、U-Key等多种鉴别方式登录，支持本地帐户免口令登录和自动登录</w:t>
            </w:r>
          </w:p>
        </w:tc>
        <w:tc>
          <w:tcPr>
            <w:tcW w:w="1039" w:type="dxa"/>
            <w:vAlign w:val="center"/>
          </w:tcPr>
          <w:p w14:paraId="7309AA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FCDFF6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6A83C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37</w:t>
            </w:r>
          </w:p>
        </w:tc>
        <w:tc>
          <w:tcPr>
            <w:tcW w:w="877" w:type="dxa"/>
            <w:vAlign w:val="center"/>
          </w:tcPr>
          <w:p w14:paraId="4FBD9F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B5AEF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显示管理</w:t>
            </w:r>
          </w:p>
        </w:tc>
        <w:tc>
          <w:tcPr>
            <w:tcW w:w="842" w:type="dxa"/>
            <w:vAlign w:val="center"/>
          </w:tcPr>
          <w:p w14:paraId="275CD1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F364BF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A4F3C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8D6CD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操作系统支持屏幕分辨率设置； 支持屏幕刷新率设置； 支持屏幕亮度设置； 支持屏幕显示冷暖色温手动、自动调节； 支持多个屏幕以复制、扩展、单独方式输出显示，支持多个屏幕显示位置设置，支持各屏幕显示方向独立设置； 支持4K高分辨率屏幕显示，支持手动和自适应匹配设置窗口等比缩放显示；支持超宽屏显示，如：21:9、32:9的显示器； 支持触屏功能，包括选择、点击、双击、滚动等操作； 支持登录界面、锁屏界面、系统桌面的背景图片设置； 支持屏幕保护定时设置和账户口令鉴权恢复。</w:t>
            </w:r>
          </w:p>
        </w:tc>
        <w:tc>
          <w:tcPr>
            <w:tcW w:w="1039" w:type="dxa"/>
            <w:vAlign w:val="center"/>
          </w:tcPr>
          <w:p w14:paraId="4B111C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E13CEE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35860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38</w:t>
            </w:r>
          </w:p>
        </w:tc>
        <w:tc>
          <w:tcPr>
            <w:tcW w:w="877" w:type="dxa"/>
            <w:vAlign w:val="center"/>
          </w:tcPr>
          <w:p w14:paraId="2D7F00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D2E26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用户操作界面</w:t>
            </w:r>
          </w:p>
        </w:tc>
        <w:tc>
          <w:tcPr>
            <w:tcW w:w="842" w:type="dxa"/>
            <w:vAlign w:val="center"/>
          </w:tcPr>
          <w:p w14:paraId="1DB875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FDC4B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8FB3CE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0CAD7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操作系统提供图形化操作界面</w:t>
            </w:r>
          </w:p>
        </w:tc>
        <w:tc>
          <w:tcPr>
            <w:tcW w:w="1039" w:type="dxa"/>
            <w:vAlign w:val="center"/>
          </w:tcPr>
          <w:p w14:paraId="60843E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CED397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19501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39</w:t>
            </w:r>
          </w:p>
        </w:tc>
        <w:tc>
          <w:tcPr>
            <w:tcW w:w="877" w:type="dxa"/>
            <w:vAlign w:val="center"/>
          </w:tcPr>
          <w:p w14:paraId="7DC399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088A2F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起始选单</w:t>
            </w:r>
          </w:p>
        </w:tc>
        <w:tc>
          <w:tcPr>
            <w:tcW w:w="842" w:type="dxa"/>
            <w:vAlign w:val="center"/>
          </w:tcPr>
          <w:p w14:paraId="399E68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BE8AF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5135A2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144AC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操作系统支持分类显示系统已安装应用； 支持创建应用的快捷方式到桌面； 支持添加应用访问快捷方式到任务栏；支持多种方式搜索内容，支持拼音搜索、模糊搜索快捷查找系统应用； 支持新安装应用与应用列表中其他应用以明显方式区分，包括突出显示、增加标识或单独分类； 包含电源操作按钮，并可触发系统退出界面； 包含直接进入控制系统或配置系统的功能入口或应用图标。</w:t>
            </w:r>
          </w:p>
        </w:tc>
        <w:tc>
          <w:tcPr>
            <w:tcW w:w="1039" w:type="dxa"/>
            <w:vAlign w:val="center"/>
          </w:tcPr>
          <w:p w14:paraId="4F9C58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94E52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AD2E9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877" w:type="dxa"/>
            <w:vAlign w:val="center"/>
          </w:tcPr>
          <w:p w14:paraId="1FB3D0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078D79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任务栏</w:t>
            </w:r>
          </w:p>
        </w:tc>
        <w:tc>
          <w:tcPr>
            <w:tcW w:w="842" w:type="dxa"/>
            <w:vAlign w:val="center"/>
          </w:tcPr>
          <w:p w14:paraId="4E9465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CDA404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185034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AB313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操作系统应提供图形化任务管理工具栏，任务栏中应该包括快速启动栏、通知栏； 提供快速启动应用程序区，可以添加或删除应用启动快捷方式； 提供系统通知栏，显示网络、声音、电源、USB设备等，支持应用程序（如输入法等）的状态信息； 提供显示桌面功能，支持最小化当前所有窗口，在有活动窗口的情况下快速切换成只显示用户桌面；对已切换成只显示用户桌面的状态，可以快速切换回活动窗口状态； 直观区分任务栏应用运行与未运行的状态； 支持任务栏隐藏； 支持任务栏位置调整。</w:t>
            </w:r>
          </w:p>
        </w:tc>
        <w:tc>
          <w:tcPr>
            <w:tcW w:w="1039" w:type="dxa"/>
            <w:vAlign w:val="center"/>
          </w:tcPr>
          <w:p w14:paraId="2C204C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227692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CEF75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41</w:t>
            </w:r>
          </w:p>
        </w:tc>
        <w:tc>
          <w:tcPr>
            <w:tcW w:w="877" w:type="dxa"/>
            <w:vAlign w:val="center"/>
          </w:tcPr>
          <w:p w14:paraId="539271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DCAA8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系统退出</w:t>
            </w:r>
          </w:p>
        </w:tc>
        <w:tc>
          <w:tcPr>
            <w:tcW w:w="842" w:type="dxa"/>
            <w:vAlign w:val="center"/>
          </w:tcPr>
          <w:p w14:paraId="6DBB41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099CB4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81BF7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BBC52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操作系统退出界面应为模态或全屏界面，提供选择关机、重启、锁定、注销、休眠、待机等六种操作</w:t>
            </w:r>
          </w:p>
        </w:tc>
        <w:tc>
          <w:tcPr>
            <w:tcW w:w="1039" w:type="dxa"/>
            <w:vAlign w:val="center"/>
          </w:tcPr>
          <w:p w14:paraId="42CD30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F07274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312D4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42</w:t>
            </w:r>
          </w:p>
        </w:tc>
        <w:tc>
          <w:tcPr>
            <w:tcW w:w="877" w:type="dxa"/>
            <w:vAlign w:val="center"/>
          </w:tcPr>
          <w:p w14:paraId="3FAA88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8C124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窗口管理器</w:t>
            </w:r>
          </w:p>
        </w:tc>
        <w:tc>
          <w:tcPr>
            <w:tcW w:w="842" w:type="dxa"/>
            <w:vAlign w:val="center"/>
          </w:tcPr>
          <w:p w14:paraId="2ABB84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3D9FA2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6ED18B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49616E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操作系统支持对窗口的操作，如最小化、最大化、移动、改变大小、总是置顶或在最前端、关闭； 提供窗口显示最小化、最大化和关闭按钮； 提供窗口标题，显示窗口名称，并区别显示选中和未选中窗口； 窗口可以在不同工作区中移动； 提供窗口防呆功能，防止窗口完全移出桌面范围内； 提供窗口切换功能，通过快捷键可在打开的窗口中按一定顺序进行快速切换；提供多任务视图功能，可以预览当前工作区内已打开的所有窗口； 支持一键操作移开桌面所有窗口，显示桌面； 提供多窗口分屏功能，支持屏幕分割显示各窗口，支持同时调整窗口尺寸。</w:t>
            </w:r>
          </w:p>
        </w:tc>
        <w:tc>
          <w:tcPr>
            <w:tcW w:w="1039" w:type="dxa"/>
            <w:vAlign w:val="center"/>
          </w:tcPr>
          <w:p w14:paraId="4DCA2F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8410DB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059A9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43</w:t>
            </w:r>
          </w:p>
        </w:tc>
        <w:tc>
          <w:tcPr>
            <w:tcW w:w="877" w:type="dxa"/>
            <w:vAlign w:val="center"/>
          </w:tcPr>
          <w:p w14:paraId="727039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95FB4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应用软件安全要求</w:t>
            </w:r>
          </w:p>
        </w:tc>
        <w:tc>
          <w:tcPr>
            <w:tcW w:w="842" w:type="dxa"/>
            <w:vAlign w:val="center"/>
          </w:tcPr>
          <w:p w14:paraId="479BBE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2ADBA4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3AB0EB2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9C014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操作系统预装应用软件应进行签名认证，确保应用软件的安全性、稳定性、可靠性</w:t>
            </w:r>
          </w:p>
        </w:tc>
        <w:tc>
          <w:tcPr>
            <w:tcW w:w="1039" w:type="dxa"/>
            <w:vAlign w:val="center"/>
          </w:tcPr>
          <w:p w14:paraId="55EEFB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C00E38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40C22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44</w:t>
            </w:r>
          </w:p>
        </w:tc>
        <w:tc>
          <w:tcPr>
            <w:tcW w:w="877" w:type="dxa"/>
            <w:vAlign w:val="center"/>
          </w:tcPr>
          <w:p w14:paraId="48BF31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440AD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截图录屏</w:t>
            </w:r>
          </w:p>
        </w:tc>
        <w:tc>
          <w:tcPr>
            <w:tcW w:w="842" w:type="dxa"/>
            <w:vAlign w:val="center"/>
          </w:tcPr>
          <w:p w14:paraId="526D8D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6C1996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571EC0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80FB7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操作系统提供截图录屏工具，支持系统截图和录屏； 支持延时捕捉屏幕图像设置； 支持录制光标移动、鼠标点击、键盘操作痕迹、系统音频、传声器输入、摄像头画中画内容； 支持多种截图区域，包括全屏、程序窗口和自选区域； 支持多种保存选项，包括保存到系统默认文件夹、桌面、指定存储路径、剪贴板； 系统截图支持保存为PNG、JPG、BMP等格式，录屏支持保存为GIF、MP4、MKV等格式。</w:t>
            </w:r>
          </w:p>
        </w:tc>
        <w:tc>
          <w:tcPr>
            <w:tcW w:w="1039" w:type="dxa"/>
            <w:vAlign w:val="center"/>
          </w:tcPr>
          <w:p w14:paraId="305DCF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BD70A3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0463E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45</w:t>
            </w:r>
          </w:p>
        </w:tc>
        <w:tc>
          <w:tcPr>
            <w:tcW w:w="877" w:type="dxa"/>
            <w:vAlign w:val="center"/>
          </w:tcPr>
          <w:p w14:paraId="5CB088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1D5D0F2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图像查看工具</w:t>
            </w:r>
          </w:p>
        </w:tc>
        <w:tc>
          <w:tcPr>
            <w:tcW w:w="842" w:type="dxa"/>
            <w:vAlign w:val="center"/>
          </w:tcPr>
          <w:p w14:paraId="2F4A0C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8620E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3504E18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46676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操作系统提供图像查看工具，支持查看图像文件，支持PNG、JPEG、TIFF、GIF、BMP等图像格式； 支持显示图像文件的基本信息，包括文件大小、图像格式、宽度和高度等； 支持对图像文件的操作，包括放大、缩小、旋转、打印等。</w:t>
            </w:r>
          </w:p>
        </w:tc>
        <w:tc>
          <w:tcPr>
            <w:tcW w:w="1039" w:type="dxa"/>
            <w:vAlign w:val="center"/>
          </w:tcPr>
          <w:p w14:paraId="5FE936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C349E0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0FD3B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46</w:t>
            </w:r>
          </w:p>
        </w:tc>
        <w:tc>
          <w:tcPr>
            <w:tcW w:w="877" w:type="dxa"/>
            <w:vAlign w:val="center"/>
          </w:tcPr>
          <w:p w14:paraId="055879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A9AEF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文件扫描工具</w:t>
            </w:r>
          </w:p>
        </w:tc>
        <w:tc>
          <w:tcPr>
            <w:tcW w:w="842" w:type="dxa"/>
            <w:vAlign w:val="center"/>
          </w:tcPr>
          <w:p w14:paraId="652FB7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E4E24E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E04867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02690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操作系统提供文件扫描工具，支持扫描文件类型设置，包括PNG、JPEG、TIFF、BMP、PDF等； 支持扫描颜色设置，包括彩色、灰度；支持扫描分辨率、幅面设置。</w:t>
            </w:r>
          </w:p>
        </w:tc>
        <w:tc>
          <w:tcPr>
            <w:tcW w:w="1039" w:type="dxa"/>
            <w:vAlign w:val="center"/>
          </w:tcPr>
          <w:p w14:paraId="318DA6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96EBC9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B2D4C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47</w:t>
            </w:r>
          </w:p>
        </w:tc>
        <w:tc>
          <w:tcPr>
            <w:tcW w:w="877" w:type="dxa"/>
            <w:vAlign w:val="center"/>
          </w:tcPr>
          <w:p w14:paraId="3D2ABD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2E08A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文件共享</w:t>
            </w:r>
          </w:p>
        </w:tc>
        <w:tc>
          <w:tcPr>
            <w:tcW w:w="842" w:type="dxa"/>
            <w:vAlign w:val="center"/>
          </w:tcPr>
          <w:p w14:paraId="4DCD2C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6808E1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4FA48C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782E3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操作系统提供文件共享工具，支持按用户身份进行读写权限设置</w:t>
            </w:r>
          </w:p>
        </w:tc>
        <w:tc>
          <w:tcPr>
            <w:tcW w:w="1039" w:type="dxa"/>
            <w:vAlign w:val="center"/>
          </w:tcPr>
          <w:p w14:paraId="5E913A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A9909D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AFEB3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48</w:t>
            </w:r>
          </w:p>
        </w:tc>
        <w:tc>
          <w:tcPr>
            <w:tcW w:w="877" w:type="dxa"/>
            <w:vAlign w:val="center"/>
          </w:tcPr>
          <w:p w14:paraId="326080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879B3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开发环境</w:t>
            </w:r>
          </w:p>
        </w:tc>
        <w:tc>
          <w:tcPr>
            <w:tcW w:w="842" w:type="dxa"/>
            <w:vAlign w:val="center"/>
          </w:tcPr>
          <w:p w14:paraId="263C75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0CB840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FD9C02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160796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操作系统通过内置、软件仓库或附加光盘等方式提供如Qt、Eclipse、VSCode等集成开发环境</w:t>
            </w:r>
          </w:p>
        </w:tc>
        <w:tc>
          <w:tcPr>
            <w:tcW w:w="1039" w:type="dxa"/>
            <w:vAlign w:val="center"/>
          </w:tcPr>
          <w:p w14:paraId="684C07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D20782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136F3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49</w:t>
            </w:r>
          </w:p>
        </w:tc>
        <w:tc>
          <w:tcPr>
            <w:tcW w:w="877" w:type="dxa"/>
            <w:vAlign w:val="center"/>
          </w:tcPr>
          <w:p w14:paraId="2594483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0A465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开发库</w:t>
            </w:r>
          </w:p>
        </w:tc>
        <w:tc>
          <w:tcPr>
            <w:tcW w:w="842" w:type="dxa"/>
            <w:vAlign w:val="center"/>
          </w:tcPr>
          <w:p w14:paraId="1801AD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43AEC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D00FE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0C222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操作系统通过内置、软件仓库或附加光盘等方式提供如GNUC、GNUC++、Java、Qt、Gtk+、Cairo、OpenGL、Perl、Python、Ruby、Rust、Golang、JS等开发库</w:t>
            </w:r>
          </w:p>
        </w:tc>
        <w:tc>
          <w:tcPr>
            <w:tcW w:w="1039" w:type="dxa"/>
            <w:vAlign w:val="center"/>
          </w:tcPr>
          <w:p w14:paraId="2BC28E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8A8C04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2B81B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877" w:type="dxa"/>
            <w:vAlign w:val="center"/>
          </w:tcPr>
          <w:p w14:paraId="41DAB1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24BEB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开发文档</w:t>
            </w:r>
          </w:p>
        </w:tc>
        <w:tc>
          <w:tcPr>
            <w:tcW w:w="842" w:type="dxa"/>
            <w:vAlign w:val="center"/>
          </w:tcPr>
          <w:p w14:paraId="7BC64E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132B00F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306E8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A3323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操作系统应内置或通过官方网站、社区等提供中文开发文档，包括： 软件开发参考文档； 驱动开发参考文档； 应用移植开发文档； API文档。</w:t>
            </w:r>
          </w:p>
        </w:tc>
        <w:tc>
          <w:tcPr>
            <w:tcW w:w="1039" w:type="dxa"/>
            <w:vAlign w:val="center"/>
          </w:tcPr>
          <w:p w14:paraId="448E7D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AA66F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6991F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877" w:type="dxa"/>
            <w:vAlign w:val="center"/>
          </w:tcPr>
          <w:p w14:paraId="775B97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03A53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运行环境-版本兼容</w:t>
            </w:r>
          </w:p>
        </w:tc>
        <w:tc>
          <w:tcPr>
            <w:tcW w:w="842" w:type="dxa"/>
            <w:vAlign w:val="center"/>
          </w:tcPr>
          <w:p w14:paraId="119ADE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94F0FA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1284E4A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017E8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操作系统基础运行库或开发环境向后（向下）兼容，即系统版本升级后，能兼容上一版本所运行的软件与设备；系统主版本兼容维护时间自发布之日起不低于 5 年，包括但不限于安全修复、功能升级、新硬件支持等；支持以增量升级包的方式实现版本更新</w:t>
            </w:r>
          </w:p>
        </w:tc>
        <w:tc>
          <w:tcPr>
            <w:tcW w:w="1039" w:type="dxa"/>
            <w:vAlign w:val="center"/>
          </w:tcPr>
          <w:p w14:paraId="4A4680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0373A01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66EF1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52</w:t>
            </w:r>
          </w:p>
        </w:tc>
        <w:tc>
          <w:tcPr>
            <w:tcW w:w="877" w:type="dxa"/>
            <w:vAlign w:val="center"/>
          </w:tcPr>
          <w:p w14:paraId="6D021D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5FE92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软件包管理</w:t>
            </w:r>
          </w:p>
        </w:tc>
        <w:tc>
          <w:tcPr>
            <w:tcW w:w="842" w:type="dxa"/>
            <w:vAlign w:val="center"/>
          </w:tcPr>
          <w:p w14:paraId="15BDFB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37B35C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1B9C61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3F6C0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软件包管理 操作系统支持图形化方式下载、安装和卸载软件包； 显示已安装软件包的描述和包含的文件； 支持安装时优先自动进行缺失依赖软件包的下载和安装； 自动检测本地安装包，当发现安装包未经签名认证时自动告警； 在连接软件仓库/应用商店时（含局域网、广域网）能自动搜索并下载依赖的软件包。</w:t>
            </w:r>
          </w:p>
        </w:tc>
        <w:tc>
          <w:tcPr>
            <w:tcW w:w="1039" w:type="dxa"/>
            <w:vAlign w:val="center"/>
          </w:tcPr>
          <w:p w14:paraId="776217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B5CD34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85D96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53</w:t>
            </w:r>
          </w:p>
        </w:tc>
        <w:tc>
          <w:tcPr>
            <w:tcW w:w="877" w:type="dxa"/>
            <w:vAlign w:val="center"/>
          </w:tcPr>
          <w:p w14:paraId="2C2C85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60BAA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微型计算机兼容清单</w:t>
            </w:r>
          </w:p>
        </w:tc>
        <w:tc>
          <w:tcPr>
            <w:tcW w:w="842" w:type="dxa"/>
            <w:vAlign w:val="center"/>
          </w:tcPr>
          <w:p w14:paraId="400E50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1638243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D70301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3D575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供应商提供兼容的台式微型计算机品牌及型号清单，且至少兼容一款产品</w:t>
            </w:r>
          </w:p>
        </w:tc>
        <w:tc>
          <w:tcPr>
            <w:tcW w:w="1039" w:type="dxa"/>
            <w:vAlign w:val="center"/>
          </w:tcPr>
          <w:p w14:paraId="6650D5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DD6B28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C2149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54</w:t>
            </w:r>
          </w:p>
        </w:tc>
        <w:tc>
          <w:tcPr>
            <w:tcW w:w="877" w:type="dxa"/>
            <w:vAlign w:val="center"/>
          </w:tcPr>
          <w:p w14:paraId="69991F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103885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便携式微型计算机兼容清单</w:t>
            </w:r>
          </w:p>
        </w:tc>
        <w:tc>
          <w:tcPr>
            <w:tcW w:w="842" w:type="dxa"/>
            <w:vAlign w:val="center"/>
          </w:tcPr>
          <w:p w14:paraId="411446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A440D1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FDA9A2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E5103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供应商提供兼容的便携式微型计算机品牌及型号清单，且至少兼容一款产品</w:t>
            </w:r>
          </w:p>
        </w:tc>
        <w:tc>
          <w:tcPr>
            <w:tcW w:w="1039" w:type="dxa"/>
            <w:vAlign w:val="center"/>
          </w:tcPr>
          <w:p w14:paraId="1F4A64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63B0F4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184E1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55</w:t>
            </w:r>
          </w:p>
        </w:tc>
        <w:tc>
          <w:tcPr>
            <w:tcW w:w="877" w:type="dxa"/>
            <w:vAlign w:val="center"/>
          </w:tcPr>
          <w:p w14:paraId="78F85D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0D3CA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办公软件</w:t>
            </w:r>
          </w:p>
        </w:tc>
        <w:tc>
          <w:tcPr>
            <w:tcW w:w="842" w:type="dxa"/>
            <w:vAlign w:val="center"/>
          </w:tcPr>
          <w:p w14:paraId="77871D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832405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C16C86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C6DC5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供应商提供兼容的办公软件品牌及版本清单，且至少兼容一款产品</w:t>
            </w:r>
          </w:p>
        </w:tc>
        <w:tc>
          <w:tcPr>
            <w:tcW w:w="1039" w:type="dxa"/>
            <w:vAlign w:val="center"/>
          </w:tcPr>
          <w:p w14:paraId="08AAD8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71309F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E37A5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56</w:t>
            </w:r>
          </w:p>
        </w:tc>
        <w:tc>
          <w:tcPr>
            <w:tcW w:w="877" w:type="dxa"/>
            <w:vAlign w:val="center"/>
          </w:tcPr>
          <w:p w14:paraId="6CFE46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AA5B3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版式软件</w:t>
            </w:r>
          </w:p>
        </w:tc>
        <w:tc>
          <w:tcPr>
            <w:tcW w:w="842" w:type="dxa"/>
            <w:vAlign w:val="center"/>
          </w:tcPr>
          <w:p w14:paraId="6EE7A1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5395D3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5DD40A1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67930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供应商提供兼容的版式软件品牌及版本清单，且至少兼容一款产品</w:t>
            </w:r>
          </w:p>
        </w:tc>
        <w:tc>
          <w:tcPr>
            <w:tcW w:w="1039" w:type="dxa"/>
            <w:vAlign w:val="center"/>
          </w:tcPr>
          <w:p w14:paraId="1193A7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FB1EB1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82671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57</w:t>
            </w:r>
          </w:p>
        </w:tc>
        <w:tc>
          <w:tcPr>
            <w:tcW w:w="877" w:type="dxa"/>
            <w:vAlign w:val="center"/>
          </w:tcPr>
          <w:p w14:paraId="6332A5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E4D6C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签名软件</w:t>
            </w:r>
          </w:p>
        </w:tc>
        <w:tc>
          <w:tcPr>
            <w:tcW w:w="842" w:type="dxa"/>
            <w:vAlign w:val="center"/>
          </w:tcPr>
          <w:p w14:paraId="38FE12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793EF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681E5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6DF9F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供应商提供兼容的电子签名、电子签章、云签章、key签署等签名软件的品牌及版本清单，且至少兼容一款产品</w:t>
            </w:r>
          </w:p>
        </w:tc>
        <w:tc>
          <w:tcPr>
            <w:tcW w:w="1039" w:type="dxa"/>
            <w:vAlign w:val="center"/>
          </w:tcPr>
          <w:p w14:paraId="703406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F6D952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8D7F9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58</w:t>
            </w:r>
          </w:p>
        </w:tc>
        <w:tc>
          <w:tcPr>
            <w:tcW w:w="877" w:type="dxa"/>
            <w:vAlign w:val="center"/>
          </w:tcPr>
          <w:p w14:paraId="0007E8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BA975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杀毒软件</w:t>
            </w:r>
          </w:p>
        </w:tc>
        <w:tc>
          <w:tcPr>
            <w:tcW w:w="842" w:type="dxa"/>
            <w:vAlign w:val="center"/>
          </w:tcPr>
          <w:p w14:paraId="08192E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037A53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4BA5D23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2BB96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供应商提供兼容的杀毒软件的品牌及版本清单，且至少兼容一款产品</w:t>
            </w:r>
          </w:p>
        </w:tc>
        <w:tc>
          <w:tcPr>
            <w:tcW w:w="1039" w:type="dxa"/>
            <w:vAlign w:val="center"/>
          </w:tcPr>
          <w:p w14:paraId="41FBCA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FE41E5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87BC5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59</w:t>
            </w:r>
          </w:p>
        </w:tc>
        <w:tc>
          <w:tcPr>
            <w:tcW w:w="877" w:type="dxa"/>
            <w:vAlign w:val="center"/>
          </w:tcPr>
          <w:p w14:paraId="5D0170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E9D7B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操作系统连续运行72小时</w:t>
            </w:r>
          </w:p>
        </w:tc>
        <w:tc>
          <w:tcPr>
            <w:tcW w:w="842" w:type="dxa"/>
            <w:vAlign w:val="center"/>
          </w:tcPr>
          <w:p w14:paraId="164280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739ADE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808B58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B275B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操作系统在CPU占用大于等于80%，或内存占用大于等于80%压力情况下，连续运行72小时无故障</w:t>
            </w:r>
          </w:p>
        </w:tc>
        <w:tc>
          <w:tcPr>
            <w:tcW w:w="1039" w:type="dxa"/>
            <w:vAlign w:val="center"/>
          </w:tcPr>
          <w:p w14:paraId="3D71D3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1061B7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3B542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877" w:type="dxa"/>
            <w:vAlign w:val="center"/>
          </w:tcPr>
          <w:p w14:paraId="45BAD8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DA31C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交付方式</w:t>
            </w:r>
          </w:p>
        </w:tc>
        <w:tc>
          <w:tcPr>
            <w:tcW w:w="842" w:type="dxa"/>
            <w:vAlign w:val="center"/>
          </w:tcPr>
          <w:p w14:paraId="6CA556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D0F1F6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2A115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566D3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操作系统支持光盘、USB闪存盘、镜像文件（下载）等交付方式</w:t>
            </w:r>
          </w:p>
        </w:tc>
        <w:tc>
          <w:tcPr>
            <w:tcW w:w="1039" w:type="dxa"/>
            <w:vAlign w:val="center"/>
          </w:tcPr>
          <w:p w14:paraId="25243B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727BF2B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4BD30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877" w:type="dxa"/>
            <w:vAlign w:val="center"/>
          </w:tcPr>
          <w:p w14:paraId="43B273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55151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配套资料</w:t>
            </w:r>
          </w:p>
        </w:tc>
        <w:tc>
          <w:tcPr>
            <w:tcW w:w="842" w:type="dxa"/>
            <w:vAlign w:val="center"/>
          </w:tcPr>
          <w:p w14:paraId="69D216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7E5951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CCB405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C7DBF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操作系统厂商交付产品时提供配套的技术资料，包括但不限于系统说明文件、用户手册（用户安装、操作、维护、故障排除）等</w:t>
            </w:r>
          </w:p>
        </w:tc>
        <w:tc>
          <w:tcPr>
            <w:tcW w:w="1039" w:type="dxa"/>
            <w:vAlign w:val="center"/>
          </w:tcPr>
          <w:p w14:paraId="1CBB34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352D688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AB32E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62</w:t>
            </w:r>
          </w:p>
        </w:tc>
        <w:tc>
          <w:tcPr>
            <w:tcW w:w="877" w:type="dxa"/>
            <w:vAlign w:val="center"/>
          </w:tcPr>
          <w:p w14:paraId="6C4853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69ED6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系统更换</w:t>
            </w:r>
          </w:p>
        </w:tc>
        <w:tc>
          <w:tcPr>
            <w:tcW w:w="842" w:type="dxa"/>
            <w:vAlign w:val="center"/>
          </w:tcPr>
          <w:p w14:paraId="00D5F1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C81C06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0C04436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2BD2E8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服务期内，操作系统厂商支持版本免费更换（注：更换后不延长服务期）</w:t>
            </w:r>
          </w:p>
        </w:tc>
        <w:tc>
          <w:tcPr>
            <w:tcW w:w="1039" w:type="dxa"/>
            <w:vAlign w:val="center"/>
          </w:tcPr>
          <w:p w14:paraId="5DBA99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E0DCBF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5A231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63</w:t>
            </w:r>
          </w:p>
        </w:tc>
        <w:tc>
          <w:tcPr>
            <w:tcW w:w="877" w:type="dxa"/>
            <w:vAlign w:val="center"/>
          </w:tcPr>
          <w:p w14:paraId="3268C1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1501BC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服务团队</w:t>
            </w:r>
          </w:p>
        </w:tc>
        <w:tc>
          <w:tcPr>
            <w:tcW w:w="842" w:type="dxa"/>
            <w:vAlign w:val="center"/>
          </w:tcPr>
          <w:p w14:paraId="2EFCD9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4FFDC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569FF3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687F5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操作系统厂商建立全国技术服务体系和服务团队，为客户提供专业的原厂中文服务</w:t>
            </w:r>
          </w:p>
        </w:tc>
        <w:tc>
          <w:tcPr>
            <w:tcW w:w="1039" w:type="dxa"/>
            <w:vAlign w:val="center"/>
          </w:tcPr>
          <w:p w14:paraId="544402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5C8D906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864C1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64</w:t>
            </w:r>
          </w:p>
        </w:tc>
        <w:tc>
          <w:tcPr>
            <w:tcW w:w="877" w:type="dxa"/>
            <w:vAlign w:val="center"/>
          </w:tcPr>
          <w:p w14:paraId="689CCF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1536C7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数据收集安全保障</w:t>
            </w:r>
          </w:p>
        </w:tc>
        <w:tc>
          <w:tcPr>
            <w:tcW w:w="842" w:type="dxa"/>
            <w:vAlign w:val="center"/>
          </w:tcPr>
          <w:p w14:paraId="1F5380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077D36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3770EAF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F25C2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除用户授权采集的信息外不采集其他数据，相关信息采集无安全风险，相关数据存储在大陆境内</w:t>
            </w:r>
          </w:p>
        </w:tc>
        <w:tc>
          <w:tcPr>
            <w:tcW w:w="1039" w:type="dxa"/>
            <w:vAlign w:val="center"/>
          </w:tcPr>
          <w:p w14:paraId="36278D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E7C716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29188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65</w:t>
            </w:r>
          </w:p>
        </w:tc>
        <w:tc>
          <w:tcPr>
            <w:tcW w:w="877" w:type="dxa"/>
            <w:vAlign w:val="center"/>
          </w:tcPr>
          <w:p w14:paraId="2854D2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1DBDB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数据供给安全保障</w:t>
            </w:r>
          </w:p>
        </w:tc>
        <w:tc>
          <w:tcPr>
            <w:tcW w:w="842" w:type="dxa"/>
            <w:vAlign w:val="center"/>
          </w:tcPr>
          <w:p w14:paraId="12386F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3DB202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2BC56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43B08B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数据供给安全保障：涉及数据下载的线上服务物理服务器不出境，包括代码仓库、系统补丁、安全补丁、服务网站等</w:t>
            </w:r>
          </w:p>
        </w:tc>
        <w:tc>
          <w:tcPr>
            <w:tcW w:w="1039" w:type="dxa"/>
            <w:vAlign w:val="center"/>
          </w:tcPr>
          <w:p w14:paraId="6366DC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0E7F8F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6E0F0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66</w:t>
            </w:r>
          </w:p>
        </w:tc>
        <w:tc>
          <w:tcPr>
            <w:tcW w:w="877" w:type="dxa"/>
            <w:vAlign w:val="center"/>
          </w:tcPr>
          <w:p w14:paraId="1DE2BB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74BB43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基本要求</w:t>
            </w:r>
          </w:p>
        </w:tc>
        <w:tc>
          <w:tcPr>
            <w:tcW w:w="842" w:type="dxa"/>
            <w:vAlign w:val="center"/>
          </w:tcPr>
          <w:p w14:paraId="6F9DD5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7077C8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7B61E5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4B90D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符合财政部、工业和信息化部关于印发《操作系统政府采购需求标准(2023年版)》的通知中《桌面操作系统政府采购需求标准》规定的其他*内容（160条*基本要求-“操作系统应当符合安全可靠测评要求”除外）</w:t>
            </w:r>
          </w:p>
        </w:tc>
        <w:tc>
          <w:tcPr>
            <w:tcW w:w="1039" w:type="dxa"/>
            <w:vAlign w:val="center"/>
          </w:tcPr>
          <w:p w14:paraId="109EAC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D872A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0BED6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67</w:t>
            </w:r>
          </w:p>
        </w:tc>
        <w:tc>
          <w:tcPr>
            <w:tcW w:w="877" w:type="dxa"/>
            <w:vAlign w:val="center"/>
          </w:tcPr>
          <w:p w14:paraId="68B08B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A5D08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密码算法实现</w:t>
            </w:r>
          </w:p>
        </w:tc>
        <w:tc>
          <w:tcPr>
            <w:tcW w:w="842" w:type="dxa"/>
            <w:vAlign w:val="center"/>
          </w:tcPr>
          <w:p w14:paraId="60551A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10C145D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86144E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6D6C3F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操作系统支持GM/T0002、GM/T0003和GM/T0004规定的密码算法运算</w:t>
            </w:r>
          </w:p>
        </w:tc>
        <w:tc>
          <w:tcPr>
            <w:tcW w:w="1039" w:type="dxa"/>
            <w:vAlign w:val="center"/>
          </w:tcPr>
          <w:p w14:paraId="01067A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4A63CA3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1CC2B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68</w:t>
            </w:r>
          </w:p>
        </w:tc>
        <w:tc>
          <w:tcPr>
            <w:tcW w:w="877" w:type="dxa"/>
            <w:vAlign w:val="center"/>
          </w:tcPr>
          <w:p w14:paraId="66C7D4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20023C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安全管理工具</w:t>
            </w:r>
          </w:p>
        </w:tc>
        <w:tc>
          <w:tcPr>
            <w:tcW w:w="842" w:type="dxa"/>
            <w:vAlign w:val="center"/>
          </w:tcPr>
          <w:p w14:paraId="138D6A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653B873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E5BB4B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0E4C2D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操作系统提供安全管理工具，包括帐户安全、网络防护、病毒防护、应用程序执行控制</w:t>
            </w:r>
          </w:p>
        </w:tc>
        <w:tc>
          <w:tcPr>
            <w:tcW w:w="1039" w:type="dxa"/>
            <w:vAlign w:val="center"/>
          </w:tcPr>
          <w:p w14:paraId="0F3593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6D0A0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57C0A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69</w:t>
            </w:r>
          </w:p>
        </w:tc>
        <w:tc>
          <w:tcPr>
            <w:tcW w:w="877" w:type="dxa"/>
            <w:vAlign w:val="center"/>
          </w:tcPr>
          <w:p w14:paraId="0CBCEF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6385FB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生物特征识别管理</w:t>
            </w:r>
          </w:p>
        </w:tc>
        <w:tc>
          <w:tcPr>
            <w:tcW w:w="842" w:type="dxa"/>
            <w:vAlign w:val="center"/>
          </w:tcPr>
          <w:p w14:paraId="4B8A6A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611622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39EBFB5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523E3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操作系统支持两种及以上的生物特征类型鉴别，如指纹、人脸； 支持使用生物特征进行命令行、图形化提权操作的身份鉴别； 支持使用生物特征进行系统登录操作的身份鉴别； 支持用户管理自己的生物特征信息。</w:t>
            </w:r>
          </w:p>
        </w:tc>
        <w:tc>
          <w:tcPr>
            <w:tcW w:w="1039" w:type="dxa"/>
            <w:vAlign w:val="center"/>
          </w:tcPr>
          <w:p w14:paraId="2D9FB6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218AAB6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E141F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877" w:type="dxa"/>
            <w:vAlign w:val="center"/>
          </w:tcPr>
          <w:p w14:paraId="4799D0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392322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身份鉴别服务</w:t>
            </w:r>
          </w:p>
        </w:tc>
        <w:tc>
          <w:tcPr>
            <w:tcW w:w="842" w:type="dxa"/>
            <w:vAlign w:val="center"/>
          </w:tcPr>
          <w:p w14:paraId="1715AB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5A372DA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1E8F31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3D0C47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操作系统用户标识使用账户名和账户ID，在操作系统的整个生存周期内账户标识具有唯一性； 支持配置账户口令复杂度校验及强口 令管理； 支持账户口令有效期配置； 支持口令鉴别失败控制； 支持口令加密算法配置，账户口令进行加密后以不可逆的密文形式保存； 支持禁止根账户(root)远程登录设置。</w:t>
            </w:r>
          </w:p>
        </w:tc>
        <w:tc>
          <w:tcPr>
            <w:tcW w:w="1039" w:type="dxa"/>
            <w:vAlign w:val="center"/>
          </w:tcPr>
          <w:p w14:paraId="2D9839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10FACBC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88C61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877" w:type="dxa"/>
            <w:vAlign w:val="center"/>
          </w:tcPr>
          <w:p w14:paraId="693BCD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49D92D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其他要求</w:t>
            </w:r>
          </w:p>
        </w:tc>
        <w:tc>
          <w:tcPr>
            <w:tcW w:w="842" w:type="dxa"/>
            <w:vAlign w:val="center"/>
          </w:tcPr>
          <w:p w14:paraId="40DEAD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27235C3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2AE12A9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7E67AD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应当符合安全可靠测评要求（通过政府有关部门指定的中国信息安全测评中心和国家保密科技测评中心网站查看安全可靠测评结果）。供应商响应时需提供中国信息安全测评中心或国家保密科技测评中心网站有响应产品通过页面的截图（截图应清晰完整，可多页）</w:t>
            </w:r>
          </w:p>
        </w:tc>
        <w:tc>
          <w:tcPr>
            <w:tcW w:w="1039" w:type="dxa"/>
            <w:vAlign w:val="center"/>
          </w:tcPr>
          <w:p w14:paraId="46B555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r w14:paraId="663E03B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D9C2F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72</w:t>
            </w:r>
          </w:p>
        </w:tc>
        <w:tc>
          <w:tcPr>
            <w:tcW w:w="877" w:type="dxa"/>
            <w:vAlign w:val="center"/>
          </w:tcPr>
          <w:p w14:paraId="294EFF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050" w:type="dxa"/>
            <w:vAlign w:val="center"/>
          </w:tcPr>
          <w:p w14:paraId="541093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漏洞编号</w:t>
            </w:r>
          </w:p>
        </w:tc>
        <w:tc>
          <w:tcPr>
            <w:tcW w:w="842" w:type="dxa"/>
            <w:vAlign w:val="center"/>
          </w:tcPr>
          <w:p w14:paraId="49A9BE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一般参数</w:t>
            </w:r>
          </w:p>
        </w:tc>
        <w:tc>
          <w:tcPr>
            <w:tcW w:w="785" w:type="dxa"/>
            <w:vAlign w:val="center"/>
          </w:tcPr>
          <w:p w14:paraId="4CEDA64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992" w:type="dxa"/>
            <w:vAlign w:val="center"/>
          </w:tcPr>
          <w:p w14:paraId="6D9DA70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p>
        </w:tc>
        <w:tc>
          <w:tcPr>
            <w:tcW w:w="3969" w:type="dxa"/>
            <w:vAlign w:val="center"/>
          </w:tcPr>
          <w:p w14:paraId="547904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操作系统支持漏洞编号，每个漏洞独立编号，可直接使用NVDB、CNVD或CVE编号； 漏洞提醒，发现或获悉漏洞信息时，通过系统推送、电子邮件或官方网站等方式通知用户； 漏洞修复，对已发现的安全漏洞通过补丁等方式对系统漏洞进行修复； 漏洞列表，提供每个版本已修复的漏洞列表，并提供命令或网页等方式方便用户查询漏洞及其修复情况。</w:t>
            </w:r>
          </w:p>
        </w:tc>
        <w:tc>
          <w:tcPr>
            <w:tcW w:w="1039" w:type="dxa"/>
            <w:vAlign w:val="center"/>
          </w:tcPr>
          <w:p w14:paraId="419EA1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4"/>
                <w:szCs w:val="24"/>
              </w:rPr>
            </w:pPr>
            <w:r>
              <w:rPr>
                <w:rFonts w:hint="eastAsia" w:ascii="宋体" w:hAnsi="宋体" w:eastAsia="宋体" w:cs="宋体"/>
                <w:sz w:val="24"/>
                <w:szCs w:val="24"/>
              </w:rPr>
              <w:t>不允许偏离</w:t>
            </w:r>
          </w:p>
        </w:tc>
      </w:tr>
    </w:tbl>
    <w:p w14:paraId="23FAD9D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交货期限：自合同签订之日起30天，采购人和供应商在第二阶段有特殊约定的除外。</w:t>
      </w:r>
    </w:p>
    <w:p w14:paraId="02AC2F3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交货的地域范围： 四川省范围内送货上门</w:t>
      </w:r>
    </w:p>
    <w:p w14:paraId="3D5631A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包装方式及运输：</w:t>
      </w:r>
    </w:p>
    <w:p w14:paraId="79DB10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756E8F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售后服务：</w:t>
      </w:r>
    </w:p>
    <w:p w14:paraId="5613E46F">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（1）延期服务收费标准:服务期1年，过服务期后，提供延期服务，其收费标准每年不高于投标报价的20%。</w:t>
      </w:r>
    </w:p>
    <w:p w14:paraId="1291BB74">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（2）产品维护周期：产品自发布之日起至产品停止功能升级（包含不限于新特性、新硬件支持、问题修复、安全补丁等）之日止≥5年</w:t>
      </w:r>
    </w:p>
    <w:p w14:paraId="090D0175">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（3）产品延伸服务周期：产品停止功能升级之日起至产品停止功能维护（包括问题修复、安全补丁等）之日止≥4年</w:t>
      </w:r>
    </w:p>
    <w:p w14:paraId="53A261BA">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（4）产品延伸安全服务周期：≥2年</w:t>
      </w:r>
    </w:p>
    <w:p w14:paraId="66ED80B6">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（5）产品售后服务周期：≥6年</w:t>
      </w:r>
    </w:p>
    <w:p w14:paraId="78270FDA">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（6）原厂服务：服务由操作系统厂商的正式员工提供，不由代理商提供</w:t>
      </w:r>
    </w:p>
    <w:p w14:paraId="5A0F372D">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（7）服务热线电话：操作系统厂商为最终用户提供工作日每日不少于8h（覆盖一般工作时间，具体时间由企业标准给出中文技术服务热线）</w:t>
      </w:r>
    </w:p>
    <w:p w14:paraId="5CF8CDDD">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（8）技术服务标准：操作系统厂商提供工作日每日不少于8h技术支持服务</w:t>
      </w:r>
    </w:p>
    <w:p w14:paraId="6321C4C0">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（9）技术服务时效：操作系统厂商满足同城4h、异地12h响要求，两个工作日解决问题，对于未能解决的问题和故障提供可行的升级方案</w:t>
      </w:r>
    </w:p>
    <w:p w14:paraId="6B25CA8E">
      <w:pPr>
        <w:pStyle w:val="4"/>
        <w:keepNext w:val="0"/>
        <w:keepLines w:val="0"/>
        <w:pageBreakBefore w:val="0"/>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（10）技术服务保障：发生非人为因素故障，在七日内由操作系统厂商原厂人员免费对产品进行补充或更换</w:t>
      </w:r>
    </w:p>
    <w:p w14:paraId="2F0440C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4.最高限价（元）： 500.00 ，大写（人民币）： 伍佰元整</w:t>
      </w:r>
    </w:p>
    <w:p w14:paraId="50DE937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5.配套的必要耗材、配件报价、约定期限：</w:t>
      </w:r>
    </w:p>
    <w:p w14:paraId="64D2D2B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无</w:t>
      </w:r>
    </w:p>
    <w:p w14:paraId="734A08F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6.量价关系折扣：</w:t>
      </w:r>
    </w:p>
    <w:p w14:paraId="718FAE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是否含有量价关系折扣：否</w:t>
      </w:r>
    </w:p>
    <w:p w14:paraId="68F655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7．产品升级换代规则：</w:t>
      </w:r>
    </w:p>
    <w:p w14:paraId="335F08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本项目 支持 入围供应商对已入围产品进行升级换代。</w:t>
      </w:r>
    </w:p>
    <w:p w14:paraId="3B0B4BD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1D0E3E3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49012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4C74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738" w:type="dxa"/>
          </w:tcPr>
          <w:p w14:paraId="68D172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4153" w:type="dxa"/>
          </w:tcPr>
          <w:p w14:paraId="7B8F3E5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评审点具体描述</w:t>
            </w:r>
          </w:p>
        </w:tc>
      </w:tr>
      <w:tr w14:paraId="01FA1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93E0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38" w:type="dxa"/>
          </w:tcPr>
          <w:p w14:paraId="5F76EC5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4153" w:type="dxa"/>
          </w:tcPr>
          <w:p w14:paraId="713D15B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284CB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FA225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738" w:type="dxa"/>
          </w:tcPr>
          <w:p w14:paraId="38C6D38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具有良好的商业信誉。</w:t>
            </w:r>
          </w:p>
        </w:tc>
        <w:tc>
          <w:tcPr>
            <w:tcW w:w="4153" w:type="dxa"/>
          </w:tcPr>
          <w:p w14:paraId="55DEE8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4BED3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9F860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738" w:type="dxa"/>
          </w:tcPr>
          <w:p w14:paraId="69D87B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供应商应提供健全的财务会计制度的证明材料。</w:t>
            </w:r>
          </w:p>
        </w:tc>
        <w:tc>
          <w:tcPr>
            <w:tcW w:w="4153" w:type="dxa"/>
          </w:tcPr>
          <w:p w14:paraId="4F28154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29F7B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0837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738" w:type="dxa"/>
          </w:tcPr>
          <w:p w14:paraId="1EDC3F7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tc>
        <w:tc>
          <w:tcPr>
            <w:tcW w:w="4153" w:type="dxa"/>
          </w:tcPr>
          <w:p w14:paraId="0B8D3A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27632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05A4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738" w:type="dxa"/>
          </w:tcPr>
          <w:p w14:paraId="48FEC1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4153" w:type="dxa"/>
          </w:tcPr>
          <w:p w14:paraId="6955AC1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6DCC5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C200B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738" w:type="dxa"/>
          </w:tcPr>
          <w:p w14:paraId="3E6D67E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w:t>
            </w:r>
          </w:p>
        </w:tc>
        <w:tc>
          <w:tcPr>
            <w:tcW w:w="4153" w:type="dxa"/>
          </w:tcPr>
          <w:p w14:paraId="18892C8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53E42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7F510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738" w:type="dxa"/>
          </w:tcPr>
          <w:p w14:paraId="281FACD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法律、行政法规规定的其它条件。</w:t>
            </w:r>
          </w:p>
        </w:tc>
        <w:tc>
          <w:tcPr>
            <w:tcW w:w="4153" w:type="dxa"/>
          </w:tcPr>
          <w:p w14:paraId="5433EC8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66172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D9EB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738" w:type="dxa"/>
          </w:tcPr>
          <w:p w14:paraId="0BD4B7E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不存在与单位负责人为同一人或者存在直接控股、管理关系的其他供应商参与同一合同项下的政府采购活动的行为。</w:t>
            </w:r>
          </w:p>
        </w:tc>
        <w:tc>
          <w:tcPr>
            <w:tcW w:w="4153" w:type="dxa"/>
          </w:tcPr>
          <w:p w14:paraId="698BEF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rPr>
            </w:pPr>
            <w:r>
              <w:rPr>
                <w:rFonts w:hint="eastAsia" w:ascii="宋体" w:hAnsi="宋体" w:eastAsia="宋体" w:cs="宋体"/>
                <w:sz w:val="24"/>
                <w:szCs w:val="24"/>
              </w:rPr>
              <w:t>供应商需在框架协议电子化采购系统中按要求填写《响应函》完成承诺并加盖供应商法定名称章。</w:t>
            </w:r>
          </w:p>
        </w:tc>
      </w:tr>
      <w:tr w14:paraId="5DFEF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8B29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5FEA284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0E90520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1FEF5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0444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72DE56B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18112EC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r>
              <w:rPr>
                <w:rFonts w:hint="eastAsia" w:ascii="宋体" w:hAnsi="宋体" w:eastAsia="宋体" w:cs="宋体"/>
                <w:color w:val="auto"/>
                <w:sz w:val="24"/>
                <w:szCs w:val="24"/>
              </w:rPr>
              <w:t>中除提供上述要求的证明材料（生产厂家需加盖公章）外，还应提供唯一授权文件扫描件。</w:t>
            </w:r>
          </w:p>
        </w:tc>
      </w:tr>
    </w:tbl>
    <w:p w14:paraId="25FD46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262C8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8D165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4C3609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3056A0D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6E21F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04D13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555FCBE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符合采购需求的承诺</w:t>
            </w:r>
          </w:p>
        </w:tc>
        <w:tc>
          <w:tcPr>
            <w:tcW w:w="4153" w:type="dxa"/>
          </w:tcPr>
          <w:p w14:paraId="5032884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1、供应商完全响应并满足本项目采购内容、技术参数及要求和商务要求的所有内容，（说明：提供承诺并加盖供应商法定名称章。）； 2、供应商报价不超过最高限价。</w:t>
            </w:r>
          </w:p>
        </w:tc>
      </w:tr>
    </w:tbl>
    <w:p w14:paraId="766CA5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10.入围供应商的清退和申请规则：</w:t>
      </w:r>
    </w:p>
    <w:p w14:paraId="7A3E8CD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征集公告发布后至框架协议期满前，供应商可以按照征集公告要求，随时提交加入框架协议的申请。征集人应当在收到供应商申请后7个工作日内完成审核，并将审核结果书面通知申请供应商。</w:t>
      </w:r>
    </w:p>
    <w:p w14:paraId="6D9DD62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入围供应商有下列情形之一，尚未签订框架协议的，取消其入围资格；已经签订框架协议的，解除与其签订的框架协议：</w:t>
      </w:r>
    </w:p>
    <w:p w14:paraId="3858B5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1、恶意串通谋取入围或者合同成交的；</w:t>
      </w:r>
    </w:p>
    <w:p w14:paraId="67B9EE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2、提供虚假材料谋取入围或者合同成交的；</w:t>
      </w:r>
    </w:p>
    <w:p w14:paraId="451B9F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3、无正当理由拒不接受合同授予的；</w:t>
      </w:r>
    </w:p>
    <w:p w14:paraId="33A523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4、不履行合同义务或者履行合同义务不符合约定，经采购人请求履行后仍不履行或者仍未按约定履行的；</w:t>
      </w:r>
    </w:p>
    <w:p w14:paraId="49CC759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5、框架协议有效期内，因违法行为被禁止或限制参加政府采购活动的；</w:t>
      </w:r>
    </w:p>
    <w:p w14:paraId="3143B57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6、框架协议约定的其他情形。</w:t>
      </w:r>
    </w:p>
    <w:p w14:paraId="4DE8977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被取消入围资格或者被解除框架协议的供应商不得重新申请加入同一开放式框架协议。</w:t>
      </w:r>
    </w:p>
    <w:p w14:paraId="596975A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11.资格审查方法和标准：</w:t>
      </w:r>
    </w:p>
    <w:p w14:paraId="6623825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（1）资格审查方法：</w:t>
      </w:r>
    </w:p>
    <w:p w14:paraId="323F9B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征集人对供应商提交的加入本项目框架协议的申请进行资格审查。</w:t>
      </w:r>
    </w:p>
    <w:p w14:paraId="7599B8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（2）资格审查标准：</w:t>
      </w:r>
    </w:p>
    <w:p w14:paraId="4486402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征集人对供应商提交的加入本项目框架协议的申请进行资格审查。</w:t>
      </w:r>
    </w:p>
    <w:p w14:paraId="38A602B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征集人应依据法律法规的规定和本征集公告中供应商的资格条件的要求，审查供应商是否具备入围资格。审查内容包括：</w:t>
      </w:r>
    </w:p>
    <w:p w14:paraId="60EACD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1）是否属于禁止参加投标的供应商；</w:t>
      </w:r>
    </w:p>
    <w:p w14:paraId="7D5211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2）是否按照规定要求提供资格性证明材料；</w:t>
      </w:r>
    </w:p>
    <w:p w14:paraId="277837B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3）法律法规规定的其他资格条件。</w:t>
      </w:r>
    </w:p>
    <w:p w14:paraId="421B6A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12.第二阶段成交供应商的方式：直接选定</w:t>
      </w:r>
    </w:p>
    <w:p w14:paraId="482A483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13.资金支付方式、时间和条件：</w:t>
      </w:r>
    </w:p>
    <w:p w14:paraId="5113703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7AD4093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支付要求：对于满足合同约定支付条件的，采购人应当自收到发票后10个工作日内将资金支付到合同约定的供应商账户。采购人和供应商在第二阶段有特殊约定的除外。</w:t>
      </w:r>
    </w:p>
    <w:p w14:paraId="1A2C441E">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（二）分包名称：包2</w:t>
      </w:r>
    </w:p>
    <w:p w14:paraId="1FE8918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1.采购标的：办公软件</w:t>
      </w:r>
    </w:p>
    <w:p w14:paraId="409198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094D2BE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1）标的名称：办公软件专业版(适配Linux平台)</w:t>
      </w:r>
    </w:p>
    <w:p w14:paraId="5886BF7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666C0C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38D591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0CD60A0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25F8696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6EECA5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246" w:type="dxa"/>
        <w:tblInd w:w="-983"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623"/>
        <w:gridCol w:w="934"/>
        <w:gridCol w:w="1385"/>
        <w:gridCol w:w="808"/>
        <w:gridCol w:w="773"/>
        <w:gridCol w:w="1015"/>
        <w:gridCol w:w="3135"/>
        <w:gridCol w:w="1573"/>
      </w:tblGrid>
      <w:tr w14:paraId="7D3F2D0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659E4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34" w:type="dxa"/>
            <w:vAlign w:val="center"/>
          </w:tcPr>
          <w:p w14:paraId="74407C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385" w:type="dxa"/>
            <w:vAlign w:val="center"/>
          </w:tcPr>
          <w:p w14:paraId="58B3DA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08" w:type="dxa"/>
            <w:vAlign w:val="center"/>
          </w:tcPr>
          <w:p w14:paraId="7FFABF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73" w:type="dxa"/>
            <w:vAlign w:val="center"/>
          </w:tcPr>
          <w:p w14:paraId="5289A9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1015" w:type="dxa"/>
            <w:vAlign w:val="center"/>
          </w:tcPr>
          <w:p w14:paraId="665322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3135" w:type="dxa"/>
            <w:vAlign w:val="center"/>
          </w:tcPr>
          <w:p w14:paraId="58696E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573" w:type="dxa"/>
            <w:vAlign w:val="center"/>
          </w:tcPr>
          <w:p w14:paraId="49E750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7549334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5FC74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34" w:type="dxa"/>
            <w:vAlign w:val="center"/>
          </w:tcPr>
          <w:p w14:paraId="6F39A9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50713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接口开放</w:t>
            </w:r>
          </w:p>
        </w:tc>
        <w:tc>
          <w:tcPr>
            <w:tcW w:w="808" w:type="dxa"/>
            <w:vAlign w:val="center"/>
          </w:tcPr>
          <w:p w14:paraId="5A6C42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C4F94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0FB78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49FEFF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开放的数据接口，能与内部OA系统及其他业务系统进行无缝整合，能通过OA系统正常进行收发文工作</w:t>
            </w:r>
          </w:p>
        </w:tc>
        <w:tc>
          <w:tcPr>
            <w:tcW w:w="1573" w:type="dxa"/>
            <w:vAlign w:val="center"/>
          </w:tcPr>
          <w:p w14:paraId="19467D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C8061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5F6F0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34" w:type="dxa"/>
            <w:vAlign w:val="center"/>
          </w:tcPr>
          <w:p w14:paraId="7BC85C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2B813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加密方式</w:t>
            </w:r>
          </w:p>
        </w:tc>
        <w:tc>
          <w:tcPr>
            <w:tcW w:w="808" w:type="dxa"/>
            <w:vAlign w:val="center"/>
          </w:tcPr>
          <w:p w14:paraId="38ED5B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6DA71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8BCA0A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FAC10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提供对文档加密、权限保护等安全设置</w:t>
            </w:r>
          </w:p>
        </w:tc>
        <w:tc>
          <w:tcPr>
            <w:tcW w:w="1573" w:type="dxa"/>
            <w:vAlign w:val="center"/>
          </w:tcPr>
          <w:p w14:paraId="34BE12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E1A46D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2F000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34" w:type="dxa"/>
            <w:vAlign w:val="center"/>
          </w:tcPr>
          <w:p w14:paraId="643489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02D80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界面兼容</w:t>
            </w:r>
          </w:p>
        </w:tc>
        <w:tc>
          <w:tcPr>
            <w:tcW w:w="808" w:type="dxa"/>
            <w:vAlign w:val="center"/>
          </w:tcPr>
          <w:p w14:paraId="2393C1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70E894E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F9ADED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41FAE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提供下拉式菜单式及标签页式菜单两种界面风格，满足用户的使用习惯，用户可自由切换。</w:t>
            </w:r>
          </w:p>
        </w:tc>
        <w:tc>
          <w:tcPr>
            <w:tcW w:w="1573" w:type="dxa"/>
            <w:vAlign w:val="center"/>
          </w:tcPr>
          <w:p w14:paraId="1B6FB0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FAE953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B1EB1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34" w:type="dxa"/>
            <w:vAlign w:val="center"/>
          </w:tcPr>
          <w:p w14:paraId="49E5AF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55D6CC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文件格式兼容</w:t>
            </w:r>
          </w:p>
        </w:tc>
        <w:tc>
          <w:tcPr>
            <w:tcW w:w="808" w:type="dxa"/>
            <w:vAlign w:val="center"/>
          </w:tcPr>
          <w:p w14:paraId="68F32C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47AA1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B5653B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38846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各模块能无缝打开市场主流的文档格式</w:t>
            </w:r>
          </w:p>
        </w:tc>
        <w:tc>
          <w:tcPr>
            <w:tcW w:w="1573" w:type="dxa"/>
            <w:vAlign w:val="center"/>
          </w:tcPr>
          <w:p w14:paraId="45FBC0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07C82D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69D68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34" w:type="dxa"/>
            <w:vAlign w:val="center"/>
          </w:tcPr>
          <w:p w14:paraId="48A627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62DE12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升级方式</w:t>
            </w:r>
          </w:p>
        </w:tc>
        <w:tc>
          <w:tcPr>
            <w:tcW w:w="808" w:type="dxa"/>
            <w:vAlign w:val="center"/>
          </w:tcPr>
          <w:p w14:paraId="74B780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7755A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1E00B2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F9F10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易于升级，支持手工升级包。</w:t>
            </w:r>
          </w:p>
        </w:tc>
        <w:tc>
          <w:tcPr>
            <w:tcW w:w="1573" w:type="dxa"/>
            <w:vAlign w:val="center"/>
          </w:tcPr>
          <w:p w14:paraId="609DAA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137DD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FBFAA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34" w:type="dxa"/>
            <w:vAlign w:val="center"/>
          </w:tcPr>
          <w:p w14:paraId="3C6BFE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6D7BEE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界面友好</w:t>
            </w:r>
          </w:p>
        </w:tc>
        <w:tc>
          <w:tcPr>
            <w:tcW w:w="808" w:type="dxa"/>
            <w:vAlign w:val="center"/>
          </w:tcPr>
          <w:p w14:paraId="4D77D8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73A85C1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33063A6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C3F24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提供图形化安装界面，安装过程简单明了；人机交互界面友好，操作方式宜符合用户习惯。</w:t>
            </w:r>
          </w:p>
        </w:tc>
        <w:tc>
          <w:tcPr>
            <w:tcW w:w="1573" w:type="dxa"/>
            <w:vAlign w:val="center"/>
          </w:tcPr>
          <w:p w14:paraId="06B2C4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BDEA09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3BBD7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34" w:type="dxa"/>
            <w:vAlign w:val="center"/>
          </w:tcPr>
          <w:p w14:paraId="3BE900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4EC7E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保存为放映模式</w:t>
            </w:r>
          </w:p>
        </w:tc>
        <w:tc>
          <w:tcPr>
            <w:tcW w:w="808" w:type="dxa"/>
            <w:vAlign w:val="center"/>
          </w:tcPr>
          <w:p w14:paraId="6CDBF9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4B91F4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D6DEEA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1D8E4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演示支持保存为PPS放映模式，并支持PPS格式文件的在线播放</w:t>
            </w:r>
          </w:p>
        </w:tc>
        <w:tc>
          <w:tcPr>
            <w:tcW w:w="1573" w:type="dxa"/>
            <w:vAlign w:val="center"/>
          </w:tcPr>
          <w:p w14:paraId="254CB8F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EC5A1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6643E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34" w:type="dxa"/>
            <w:vAlign w:val="center"/>
          </w:tcPr>
          <w:p w14:paraId="526134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556DE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幻灯片表格</w:t>
            </w:r>
          </w:p>
        </w:tc>
        <w:tc>
          <w:tcPr>
            <w:tcW w:w="808" w:type="dxa"/>
            <w:vAlign w:val="center"/>
          </w:tcPr>
          <w:p w14:paraId="54EC0C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7B71D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34F0788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37B94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幻灯片中可以插入表格，并具备表格样式任意切换，可以对表格任意行任意列进行编辑、删除和插入。</w:t>
            </w:r>
          </w:p>
        </w:tc>
        <w:tc>
          <w:tcPr>
            <w:tcW w:w="1573" w:type="dxa"/>
            <w:vAlign w:val="center"/>
          </w:tcPr>
          <w:p w14:paraId="5E7840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B46F08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B7169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34" w:type="dxa"/>
            <w:vAlign w:val="center"/>
          </w:tcPr>
          <w:p w14:paraId="2B73CD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7AFC9A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幻灯片切换效果</w:t>
            </w:r>
          </w:p>
        </w:tc>
        <w:tc>
          <w:tcPr>
            <w:tcW w:w="808" w:type="dxa"/>
            <w:vAlign w:val="center"/>
          </w:tcPr>
          <w:p w14:paraId="6CCD69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777725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8523F2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DD1A8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支持平滑淡出、溶解、全黑淡出、向下擦除、向上擦除等多种形式的幻灯片切换效果</w:t>
            </w:r>
          </w:p>
        </w:tc>
        <w:tc>
          <w:tcPr>
            <w:tcW w:w="1573" w:type="dxa"/>
            <w:vAlign w:val="center"/>
          </w:tcPr>
          <w:p w14:paraId="475C89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70F17D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D395D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934" w:type="dxa"/>
            <w:vAlign w:val="center"/>
          </w:tcPr>
          <w:p w14:paraId="7A7862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567454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动画方案</w:t>
            </w:r>
          </w:p>
        </w:tc>
        <w:tc>
          <w:tcPr>
            <w:tcW w:w="808" w:type="dxa"/>
            <w:vAlign w:val="center"/>
          </w:tcPr>
          <w:p w14:paraId="45BC5E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1349EFC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7D12C61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B7240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支持动画方案功能，幻灯片中的文本以忽暗忽明、突出显示、随机线条等多种方式出现</w:t>
            </w:r>
          </w:p>
        </w:tc>
        <w:tc>
          <w:tcPr>
            <w:tcW w:w="1573" w:type="dxa"/>
            <w:vAlign w:val="center"/>
          </w:tcPr>
          <w:p w14:paraId="2BF666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0F79E6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A8F06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934" w:type="dxa"/>
            <w:vAlign w:val="center"/>
          </w:tcPr>
          <w:p w14:paraId="13CE2E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9243A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插入图片、多媒体对象</w:t>
            </w:r>
          </w:p>
        </w:tc>
        <w:tc>
          <w:tcPr>
            <w:tcW w:w="808" w:type="dxa"/>
            <w:vAlign w:val="center"/>
          </w:tcPr>
          <w:p w14:paraId="4563765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BF0E42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455B76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8C939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演示模块可支持在幻灯片中插入图片、表格、图形、图表。</w:t>
            </w:r>
          </w:p>
        </w:tc>
        <w:tc>
          <w:tcPr>
            <w:tcW w:w="1573" w:type="dxa"/>
            <w:vAlign w:val="center"/>
          </w:tcPr>
          <w:p w14:paraId="32BE5B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99A6C4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6A86B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934" w:type="dxa"/>
            <w:vAlign w:val="center"/>
          </w:tcPr>
          <w:p w14:paraId="18F590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7935B3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演示模块多屏放映</w:t>
            </w:r>
          </w:p>
        </w:tc>
        <w:tc>
          <w:tcPr>
            <w:tcW w:w="808" w:type="dxa"/>
            <w:vAlign w:val="center"/>
          </w:tcPr>
          <w:p w14:paraId="2F8126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CDA23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3A6830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A46AA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应提供幻灯片多屏放映功能</w:t>
            </w:r>
          </w:p>
        </w:tc>
        <w:tc>
          <w:tcPr>
            <w:tcW w:w="1573" w:type="dxa"/>
            <w:vAlign w:val="center"/>
          </w:tcPr>
          <w:p w14:paraId="472E4A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B895ED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80BBC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934" w:type="dxa"/>
            <w:vAlign w:val="center"/>
          </w:tcPr>
          <w:p w14:paraId="144129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6CB9A2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演示模块背景音乐</w:t>
            </w:r>
          </w:p>
        </w:tc>
        <w:tc>
          <w:tcPr>
            <w:tcW w:w="808" w:type="dxa"/>
            <w:vAlign w:val="center"/>
          </w:tcPr>
          <w:p w14:paraId="63B814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928BA9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917725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1080E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演示模块支持背景音乐功能，PPT放映的全程中进行播放</w:t>
            </w:r>
          </w:p>
        </w:tc>
        <w:tc>
          <w:tcPr>
            <w:tcW w:w="1573" w:type="dxa"/>
            <w:vAlign w:val="center"/>
          </w:tcPr>
          <w:p w14:paraId="5A5DDA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03EDA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45833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934" w:type="dxa"/>
            <w:vAlign w:val="center"/>
          </w:tcPr>
          <w:p w14:paraId="6131E25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5E5AE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演示放大镜、荧光笔</w:t>
            </w:r>
          </w:p>
        </w:tc>
        <w:tc>
          <w:tcPr>
            <w:tcW w:w="808" w:type="dxa"/>
            <w:vAlign w:val="center"/>
          </w:tcPr>
          <w:p w14:paraId="3784F6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7881D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43C91F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6B936E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演示模块提供放大镜、荧光笔、触发器、动画效果等功能</w:t>
            </w:r>
          </w:p>
        </w:tc>
        <w:tc>
          <w:tcPr>
            <w:tcW w:w="1573" w:type="dxa"/>
            <w:vAlign w:val="center"/>
          </w:tcPr>
          <w:p w14:paraId="7351D6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FD1577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610A6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934" w:type="dxa"/>
            <w:vAlign w:val="center"/>
          </w:tcPr>
          <w:p w14:paraId="3A11D6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FE5C8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电子表格支持生成图表功能</w:t>
            </w:r>
          </w:p>
        </w:tc>
        <w:tc>
          <w:tcPr>
            <w:tcW w:w="808" w:type="dxa"/>
            <w:vAlign w:val="center"/>
          </w:tcPr>
          <w:p w14:paraId="27257D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9E11CF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423F93A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675568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应支持生成图表功能；根据表格数据可自动生成柱形图、折线图、饼图等各类图表，且各类型之间可方便转换</w:t>
            </w:r>
          </w:p>
        </w:tc>
        <w:tc>
          <w:tcPr>
            <w:tcW w:w="1573" w:type="dxa"/>
            <w:vAlign w:val="center"/>
          </w:tcPr>
          <w:p w14:paraId="2F3844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9EB8DD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6DF49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934" w:type="dxa"/>
            <w:vAlign w:val="center"/>
          </w:tcPr>
          <w:p w14:paraId="147D10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EB415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推荐列表</w:t>
            </w:r>
          </w:p>
        </w:tc>
        <w:tc>
          <w:tcPr>
            <w:tcW w:w="808" w:type="dxa"/>
            <w:vAlign w:val="center"/>
          </w:tcPr>
          <w:p w14:paraId="1D52CA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BCA63A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926C9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7B251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表格模块能提供推荐列表功能，提高录入的速度和准确性</w:t>
            </w:r>
          </w:p>
        </w:tc>
        <w:tc>
          <w:tcPr>
            <w:tcW w:w="1573" w:type="dxa"/>
            <w:vAlign w:val="center"/>
          </w:tcPr>
          <w:p w14:paraId="477D3D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9D425D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14DC8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934" w:type="dxa"/>
            <w:vAlign w:val="center"/>
          </w:tcPr>
          <w:p w14:paraId="26CEC7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F0445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函数</w:t>
            </w:r>
          </w:p>
        </w:tc>
        <w:tc>
          <w:tcPr>
            <w:tcW w:w="808" w:type="dxa"/>
            <w:vAlign w:val="center"/>
          </w:tcPr>
          <w:p w14:paraId="445977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7F645AD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D6BCBF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DBFCA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应提供常用的日期和时间、文本、统计、数学、财务、逻辑等函数</w:t>
            </w:r>
          </w:p>
        </w:tc>
        <w:tc>
          <w:tcPr>
            <w:tcW w:w="1573" w:type="dxa"/>
            <w:vAlign w:val="center"/>
          </w:tcPr>
          <w:p w14:paraId="15014B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CBD83A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58363F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934" w:type="dxa"/>
            <w:vAlign w:val="center"/>
          </w:tcPr>
          <w:p w14:paraId="43008B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41CDF7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数据处理</w:t>
            </w:r>
          </w:p>
        </w:tc>
        <w:tc>
          <w:tcPr>
            <w:tcW w:w="808" w:type="dxa"/>
            <w:vAlign w:val="center"/>
          </w:tcPr>
          <w:p w14:paraId="794DF0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26A8E5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6A7D2A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4AEF20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表格模块支持数据计算，提供数据有效性、排序、筛选、分类汇总，组及分组显示等功能</w:t>
            </w:r>
          </w:p>
        </w:tc>
        <w:tc>
          <w:tcPr>
            <w:tcW w:w="1573" w:type="dxa"/>
            <w:vAlign w:val="center"/>
          </w:tcPr>
          <w:p w14:paraId="069C18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1ADC85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63AFC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934" w:type="dxa"/>
            <w:vAlign w:val="center"/>
          </w:tcPr>
          <w:p w14:paraId="54FBDD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409830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基本功能</w:t>
            </w:r>
          </w:p>
        </w:tc>
        <w:tc>
          <w:tcPr>
            <w:tcW w:w="808" w:type="dxa"/>
            <w:vAlign w:val="center"/>
          </w:tcPr>
          <w:p w14:paraId="6A427D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7A8D34F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C2B921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6DA889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应支持数据录入、计算；应支持各种常见公式，满足政府办公中的统计和计算需求</w:t>
            </w:r>
          </w:p>
        </w:tc>
        <w:tc>
          <w:tcPr>
            <w:tcW w:w="1573" w:type="dxa"/>
            <w:vAlign w:val="center"/>
          </w:tcPr>
          <w:p w14:paraId="703FAE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A5B0E2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9F70E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934" w:type="dxa"/>
            <w:vAlign w:val="center"/>
          </w:tcPr>
          <w:p w14:paraId="6F3459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497A68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文档编辑</w:t>
            </w:r>
          </w:p>
        </w:tc>
        <w:tc>
          <w:tcPr>
            <w:tcW w:w="808" w:type="dxa"/>
            <w:vAlign w:val="center"/>
          </w:tcPr>
          <w:p w14:paraId="380FA7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0E1F63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F178B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89D01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应支持对字体、字号、段落、页面的编辑、排版等各项功能</w:t>
            </w:r>
          </w:p>
        </w:tc>
        <w:tc>
          <w:tcPr>
            <w:tcW w:w="1573" w:type="dxa"/>
            <w:vAlign w:val="center"/>
          </w:tcPr>
          <w:p w14:paraId="17DF50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D1012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6B4C8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934" w:type="dxa"/>
            <w:vAlign w:val="center"/>
          </w:tcPr>
          <w:p w14:paraId="348E88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5B085C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窗体域</w:t>
            </w:r>
          </w:p>
        </w:tc>
        <w:tc>
          <w:tcPr>
            <w:tcW w:w="808" w:type="dxa"/>
            <w:vAlign w:val="center"/>
          </w:tcPr>
          <w:p w14:paraId="30BC2E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BA493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ECCE82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4FC51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文字模块支持插入窗体域对象，保存窗体域局部内容修改的编辑记录，从而对文档进行局部保护</w:t>
            </w:r>
          </w:p>
        </w:tc>
        <w:tc>
          <w:tcPr>
            <w:tcW w:w="1573" w:type="dxa"/>
            <w:vAlign w:val="center"/>
          </w:tcPr>
          <w:p w14:paraId="6D0200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6A964B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7D552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934" w:type="dxa"/>
            <w:vAlign w:val="center"/>
          </w:tcPr>
          <w:p w14:paraId="29E7E6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19847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页面显示</w:t>
            </w:r>
          </w:p>
        </w:tc>
        <w:tc>
          <w:tcPr>
            <w:tcW w:w="808" w:type="dxa"/>
            <w:vAlign w:val="center"/>
          </w:tcPr>
          <w:p w14:paraId="09CC3A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7A08DA2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771EC2B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85855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应可自由调节页面显示比例</w:t>
            </w:r>
          </w:p>
        </w:tc>
        <w:tc>
          <w:tcPr>
            <w:tcW w:w="1573" w:type="dxa"/>
            <w:vAlign w:val="center"/>
          </w:tcPr>
          <w:p w14:paraId="5F3838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3310AE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57D7A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934" w:type="dxa"/>
            <w:vAlign w:val="center"/>
          </w:tcPr>
          <w:p w14:paraId="11A79B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72692C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页眉页脚</w:t>
            </w:r>
          </w:p>
        </w:tc>
        <w:tc>
          <w:tcPr>
            <w:tcW w:w="808" w:type="dxa"/>
            <w:vAlign w:val="center"/>
          </w:tcPr>
          <w:p w14:paraId="6FE824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93252C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6608FC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6C1A53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文字模块下支持插入页眉、页脚，并提供页眉页脚编辑功能，支持在页眉页脚内插入页码等功能</w:t>
            </w:r>
          </w:p>
        </w:tc>
        <w:tc>
          <w:tcPr>
            <w:tcW w:w="1573" w:type="dxa"/>
            <w:vAlign w:val="center"/>
          </w:tcPr>
          <w:p w14:paraId="551A3E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36CE78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1D75B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934" w:type="dxa"/>
            <w:vAlign w:val="center"/>
          </w:tcPr>
          <w:p w14:paraId="438EFF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03E5B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页面分节</w:t>
            </w:r>
          </w:p>
        </w:tc>
        <w:tc>
          <w:tcPr>
            <w:tcW w:w="808" w:type="dxa"/>
            <w:vAlign w:val="center"/>
          </w:tcPr>
          <w:p w14:paraId="243E2C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10309E2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80755E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B0A43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文字模块下，支持分节效果，支持插入分节符、分页符等分节功能</w:t>
            </w:r>
          </w:p>
        </w:tc>
        <w:tc>
          <w:tcPr>
            <w:tcW w:w="1573" w:type="dxa"/>
            <w:vAlign w:val="center"/>
          </w:tcPr>
          <w:p w14:paraId="1AB9C4E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444C53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FD6ED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934" w:type="dxa"/>
            <w:vAlign w:val="center"/>
          </w:tcPr>
          <w:p w14:paraId="1318D2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06E39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页面布局</w:t>
            </w:r>
          </w:p>
        </w:tc>
        <w:tc>
          <w:tcPr>
            <w:tcW w:w="808" w:type="dxa"/>
            <w:vAlign w:val="center"/>
          </w:tcPr>
          <w:p w14:paraId="5E6A17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29E8DB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C4541C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7E49B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文字模块下支持横向、竖向页面设置，支持页边距、页面背景、文字方向等功能设置</w:t>
            </w:r>
          </w:p>
        </w:tc>
        <w:tc>
          <w:tcPr>
            <w:tcW w:w="1573" w:type="dxa"/>
            <w:vAlign w:val="center"/>
          </w:tcPr>
          <w:p w14:paraId="2510BB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12B34C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B63C0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934" w:type="dxa"/>
            <w:vAlign w:val="center"/>
          </w:tcPr>
          <w:p w14:paraId="34057F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0F482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图像编辑</w:t>
            </w:r>
          </w:p>
        </w:tc>
        <w:tc>
          <w:tcPr>
            <w:tcW w:w="808" w:type="dxa"/>
            <w:vAlign w:val="center"/>
          </w:tcPr>
          <w:p w14:paraId="4F43E2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14FAC2C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C4C6F7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4D0169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文字模块下、支持插入各种流程图、线条、箭头、矩形等各种图形，并提供颜色、边框、填充色的设置，支持自由度的旋转。</w:t>
            </w:r>
          </w:p>
        </w:tc>
        <w:tc>
          <w:tcPr>
            <w:tcW w:w="1573" w:type="dxa"/>
            <w:vAlign w:val="center"/>
          </w:tcPr>
          <w:p w14:paraId="278605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B43EF4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AEFE7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934" w:type="dxa"/>
            <w:vAlign w:val="center"/>
          </w:tcPr>
          <w:p w14:paraId="0FC807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4C43E0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文档目录</w:t>
            </w:r>
          </w:p>
        </w:tc>
        <w:tc>
          <w:tcPr>
            <w:tcW w:w="808" w:type="dxa"/>
            <w:vAlign w:val="center"/>
          </w:tcPr>
          <w:p w14:paraId="08673F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46AF14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7397240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D9EE6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在文字模块下，提供插入目录、删除目录和根据文档内容自动生成目录等功能</w:t>
            </w:r>
          </w:p>
        </w:tc>
        <w:tc>
          <w:tcPr>
            <w:tcW w:w="1573" w:type="dxa"/>
            <w:vAlign w:val="center"/>
          </w:tcPr>
          <w:p w14:paraId="117BCE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3AA8F8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EF200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934" w:type="dxa"/>
            <w:vAlign w:val="center"/>
          </w:tcPr>
          <w:p w14:paraId="7754DF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7D2A50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文档修订</w:t>
            </w:r>
          </w:p>
        </w:tc>
        <w:tc>
          <w:tcPr>
            <w:tcW w:w="808" w:type="dxa"/>
            <w:vAlign w:val="center"/>
          </w:tcPr>
          <w:p w14:paraId="042667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1B9B06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86CED7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4AE63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文字模块下支持对文档内容进行修订，可以以插入、删除、修改文档内容的方式进行修订文档；支持插入、删除和保护修订等功能</w:t>
            </w:r>
          </w:p>
        </w:tc>
        <w:tc>
          <w:tcPr>
            <w:tcW w:w="1573" w:type="dxa"/>
            <w:vAlign w:val="center"/>
          </w:tcPr>
          <w:p w14:paraId="4800C2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55BC4D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280AC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934" w:type="dxa"/>
            <w:vAlign w:val="center"/>
          </w:tcPr>
          <w:p w14:paraId="4A9E4B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92C64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文档批注</w:t>
            </w:r>
          </w:p>
        </w:tc>
        <w:tc>
          <w:tcPr>
            <w:tcW w:w="808" w:type="dxa"/>
            <w:vAlign w:val="center"/>
          </w:tcPr>
          <w:p w14:paraId="6A70ED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581BF4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385F1C8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5AAE1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文字模块下对文档内容进行批注，支持插入批注、删除批注、上一条批注、下一条批注导航浏览等功能</w:t>
            </w:r>
          </w:p>
        </w:tc>
        <w:tc>
          <w:tcPr>
            <w:tcW w:w="1573" w:type="dxa"/>
            <w:vAlign w:val="center"/>
          </w:tcPr>
          <w:p w14:paraId="0F6DE8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7FF641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567D5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934" w:type="dxa"/>
            <w:vAlign w:val="center"/>
          </w:tcPr>
          <w:p w14:paraId="25C96A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524AC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文字表格编辑</w:t>
            </w:r>
          </w:p>
        </w:tc>
        <w:tc>
          <w:tcPr>
            <w:tcW w:w="808" w:type="dxa"/>
            <w:vAlign w:val="center"/>
          </w:tcPr>
          <w:p w14:paraId="4B0D05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E541E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667A4E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C72CC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自动插入表格，支持表格样式任意切换，可以对表格任意行任意列进行编辑、删除和插入</w:t>
            </w:r>
          </w:p>
        </w:tc>
        <w:tc>
          <w:tcPr>
            <w:tcW w:w="1573" w:type="dxa"/>
            <w:vAlign w:val="center"/>
          </w:tcPr>
          <w:p w14:paraId="084BE0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BAE641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E4D9C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934" w:type="dxa"/>
            <w:vAlign w:val="center"/>
          </w:tcPr>
          <w:p w14:paraId="3C70A0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72C101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w:t>
            </w:r>
          </w:p>
        </w:tc>
        <w:tc>
          <w:tcPr>
            <w:tcW w:w="808" w:type="dxa"/>
            <w:vAlign w:val="center"/>
          </w:tcPr>
          <w:p w14:paraId="7BC6B1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13942E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177925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C24F75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编辑文档时可以进行文字编辑、段落、目录、书签等设置或插入文本框、图形、表格等对象；支持图文混排、文件修订、样式应用和文件处理等功能</w:t>
            </w:r>
          </w:p>
        </w:tc>
        <w:tc>
          <w:tcPr>
            <w:tcW w:w="1573" w:type="dxa"/>
            <w:vAlign w:val="center"/>
          </w:tcPr>
          <w:p w14:paraId="0B391E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0DF6A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496B7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934" w:type="dxa"/>
            <w:vAlign w:val="center"/>
          </w:tcPr>
          <w:p w14:paraId="43924B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3431B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恢复未保存文件</w:t>
            </w:r>
          </w:p>
        </w:tc>
        <w:tc>
          <w:tcPr>
            <w:tcW w:w="808" w:type="dxa"/>
            <w:vAlign w:val="center"/>
          </w:tcPr>
          <w:p w14:paraId="399C31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257AD1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ABDAB9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C0C348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文字处理、电子表格、演示文稿均支持恢复未保存而关闭的文件</w:t>
            </w:r>
          </w:p>
        </w:tc>
        <w:tc>
          <w:tcPr>
            <w:tcW w:w="1573" w:type="dxa"/>
            <w:vAlign w:val="center"/>
          </w:tcPr>
          <w:p w14:paraId="1EF7969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423332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466F3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934" w:type="dxa"/>
            <w:vAlign w:val="center"/>
          </w:tcPr>
          <w:p w14:paraId="22822E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ADDFFF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输出OFD格式</w:t>
            </w:r>
          </w:p>
        </w:tc>
        <w:tc>
          <w:tcPr>
            <w:tcW w:w="808" w:type="dxa"/>
            <w:vAlign w:val="center"/>
          </w:tcPr>
          <w:p w14:paraId="7F07FC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009C38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B91FAE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34CCD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所有模块要求均能导出成为OFD格式文件（国家标准化管理委员会批准发布的《电子文件存储与交换格式版式文档》，标准编号为GB/T33190-2016的OFD格式）</w:t>
            </w:r>
          </w:p>
        </w:tc>
        <w:tc>
          <w:tcPr>
            <w:tcW w:w="1573" w:type="dxa"/>
            <w:vAlign w:val="center"/>
          </w:tcPr>
          <w:p w14:paraId="2C6518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F28B5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4A825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934" w:type="dxa"/>
            <w:vAlign w:val="center"/>
          </w:tcPr>
          <w:p w14:paraId="05BDE1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26923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输出PDF格式</w:t>
            </w:r>
          </w:p>
        </w:tc>
        <w:tc>
          <w:tcPr>
            <w:tcW w:w="808" w:type="dxa"/>
            <w:vAlign w:val="center"/>
          </w:tcPr>
          <w:p w14:paraId="76CAEC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696444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AA9F7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03E51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所有模块要求均能导出成为PDF格式文件，在导出过程中可对文档信息、书签、超链接等进行输出项选择，可进行打印、加密、添加批注等权限设置。</w:t>
            </w:r>
          </w:p>
        </w:tc>
        <w:tc>
          <w:tcPr>
            <w:tcW w:w="1573" w:type="dxa"/>
            <w:vAlign w:val="center"/>
          </w:tcPr>
          <w:p w14:paraId="737708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86B6F4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428189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934" w:type="dxa"/>
            <w:vAlign w:val="center"/>
          </w:tcPr>
          <w:p w14:paraId="007F74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C4AC1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产品独立运行要求</w:t>
            </w:r>
          </w:p>
        </w:tc>
        <w:tc>
          <w:tcPr>
            <w:tcW w:w="808" w:type="dxa"/>
            <w:vAlign w:val="center"/>
          </w:tcPr>
          <w:p w14:paraId="136A98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0C226E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0B1DBF3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6F7DA7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在台式机、笔记本等用户终端设备上独立安装和运行，不强制依赖其他设备。满足用户单位内网、外网使用需求，产品能够脱离内网运行。能在用户终端设备上离线处理本地文档。提供方便的产品激活方式，产品激活以后能在离线状态下独立运行</w:t>
            </w:r>
          </w:p>
        </w:tc>
        <w:tc>
          <w:tcPr>
            <w:tcW w:w="1573" w:type="dxa"/>
            <w:vAlign w:val="center"/>
          </w:tcPr>
          <w:p w14:paraId="126FBA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1E7754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E5810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934" w:type="dxa"/>
            <w:vAlign w:val="center"/>
          </w:tcPr>
          <w:p w14:paraId="77BC10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294CA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支持标准</w:t>
            </w:r>
          </w:p>
        </w:tc>
        <w:tc>
          <w:tcPr>
            <w:tcW w:w="808" w:type="dxa"/>
            <w:vAlign w:val="center"/>
          </w:tcPr>
          <w:p w14:paraId="4496CCE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0460C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FEBA94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09307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际、国家相关标准要求，支持OOXML、支持UOF20(最新版标文通，《中文办公软件文档格式规范》)，符合国家《党政机关电子公文标准应用接口规范》（GB/T33478-2016），符合国家《中文办公软件应用编程接口规范》</w:t>
            </w:r>
          </w:p>
        </w:tc>
        <w:tc>
          <w:tcPr>
            <w:tcW w:w="1573" w:type="dxa"/>
            <w:vAlign w:val="center"/>
          </w:tcPr>
          <w:p w14:paraId="71244A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89D558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62C986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934" w:type="dxa"/>
            <w:vAlign w:val="center"/>
          </w:tcPr>
          <w:p w14:paraId="1E1B57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5FD3B8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产品组件</w:t>
            </w:r>
          </w:p>
        </w:tc>
        <w:tc>
          <w:tcPr>
            <w:tcW w:w="808" w:type="dxa"/>
            <w:vAlign w:val="center"/>
          </w:tcPr>
          <w:p w14:paraId="7467FC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5A3AE51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5AF3078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5C2C83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产品组件须包含文字处理、电子表格、演示文稿办公常用组件。该产品须为与面向其他市场销售的产品一样的产品，不得裁减</w:t>
            </w:r>
          </w:p>
        </w:tc>
        <w:tc>
          <w:tcPr>
            <w:tcW w:w="1573" w:type="dxa"/>
            <w:vAlign w:val="center"/>
          </w:tcPr>
          <w:p w14:paraId="519B2C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FA55EC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01334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934" w:type="dxa"/>
            <w:vAlign w:val="center"/>
          </w:tcPr>
          <w:p w14:paraId="0F31C7F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16EE952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控件支持</w:t>
            </w:r>
          </w:p>
        </w:tc>
        <w:tc>
          <w:tcPr>
            <w:tcW w:w="808" w:type="dxa"/>
            <w:vAlign w:val="center"/>
          </w:tcPr>
          <w:p w14:paraId="0EC9D2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FBD031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C89065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D20D5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支持JS、C++语言的二次开发接口调用。支持嵌入浏览器，满足OA版本需求。为第三方业务开发提供开发平台，支持C/S、B/S架构。</w:t>
            </w:r>
          </w:p>
        </w:tc>
        <w:tc>
          <w:tcPr>
            <w:tcW w:w="1573" w:type="dxa"/>
            <w:vAlign w:val="center"/>
          </w:tcPr>
          <w:p w14:paraId="2A7EDC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CC728E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04EA53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934" w:type="dxa"/>
            <w:vAlign w:val="center"/>
          </w:tcPr>
          <w:p w14:paraId="3F2D9D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D7D72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阅读模式</w:t>
            </w:r>
          </w:p>
        </w:tc>
        <w:tc>
          <w:tcPr>
            <w:tcW w:w="808" w:type="dxa"/>
            <w:vAlign w:val="center"/>
          </w:tcPr>
          <w:p w14:paraId="183F80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F0CF66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4EB186C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2AE8C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支持选中某个或多个单元格时，通过颜色标识出该单元格所属的行和列</w:t>
            </w:r>
          </w:p>
        </w:tc>
        <w:tc>
          <w:tcPr>
            <w:tcW w:w="1573" w:type="dxa"/>
            <w:vAlign w:val="center"/>
          </w:tcPr>
          <w:p w14:paraId="383D05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216E02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70611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934" w:type="dxa"/>
            <w:vAlign w:val="center"/>
          </w:tcPr>
          <w:p w14:paraId="744A96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FDF92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数据筛选</w:t>
            </w:r>
          </w:p>
        </w:tc>
        <w:tc>
          <w:tcPr>
            <w:tcW w:w="808" w:type="dxa"/>
            <w:vAlign w:val="center"/>
          </w:tcPr>
          <w:p w14:paraId="10E8BF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6E7535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F39AA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6BD3F5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表格模块支持单项筛选功能，即能够在筛选列表中一键筛选某一个值；</w:t>
            </w:r>
          </w:p>
        </w:tc>
        <w:tc>
          <w:tcPr>
            <w:tcW w:w="1573" w:type="dxa"/>
            <w:vAlign w:val="center"/>
          </w:tcPr>
          <w:p w14:paraId="5D31A4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1EC73E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1D98FD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934" w:type="dxa"/>
            <w:vAlign w:val="center"/>
          </w:tcPr>
          <w:p w14:paraId="55E81E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8D9E0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文字工具</w:t>
            </w:r>
          </w:p>
        </w:tc>
        <w:tc>
          <w:tcPr>
            <w:tcW w:w="808" w:type="dxa"/>
            <w:vAlign w:val="center"/>
          </w:tcPr>
          <w:p w14:paraId="19A2E1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2A255B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731E99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765B5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支持文字工具功能，实现段落重排，智能格式整理，删除空段，删除段首空格，删除空格，删除换行符，换行符转为回车等快速整理文档格式。</w:t>
            </w:r>
          </w:p>
        </w:tc>
        <w:tc>
          <w:tcPr>
            <w:tcW w:w="1573" w:type="dxa"/>
            <w:vAlign w:val="center"/>
          </w:tcPr>
          <w:p w14:paraId="079C49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846658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2B0048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934" w:type="dxa"/>
            <w:vAlign w:val="center"/>
          </w:tcPr>
          <w:p w14:paraId="08DB3E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E438B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段落布局</w:t>
            </w:r>
          </w:p>
        </w:tc>
        <w:tc>
          <w:tcPr>
            <w:tcW w:w="808" w:type="dxa"/>
            <w:vAlign w:val="center"/>
          </w:tcPr>
          <w:p w14:paraId="484C0B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21324D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4EEEAF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4742F9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文字模块提供所见即所得的段落布局快速调整功能，通过可视化操作方式直观调整悬挂缩进、段落间距等格式。</w:t>
            </w:r>
          </w:p>
        </w:tc>
        <w:tc>
          <w:tcPr>
            <w:tcW w:w="1573" w:type="dxa"/>
            <w:vAlign w:val="center"/>
          </w:tcPr>
          <w:p w14:paraId="13BD00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25198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73AC83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934" w:type="dxa"/>
            <w:vAlign w:val="center"/>
          </w:tcPr>
          <w:p w14:paraId="47E3D9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DCD53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支持的操作系统</w:t>
            </w:r>
          </w:p>
        </w:tc>
        <w:tc>
          <w:tcPr>
            <w:tcW w:w="808" w:type="dxa"/>
            <w:vAlign w:val="center"/>
          </w:tcPr>
          <w:p w14:paraId="12C169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3ACA6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6719DB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4DBDF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支持linux操作系统</w:t>
            </w:r>
          </w:p>
        </w:tc>
        <w:tc>
          <w:tcPr>
            <w:tcW w:w="1573" w:type="dxa"/>
            <w:vAlign w:val="center"/>
          </w:tcPr>
          <w:p w14:paraId="4E5723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4FC1D3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41624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934" w:type="dxa"/>
            <w:vAlign w:val="center"/>
          </w:tcPr>
          <w:p w14:paraId="529FBA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4957AD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支持的CPU架构</w:t>
            </w:r>
          </w:p>
        </w:tc>
        <w:tc>
          <w:tcPr>
            <w:tcW w:w="808" w:type="dxa"/>
            <w:vAlign w:val="center"/>
          </w:tcPr>
          <w:p w14:paraId="0554FD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2DE4017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139043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0DDA06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支持龙芯、飞腾、兆芯、鲲鹏等至少3种以上的CPU种类</w:t>
            </w:r>
          </w:p>
        </w:tc>
        <w:tc>
          <w:tcPr>
            <w:tcW w:w="1573" w:type="dxa"/>
            <w:vAlign w:val="center"/>
          </w:tcPr>
          <w:p w14:paraId="4B1FA6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912D4F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3634BD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934" w:type="dxa"/>
            <w:vAlign w:val="center"/>
          </w:tcPr>
          <w:p w14:paraId="588FED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2ACFB8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公文域</w:t>
            </w:r>
          </w:p>
        </w:tc>
        <w:tc>
          <w:tcPr>
            <w:tcW w:w="808" w:type="dxa"/>
            <w:vAlign w:val="center"/>
          </w:tcPr>
          <w:p w14:paraId="76B367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33610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6B8BE9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11021F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支持GB/T334762-2016中要求的公文域功能，公文域可插入、删除、定位、重命名公文域，公文域属性可设置隐藏、打印、只读等。</w:t>
            </w:r>
          </w:p>
        </w:tc>
        <w:tc>
          <w:tcPr>
            <w:tcW w:w="1573" w:type="dxa"/>
            <w:vAlign w:val="center"/>
          </w:tcPr>
          <w:p w14:paraId="737981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B41C12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BF464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934" w:type="dxa"/>
            <w:vAlign w:val="center"/>
          </w:tcPr>
          <w:p w14:paraId="22BBD1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0ABFF3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公文模板</w:t>
            </w:r>
          </w:p>
        </w:tc>
        <w:tc>
          <w:tcPr>
            <w:tcW w:w="808" w:type="dxa"/>
            <w:vAlign w:val="center"/>
          </w:tcPr>
          <w:p w14:paraId="548B11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3DD11A1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1A05CB7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3F48F1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预置符合GB/T33476-2016要求的电子公文模板。</w:t>
            </w:r>
          </w:p>
        </w:tc>
        <w:tc>
          <w:tcPr>
            <w:tcW w:w="1573" w:type="dxa"/>
            <w:vAlign w:val="center"/>
          </w:tcPr>
          <w:p w14:paraId="49AC50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E050E0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23" w:type="dxa"/>
            <w:vAlign w:val="center"/>
          </w:tcPr>
          <w:p w14:paraId="5D80EA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934" w:type="dxa"/>
            <w:vAlign w:val="center"/>
          </w:tcPr>
          <w:p w14:paraId="05C82C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85" w:type="dxa"/>
            <w:vAlign w:val="center"/>
          </w:tcPr>
          <w:p w14:paraId="34E015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平台兼容</w:t>
            </w:r>
          </w:p>
        </w:tc>
        <w:tc>
          <w:tcPr>
            <w:tcW w:w="808" w:type="dxa"/>
            <w:vAlign w:val="center"/>
          </w:tcPr>
          <w:p w14:paraId="663AFC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73" w:type="dxa"/>
            <w:vAlign w:val="center"/>
          </w:tcPr>
          <w:p w14:paraId="458A4C6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15" w:type="dxa"/>
            <w:vAlign w:val="center"/>
          </w:tcPr>
          <w:p w14:paraId="215E2B9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135" w:type="dxa"/>
            <w:vAlign w:val="center"/>
          </w:tcPr>
          <w:p w14:paraId="20F71B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支持多平台，支持通过安全可靠测评的 CPU和操作系统</w:t>
            </w:r>
          </w:p>
        </w:tc>
        <w:tc>
          <w:tcPr>
            <w:tcW w:w="1573" w:type="dxa"/>
            <w:vAlign w:val="center"/>
          </w:tcPr>
          <w:p w14:paraId="725395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2AF8C1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0CCBB0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4AC78C6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4922FE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4FE6FB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C5A20AF">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 承诺所有升级服务。</w:t>
      </w:r>
    </w:p>
    <w:p w14:paraId="458F788C">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3ECFE9E3">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605C9FF8">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167005E5">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2487086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540.00 ，大写（人民币）： 伍佰肆拾元整</w:t>
      </w:r>
    </w:p>
    <w:p w14:paraId="534536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6E9103B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37C4A3F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1E796BF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2B3E52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1F1DF47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030E6A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119CF4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2324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2FAA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7E1A38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1F2D853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3720E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CD8B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7EBBDB2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755798B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43AD7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DB5E6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71681B0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05DC9D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7634C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2752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024A5A5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供应商应提供健全的财务会计制度的证明材料。</w:t>
            </w:r>
          </w:p>
        </w:tc>
        <w:tc>
          <w:tcPr>
            <w:tcW w:w="4153" w:type="dxa"/>
          </w:tcPr>
          <w:p w14:paraId="709DEF9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3C70A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50734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4CD72CD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22D470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46368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990C2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042D1C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720671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64CB6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DBBD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0F67C81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2B9BA58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217FF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E1ADD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1E2A2C6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23D2D3A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131BA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6E9F5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0A954E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006C5B2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43298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3E65D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77478AB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6C6D9AC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供应商需在框架协议电子化采购系统中按要求填写《响应函》完成承诺并加盖供应商法定名称章。</w:t>
            </w:r>
          </w:p>
        </w:tc>
      </w:tr>
      <w:tr w14:paraId="13B37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49DCA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2CBD2D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629DF3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r>
              <w:rPr>
                <w:rFonts w:hint="eastAsia" w:ascii="宋体" w:hAnsi="宋体" w:eastAsia="宋体" w:cs="宋体"/>
                <w:color w:val="auto"/>
                <w:sz w:val="24"/>
                <w:szCs w:val="24"/>
              </w:rPr>
              <w:t>中除提供上述要求的证明材料（生产厂家需加盖公章）外，还应提供唯一授权文件扫描件。</w:t>
            </w:r>
          </w:p>
        </w:tc>
      </w:tr>
    </w:tbl>
    <w:p w14:paraId="2787336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4E4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B9908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4ED2FD7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2492CDB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148F0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A6E98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15C2F45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符合采购需求的承诺</w:t>
            </w:r>
          </w:p>
        </w:tc>
        <w:tc>
          <w:tcPr>
            <w:tcW w:w="4153" w:type="dxa"/>
          </w:tcPr>
          <w:p w14:paraId="068D480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1、供应商完全响应并满足本项目采购内容、技术参数及要求和商务要求的所有内容，（说明：提供承诺并加盖供应商法定名称章。）； 2、供应商报价不超过最高限价。</w:t>
            </w:r>
          </w:p>
        </w:tc>
      </w:tr>
    </w:tbl>
    <w:p w14:paraId="570D196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10.入围供应商的清退和申请规则：</w:t>
      </w:r>
    </w:p>
    <w:p w14:paraId="0E9BB60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征集公告发布后至框架协议期满前，供应商可以按照征集公告要求，随时提交加入框架协议的申请。征集人应当在收到供应商申请后7个工作日内完成审核，并将审核结果书面通知申请供应商。</w:t>
      </w:r>
    </w:p>
    <w:p w14:paraId="3ACB0EC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入围供应商有下列情形之一，尚未签订框架协议的，取消其入围资格；已经签订框架协议的，解除与其签订的框架协议：</w:t>
      </w:r>
    </w:p>
    <w:p w14:paraId="083E76F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1、恶意串通谋取入围或者合同成交的；</w:t>
      </w:r>
    </w:p>
    <w:p w14:paraId="649A09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2、提供虚假材料谋取入围或者合同成交的；</w:t>
      </w:r>
    </w:p>
    <w:p w14:paraId="2644FE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3、无正当理由拒不接受合同授予的；</w:t>
      </w:r>
    </w:p>
    <w:p w14:paraId="29789C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4、不履行合同义务或者履行合同义务不符合约定，经采购人请求履行后仍不履行或者仍未按约定履行的；</w:t>
      </w:r>
    </w:p>
    <w:p w14:paraId="4226465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5、框架协议有效期内，因违法行为被禁止或限制参加政府采购活动的；</w:t>
      </w:r>
    </w:p>
    <w:p w14:paraId="6E43F0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6、框架协议约定的其他情形。</w:t>
      </w:r>
    </w:p>
    <w:p w14:paraId="153463B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被取消入围资格或者被解除框架协议的供应商不得重新申请加入同一开放式框架协议。</w:t>
      </w:r>
    </w:p>
    <w:p w14:paraId="29C82B7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11.资格审查方法和标准：</w:t>
      </w:r>
    </w:p>
    <w:p w14:paraId="71AEAC8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（1）资格审查方法：</w:t>
      </w:r>
    </w:p>
    <w:p w14:paraId="71C5075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征集人对供应商提交的加入本项目框架协议的申请进行资格审查。</w:t>
      </w:r>
    </w:p>
    <w:p w14:paraId="7AED4FA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（2）资格审查标准：</w:t>
      </w:r>
    </w:p>
    <w:p w14:paraId="0CCA9FD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资格审查标准按本项目框架协议征集公告规定的资格审查要求进行审查。</w:t>
      </w:r>
    </w:p>
    <w:p w14:paraId="7835A8D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征集人应依据法律法规的规定和本征集公告中供应商的资格条件的要求，审查供应商是否具备入围资格。审查内容包括：</w:t>
      </w:r>
    </w:p>
    <w:p w14:paraId="5805344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1）是否属于禁止参加投标的供应商；</w:t>
      </w:r>
    </w:p>
    <w:p w14:paraId="51EE9FE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2）是否按照规定要求提供资格性证明材料；</w:t>
      </w:r>
    </w:p>
    <w:p w14:paraId="277C12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3）法律法规规定的其他资格条件。</w:t>
      </w:r>
    </w:p>
    <w:p w14:paraId="6D469D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12.第二阶段成交供应商的方式：直接选定</w:t>
      </w:r>
    </w:p>
    <w:p w14:paraId="4C960C9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13.资金支付方式、时间和条件：</w:t>
      </w:r>
    </w:p>
    <w:p w14:paraId="12B5E09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0BA631C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支付要求：对于满足合同约定支付条件的，采购人应当自收到发票后10个工作日内将资金支付到合同约定的供应商账户。采购人和供应商在第二阶段有特殊约定的除外。</w:t>
      </w:r>
    </w:p>
    <w:p w14:paraId="2B170407">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五、风险控制措施和替代方案</w:t>
      </w:r>
    </w:p>
    <w:p w14:paraId="400711C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该采购项目按照《政府采购需求管理办法》第二十五条规定，本项目是否需要组织风险判断、提出处置措施和替代方案：</w:t>
      </w:r>
      <w:r>
        <w:rPr>
          <w:rFonts w:hint="eastAsia" w:ascii="宋体" w:hAnsi="宋体" w:eastAsia="宋体" w:cs="宋体"/>
          <w:color w:val="auto"/>
          <w:sz w:val="24"/>
          <w:szCs w:val="24"/>
          <w:lang w:val="en-US" w:eastAsia="zh-CN"/>
        </w:rPr>
        <w:t>需要</w:t>
      </w:r>
    </w:p>
    <w:p w14:paraId="788CB25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政策变化风险的应对措施：（1）根据国家政策变化调整项目采购，若项目已发布征集公告还未开标的，视情况发出更正公告或终止公告，待调整后再开标或重新发布征集公告。（2）若项目还未发布征集公告则根据新政策调整后视情况开展采购活动。</w:t>
      </w:r>
    </w:p>
    <w:p w14:paraId="2DB3CA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环境变化风险的应对措施：（1）根据实施环境变化调整项目采购，若项目已发布征集公告还未开标的，视情况发出更正公告或终止公告，待调整后再开标或重新发布征集公告。（2）若项目还未发布征集公告则根据新环境调整后视情况开展采购活动。</w:t>
      </w:r>
    </w:p>
    <w:p w14:paraId="014618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重大技术变化风险的应对措施：（1）根据重大技术变化调整项目采购，若项目已发布征集公告还未开标的，视情况发出更正公告或终止公告，待调整后再开标或重新发布征集公告。（2）若项目还未发布征集公告则根据新技术调整后视情况开展采购活动。</w:t>
      </w:r>
    </w:p>
    <w:p w14:paraId="6639B8A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项目调整风险的应对措施：（1）预算项目调整，若项目已发布征集公告还未开标则发出终止公告，待预算调整后再次发布征集公告重新招标。（2）若项目还未发布征集公告则待预算调整后视情况开展采购活动。</w:t>
      </w:r>
    </w:p>
    <w:p w14:paraId="51FCDF5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因质疑投诉影响采购进度风险的应对措施：根据《政府采购质疑和投诉办法》（财政部令第94号）处理。在前期项目需求论证阶段，严格把握参数需求的设置，避免出现有倾向性参数而导致项目出现质疑投诉；在处理质疑投诉过程中，根据实际情况判定是否需要暂停采购活动或继续开展采购活动。</w:t>
      </w:r>
    </w:p>
    <w:p w14:paraId="69665D2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采购失败风险的应对措施：（1）征集活动出现废标情况，应及时在四川政府采购网上发布废标公告。（2）根据废标情况，分析采购失败原因，梳理项目中存在的风险点及时改进，视情况判断是否需要进行需求调查，并在总结采购失败原因后，重新在四川政府采购网上发布征集公告开展采购活动。</w:t>
      </w:r>
    </w:p>
    <w:p w14:paraId="74F5AF1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按规定签订或者履行合同风险的应对措施：（1）采购人、采购代理机构中标、成交通知书发出后不与中标、成交供应商签订采购合同的，按照《中华人民共和国政府采购法》第七十一条的规定进行处理。（2）供应商中标或者成交后无正当理由拒不与采购人签订政府采购合同的，按照《中华人民共和国政府采购法》第七十七条、《中华人民共和国政府采购法实施条例》第七十二条的规定进行处理。（3）当事人一方不履行合同义务或者履行合同义务不符合约定的，应当承担继续履行、采取补救措施或者赔偿损失等违约责任；当事人一方明确表示或者以自己的行为表明不履行合同义务的，对方可以在履行期限届满前请求其承担违约责任。（4）对于代理商拒不履行合同义务的，征集人应当依法追究入围供应商责任，并按协议约定解除代理商在该框架协议中接受合同授予的资格。征集人不得未经入围供应商同意，擅自增减变动代理商。</w:t>
      </w:r>
    </w:p>
    <w:p w14:paraId="7CDA04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8）出现损害国家利益和社会公共利益情形风险的应对措施：按照《中华人民共和国政府采购法》第五十条的规定处理。</w:t>
      </w:r>
    </w:p>
    <w:p w14:paraId="168A0A6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9）其他采购和合同履行过程的风险及应对措施：如出现不可抗力情况，根据具体情况按照以下方式处理：暂停采购活动待影响过去继续采购活动；影响很大已不在适合继续项目采购活动了，发出终止公告。</w:t>
      </w:r>
    </w:p>
    <w:p w14:paraId="52FA04F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2U3ZGYzMWNhMjRhYTQzNmYwM2QxNzA5MWQxNGIifQ=="/>
  </w:docVars>
  <w:rsids>
    <w:rsidRoot w:val="53B52B8D"/>
    <w:rsid w:val="03151C1F"/>
    <w:rsid w:val="0C015778"/>
    <w:rsid w:val="177F50ED"/>
    <w:rsid w:val="1E84498E"/>
    <w:rsid w:val="33D40BFD"/>
    <w:rsid w:val="53B52B8D"/>
    <w:rsid w:val="542A4A90"/>
    <w:rsid w:val="632859A6"/>
    <w:rsid w:val="6A3D585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2064</Words>
  <Characters>2121</Characters>
  <Lines>0</Lines>
  <Paragraphs>0</Paragraphs>
  <TotalTime>1</TotalTime>
  <ScaleCrop>false</ScaleCrop>
  <LinksUpToDate>false</LinksUpToDate>
  <CharactersWithSpaces>2163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弓三</cp:lastModifiedBy>
  <dcterms:modified xsi:type="dcterms:W3CDTF">2025-09-05T06:44:15Z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91465F057F6049CBB12A34BF7971F15A_13</vt:lpwstr>
  </property>
  <property fmtid="{D5CDD505-2E9C-101B-9397-08002B2CF9AE}" pid="4" name="KSOTemplateDocerSaveRecord">
    <vt:lpwstr>eyJoZGlkIjoiMzkwZWU2NjY2YTAxNDk1NGUwN2YxZjA2ZTQ1ZWMwMjQiLCJ1c2VySWQiOiIxNTE3NDQ3Mzk0In0=</vt:lpwstr>
  </property>
</Properties>
</file>