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0DAA4">
      <w:pPr>
        <w:pStyle w:val="5"/>
        <w:keepNext w:val="0"/>
        <w:keepLines w:val="0"/>
        <w:pageBreakBefore w:val="0"/>
        <w:kinsoku/>
        <w:wordWrap/>
        <w:overflowPunct/>
        <w:topLinePunct w:val="0"/>
        <w:autoSpaceDE/>
        <w:autoSpaceDN/>
        <w:bidi w:val="0"/>
        <w:adjustRightInd/>
        <w:snapToGrid/>
        <w:ind w:firstLine="0"/>
        <w:textAlignment w:val="auto"/>
        <w:outlineLvl w:val="2"/>
        <w:rPr>
          <w:rFonts w:hint="default"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附件3</w:t>
      </w:r>
      <w:bookmarkStart w:id="0" w:name="_GoBack"/>
      <w:bookmarkEnd w:id="0"/>
    </w:p>
    <w:p w14:paraId="1FA490C1">
      <w:pPr>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Hans"/>
        </w:rPr>
      </w:pPr>
    </w:p>
    <w:p w14:paraId="5F470475">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textWrapping"/>
      </w:r>
    </w:p>
    <w:p w14:paraId="694537D8">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p w14:paraId="0004D689">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p w14:paraId="219809FC">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p w14:paraId="47CE56AF">
      <w:pPr>
        <w:pStyle w:val="5"/>
        <w:jc w:val="center"/>
        <w:outlineLvl w:val="0"/>
        <w:rPr>
          <w:rFonts w:hint="eastAsia" w:ascii="Times New Roman" w:hAnsi="Times New Roman" w:eastAsia="方正小标宋简体" w:cs="Times New Roman"/>
          <w:b w:val="0"/>
          <w:bCs w:val="0"/>
          <w:color w:val="auto"/>
          <w:kern w:val="2"/>
          <w:sz w:val="44"/>
          <w:szCs w:val="44"/>
          <w:highlight w:val="none"/>
          <w:lang w:val="en-US" w:eastAsia="zh-CN" w:bidi="ar-SA"/>
        </w:rPr>
      </w:pPr>
      <w:r>
        <w:rPr>
          <w:rFonts w:hint="eastAsia" w:ascii="Times New Roman" w:hAnsi="Times New Roman" w:eastAsia="方正小标宋简体" w:cs="Times New Roman"/>
          <w:b w:val="0"/>
          <w:bCs w:val="0"/>
          <w:color w:val="auto"/>
          <w:kern w:val="2"/>
          <w:sz w:val="44"/>
          <w:szCs w:val="44"/>
          <w:highlight w:val="none"/>
          <w:lang w:val="en-US" w:eastAsia="zh-CN" w:bidi="ar-SA"/>
        </w:rPr>
        <w:t>四川省2025年其他计算机软件（杀毒软件）封闭式框架协议采购需求</w:t>
      </w:r>
    </w:p>
    <w:p w14:paraId="3408E52A">
      <w:pPr>
        <w:pStyle w:val="5"/>
        <w:jc w:val="center"/>
        <w:outlineLvl w:val="0"/>
        <w:rPr>
          <w:rFonts w:hint="eastAsia" w:ascii="Times New Roman" w:hAnsi="Times New Roman" w:eastAsia="方正小标宋简体" w:cs="Times New Roman"/>
          <w:b w:val="0"/>
          <w:bCs w:val="0"/>
          <w:color w:val="auto"/>
          <w:kern w:val="2"/>
          <w:sz w:val="44"/>
          <w:szCs w:val="44"/>
          <w:highlight w:val="none"/>
          <w:lang w:val="en-US" w:eastAsia="zh-CN" w:bidi="ar-SA"/>
        </w:rPr>
      </w:pPr>
    </w:p>
    <w:p w14:paraId="61B7DB78">
      <w:pPr>
        <w:pStyle w:val="5"/>
        <w:jc w:val="center"/>
        <w:outlineLvl w:val="0"/>
        <w:rPr>
          <w:rFonts w:hint="eastAsia" w:ascii="Times New Roman" w:hAnsi="Times New Roman" w:eastAsia="方正小标宋简体" w:cs="Times New Roman"/>
          <w:b w:val="0"/>
          <w:bCs w:val="0"/>
          <w:color w:val="auto"/>
          <w:kern w:val="2"/>
          <w:sz w:val="44"/>
          <w:szCs w:val="44"/>
          <w:highlight w:val="none"/>
          <w:lang w:val="en-US" w:eastAsia="zh-CN" w:bidi="ar-SA"/>
        </w:rPr>
      </w:pPr>
    </w:p>
    <w:p w14:paraId="27D85506">
      <w:pPr>
        <w:pStyle w:val="5"/>
        <w:jc w:val="center"/>
        <w:outlineLvl w:val="0"/>
        <w:rPr>
          <w:rFonts w:hint="default" w:ascii="Times New Roman" w:hAnsi="Times New Roman" w:eastAsia="方正小标宋简体" w:cs="Times New Roman"/>
          <w:b w:val="0"/>
          <w:bCs w:val="0"/>
          <w:color w:val="auto"/>
          <w:kern w:val="2"/>
          <w:sz w:val="44"/>
          <w:szCs w:val="44"/>
          <w:highlight w:val="none"/>
          <w:lang w:val="en-US" w:eastAsia="zh-CN" w:bidi="ar-SA"/>
        </w:rPr>
      </w:pPr>
    </w:p>
    <w:p w14:paraId="6A2BFCE9">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p w14:paraId="300F59EE">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p w14:paraId="7D7B1014">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p w14:paraId="17FD5268">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p w14:paraId="5027D0C7">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p w14:paraId="0A8DF38C">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p w14:paraId="49935681">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p w14:paraId="1E054552">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p w14:paraId="0F2C899C">
      <w:pPr>
        <w:pStyle w:val="5"/>
        <w:keepNext w:val="0"/>
        <w:keepLines w:val="0"/>
        <w:pageBreakBefore w:val="0"/>
        <w:kinsoku/>
        <w:wordWrap/>
        <w:overflowPunct/>
        <w:topLinePunct w:val="0"/>
        <w:autoSpaceDE/>
        <w:autoSpaceDN/>
        <w:bidi w:val="0"/>
        <w:adjustRightInd/>
        <w:snapToGrid/>
        <w:spacing w:before="3000"/>
        <w:ind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征集人：四川省政府采购中心</w:t>
      </w:r>
    </w:p>
    <w:p w14:paraId="508741CF">
      <w:pPr>
        <w:pStyle w:val="5"/>
        <w:keepNext w:val="0"/>
        <w:keepLines w:val="0"/>
        <w:pageBreakBefore w:val="0"/>
        <w:kinsoku/>
        <w:wordWrap/>
        <w:overflowPunct/>
        <w:topLinePunct w:val="0"/>
        <w:autoSpaceDE/>
        <w:autoSpaceDN/>
        <w:bidi w:val="0"/>
        <w:adjustRightInd/>
        <w:snapToGrid/>
        <w:ind w:firstLine="0"/>
        <w:jc w:val="center"/>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编制时间：202</w:t>
      </w: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年09月</w:t>
      </w: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日</w:t>
      </w:r>
    </w:p>
    <w:p w14:paraId="28A9D918">
      <w:pP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25208DE6">
      <w:pPr>
        <w:pStyle w:val="5"/>
        <w:keepNext w:val="0"/>
        <w:keepLines w:val="0"/>
        <w:pageBreakBefore w:val="0"/>
        <w:kinsoku/>
        <w:wordWrap/>
        <w:overflowPunct/>
        <w:topLinePunct w:val="0"/>
        <w:autoSpaceDE/>
        <w:autoSpaceDN/>
        <w:bidi w:val="0"/>
        <w:adjustRightInd/>
        <w:snapToGrid/>
        <w:ind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color w:val="auto"/>
          <w:sz w:val="24"/>
          <w:szCs w:val="24"/>
        </w:rPr>
        <w:br w:type="textWrapping"/>
      </w:r>
    </w:p>
    <w:p w14:paraId="55E46963">
      <w:pPr>
        <w:pStyle w:val="5"/>
        <w:keepNext w:val="0"/>
        <w:keepLines w:val="0"/>
        <w:pageBreakBefore w:val="0"/>
        <w:kinsoku/>
        <w:wordWrap/>
        <w:overflowPunct/>
        <w:topLinePunct w:val="0"/>
        <w:autoSpaceDE/>
        <w:autoSpaceDN/>
        <w:bidi w:val="0"/>
        <w:adjustRightInd/>
        <w:snapToGrid/>
        <w:ind w:firstLine="0"/>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一、总体情况</w:t>
      </w:r>
    </w:p>
    <w:p w14:paraId="6292FCE6">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 （一）项目编号：</w:t>
      </w:r>
      <w:r>
        <w:rPr>
          <w:rFonts w:hint="eastAsia" w:ascii="宋体" w:hAnsi="宋体" w:eastAsia="宋体" w:cs="宋体"/>
          <w:color w:val="auto"/>
          <w:sz w:val="24"/>
          <w:szCs w:val="24"/>
          <w:lang w:val="en-US" w:eastAsia="zh-CN"/>
        </w:rPr>
        <w:t>/</w:t>
      </w:r>
    </w:p>
    <w:p w14:paraId="465A8E2F">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（二）项目名称： 四川省202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年其他计算机软件（杀毒软件）框架协议采购</w:t>
      </w:r>
    </w:p>
    <w:p w14:paraId="089E3BC6">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（三）项目所属分类： 货物类</w:t>
      </w:r>
    </w:p>
    <w:p w14:paraId="1EEAEDD1">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（四）项目概况：为满足各单位杀毒软件的需要。</w:t>
      </w:r>
    </w:p>
    <w:p w14:paraId="337C5AEB">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（五）本项目符合《政府采购框架协议采购方式管理暂行办法》中“集中采购目录以内品目，以及与之配套的必要耗材、配件等，属于小额零星采购的”适用情形。</w:t>
      </w:r>
    </w:p>
    <w:p w14:paraId="537CC6D7">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理由描述：集中采购目录以内品目，以及与之配套的必要耗材、配件等，属于小额零星采购的。</w:t>
      </w:r>
    </w:p>
    <w:p w14:paraId="29172AAD">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（六）框架协议采购分类： 封闭式框架协议采购</w:t>
      </w:r>
    </w:p>
    <w:p w14:paraId="52D5E25E">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（七）框架协议期限：</w:t>
      </w:r>
    </w:p>
    <w:p w14:paraId="68F6894E">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自框架协议签订之日起 1年 ，如框架协议期满，因新一期框架协议征集出现废标、质疑投诉等特殊情形，导致新一期框架协议不能按时签订的，本框架协议继续履行，直至新一期框架协议签订为止。</w:t>
      </w:r>
    </w:p>
    <w:p w14:paraId="783DB36A">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（八）采购人或服务对象范围：</w:t>
      </w:r>
    </w:p>
    <w:p w14:paraId="2F760F86">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1、征集人范围：</w:t>
      </w:r>
    </w:p>
    <w:tbl>
      <w:tblPr>
        <w:tblStyle w:val="3"/>
        <w:tblW w:w="0" w:type="auto"/>
        <w:tblInd w:w="0"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autofit"/>
        <w:tblCellMar>
          <w:top w:w="0" w:type="dxa"/>
          <w:left w:w="108" w:type="dxa"/>
          <w:bottom w:w="0" w:type="dxa"/>
          <w:right w:w="108" w:type="dxa"/>
        </w:tblCellMar>
      </w:tblPr>
      <w:tblGrid>
        <w:gridCol w:w="2492"/>
        <w:gridCol w:w="2492"/>
        <w:gridCol w:w="2492"/>
      </w:tblGrid>
      <w:tr w14:paraId="2952DF7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485D967D">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29810CD7">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行政区划/采购单位</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36D34F03">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p>
        </w:tc>
      </w:tr>
      <w:tr w14:paraId="5D0662C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1E6336BE">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13395B01">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四川省四川省本级所属采购单位</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66362BCD">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w:t>
            </w:r>
          </w:p>
        </w:tc>
      </w:tr>
      <w:tr w14:paraId="3B043B3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7539E7D6">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02DE1F75">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四川省成都市所属采购单位</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7F048E58">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w:t>
            </w:r>
          </w:p>
        </w:tc>
      </w:tr>
      <w:tr w14:paraId="20F08D28">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6B716E86">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36DFF0D7">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四川省自贡市所属采购单位</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7E399BE8">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w:t>
            </w:r>
          </w:p>
        </w:tc>
      </w:tr>
      <w:tr w14:paraId="76F0ED5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2F5E44EF">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78D2E153">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四川省攀枝花市所属采购单位</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5180C650">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w:t>
            </w:r>
          </w:p>
        </w:tc>
      </w:tr>
      <w:tr w14:paraId="545E5D9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75BFF777">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24220361">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四川省泸州市所属采购单位</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6604C1E1">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w:t>
            </w:r>
          </w:p>
        </w:tc>
      </w:tr>
      <w:tr w14:paraId="6190B5FA">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00B2C5BF">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5FA0F168">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四川省德阳市所属采购单位</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10C90026">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w:t>
            </w:r>
          </w:p>
        </w:tc>
      </w:tr>
      <w:tr w14:paraId="2A7C1B7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24CE41EC">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2C625DE8">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四川省绵阳市所属采购单位</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4E30C146">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w:t>
            </w:r>
          </w:p>
        </w:tc>
      </w:tr>
      <w:tr w14:paraId="5DC8767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00AB56F8">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0A9E9B21">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四川省广元市所属采购单位</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499C594F">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w:t>
            </w:r>
          </w:p>
        </w:tc>
      </w:tr>
      <w:tr w14:paraId="012FC0A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6AB0AACA">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7BFE1387">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四川省遂宁市所属采购单位</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046981BD">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w:t>
            </w:r>
          </w:p>
        </w:tc>
      </w:tr>
      <w:tr w14:paraId="613C52EA">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0AACCE6C">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5F3A076F">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四川省内江市所属采购单位</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2146FFB7">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w:t>
            </w:r>
          </w:p>
        </w:tc>
      </w:tr>
      <w:tr w14:paraId="593CB4D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700FAE22">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08C841C3">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四川省乐山市所属采购单位</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75DBF920">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w:t>
            </w:r>
          </w:p>
        </w:tc>
      </w:tr>
      <w:tr w14:paraId="27D40CA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12A6925F">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56BE6D6C">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四川省南充市所属采购单位</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7EE57CBD">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w:t>
            </w:r>
          </w:p>
        </w:tc>
      </w:tr>
      <w:tr w14:paraId="20FF8B8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4242F855">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0C191A9C">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四川省眉山市所属采购单位</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14673C43">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w:t>
            </w:r>
          </w:p>
        </w:tc>
      </w:tr>
      <w:tr w14:paraId="04414F9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526D7E78">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37061BA4">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四川省宜宾市所属采购单位</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1D50A7E2">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w:t>
            </w:r>
          </w:p>
        </w:tc>
      </w:tr>
      <w:tr w14:paraId="772C7310">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7D8D3719">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62C818AD">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四川省广安市所属采购单位</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2E5E2B61">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w:t>
            </w:r>
          </w:p>
        </w:tc>
      </w:tr>
      <w:tr w14:paraId="2246195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50E1F5A5">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18583C26">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四川省达州市所属采购单位</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1C911027">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w:t>
            </w:r>
          </w:p>
        </w:tc>
      </w:tr>
      <w:tr w14:paraId="5252409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2F220047">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7C36A50D">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四川省雅安市所属采购单位</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2CEFB9F1">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w:t>
            </w:r>
          </w:p>
        </w:tc>
      </w:tr>
      <w:tr w14:paraId="65A1A7D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194B5D07">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3B2036D1">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四川省巴中市所属采购单位</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0FB8491D">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w:t>
            </w:r>
          </w:p>
        </w:tc>
      </w:tr>
      <w:tr w14:paraId="1CF8ACA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4A75E4B2">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7D1F34D5">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四川省资阳市所属采购单位</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7D47D5DE">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w:t>
            </w:r>
          </w:p>
        </w:tc>
      </w:tr>
      <w:tr w14:paraId="47E1C53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0271E9AB">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47679AE9">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四川省阿坝藏族羌族自治州所属采购单位</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4E8AC27D">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w:t>
            </w:r>
          </w:p>
        </w:tc>
      </w:tr>
      <w:tr w14:paraId="7441F7E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3F638D7C">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21B10759">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四川省甘孜藏族自治州所属采购单位</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47A0D364">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w:t>
            </w:r>
          </w:p>
        </w:tc>
      </w:tr>
      <w:tr w14:paraId="2BBEDE08">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24D4B067">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76731D5F">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四川省凉山彝族自治州所属采购单位</w:t>
            </w:r>
          </w:p>
        </w:tc>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2538253E">
            <w:pPr>
              <w:pStyle w:val="5"/>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w:t>
            </w:r>
          </w:p>
        </w:tc>
      </w:tr>
    </w:tbl>
    <w:p w14:paraId="24B8F178">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包括但不限于配送至全省镇一级行政区划。</w:t>
      </w:r>
    </w:p>
    <w:p w14:paraId="1A4BFD8B">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（九）确定第二阶段成交供应商方式的限额：</w:t>
      </w:r>
    </w:p>
    <w:p w14:paraId="28CBB13C">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单次采购20万元以下（不含20万）的采用直接选定或者二次竞价，20万元以上（含20万）的采用二次竞价。</w:t>
      </w:r>
    </w:p>
    <w:p w14:paraId="6A2A4AA4">
      <w:pPr>
        <w:pStyle w:val="5"/>
        <w:keepNext w:val="0"/>
        <w:keepLines w:val="0"/>
        <w:pageBreakBefore w:val="0"/>
        <w:kinsoku/>
        <w:wordWrap/>
        <w:overflowPunct/>
        <w:topLinePunct w:val="0"/>
        <w:autoSpaceDE/>
        <w:autoSpaceDN/>
        <w:bidi w:val="0"/>
        <w:adjustRightInd/>
        <w:snapToGrid/>
        <w:ind w:firstLine="0"/>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二</w:t>
      </w:r>
      <w:r>
        <w:rPr>
          <w:rFonts w:hint="eastAsia" w:ascii="宋体" w:hAnsi="宋体" w:eastAsia="宋体" w:cs="宋体"/>
          <w:b/>
          <w:color w:val="auto"/>
          <w:sz w:val="24"/>
          <w:szCs w:val="24"/>
        </w:rPr>
        <w:t>、采购实施计划</w:t>
      </w:r>
    </w:p>
    <w:p w14:paraId="2941A85D">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（一）采购组织形式：集中采购</w:t>
      </w:r>
    </w:p>
    <w:p w14:paraId="716956FB">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（二）采购方式：框架协议</w:t>
      </w:r>
    </w:p>
    <w:p w14:paraId="782E2802">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（三）入围供应商清退和补充规则：</w:t>
      </w:r>
    </w:p>
    <w:p w14:paraId="35675F02">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1．入围供应商清退规则：</w:t>
      </w:r>
    </w:p>
    <w:p w14:paraId="7C669270">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入围供应商有下列情形之一，尚未签订框架协议的，取消其入围资格；已经签订框架协议的，解除与其签订的框架协议：</w:t>
      </w:r>
    </w:p>
    <w:p w14:paraId="010014E7">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恶意串通谋取入围或者合同成交的；</w:t>
      </w:r>
    </w:p>
    <w:p w14:paraId="4EBED4EB">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 提供虚假材料谋取入围或者合同成交的；</w:t>
      </w:r>
    </w:p>
    <w:p w14:paraId="227A0ECF">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 无正当理由拒不接受合同授予的；</w:t>
      </w:r>
    </w:p>
    <w:p w14:paraId="6D858AAB">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 不履行合同义务或者履行合同义务不符合约定，经采购人请求履行后仍不履行或者仍未按约定履行的；</w:t>
      </w:r>
    </w:p>
    <w:p w14:paraId="1D2E56BD">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 框架协议有效期内，因违法行为被禁止或限制参加政府采购活动的；</w:t>
      </w:r>
    </w:p>
    <w:p w14:paraId="7A7A70BA">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 出现供应商信用管理规定的应当清退的情形。</w:t>
      </w:r>
    </w:p>
    <w:p w14:paraId="56DB7EBD">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将政府采购合同转包；</w:t>
      </w:r>
    </w:p>
    <w:p w14:paraId="37AD876B">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 提供假冒伪劣产品；</w:t>
      </w:r>
    </w:p>
    <w:p w14:paraId="775BBEB5">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 向采购人行贿或者提供其他不正当利益；</w:t>
      </w:r>
    </w:p>
    <w:p w14:paraId="4F8AF46B">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 拒绝财政部门监督检查或者提供虚假情况；</w:t>
      </w:r>
    </w:p>
    <w:p w14:paraId="6E7F8B99">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 干扰、扰乱系统正常使用，包括但不限于爬取、篡改、利用漏洞的行为；</w:t>
      </w:r>
    </w:p>
    <w:p w14:paraId="5CC1AE2E">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 出现供应商信用管理规定的应当清退出库的其他情形；</w:t>
      </w:r>
    </w:p>
    <w:p w14:paraId="3C27582C">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被取消入围资格或者被解除框架协议的供应商不得参加同一封闭式框架协议补充征集。</w:t>
      </w:r>
    </w:p>
    <w:p w14:paraId="7FCA6DDD">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2．入围供应商补充规则：</w:t>
      </w:r>
    </w:p>
    <w:p w14:paraId="64D007AA">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是否允许补充征集供应商： 是</w:t>
      </w:r>
    </w:p>
    <w:p w14:paraId="78E6E25D">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框架协议有效期内，当剩余入围供应商不足入围供应商总数70%且影响框架协议执行时，征集人将启动补充征集供应商，补充征集的条件、程序、评审方法和淘汰比例与初次征集相同。有效期遵守原框架协议的有效期。</w:t>
      </w:r>
    </w:p>
    <w:p w14:paraId="56AEA050">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（四）执行政府采购促进中小企业发展的相关政策：</w:t>
      </w:r>
    </w:p>
    <w:p w14:paraId="7B39B016">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1.不专门面向中小企业采购</w:t>
      </w:r>
    </w:p>
    <w:p w14:paraId="217961E9">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不专门面向的原因：框架协议采购项目</w:t>
      </w:r>
    </w:p>
    <w:p w14:paraId="409D1364">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i/>
          <w:color w:val="auto"/>
          <w:sz w:val="24"/>
          <w:szCs w:val="24"/>
        </w:rPr>
        <w:t>注：监狱企业和残疾人福利单位视同小微企业。</w:t>
      </w:r>
    </w:p>
    <w:p w14:paraId="69AA1539">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（五）采购人可以将合同授予非入围供应商</w:t>
      </w:r>
    </w:p>
    <w:p w14:paraId="04FE7E61">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采购人证明能够以更低价格向非入围供应商采购相同货物，且入围供应商不同意将价格降至非入围供应商以下的，可以将合同授予非入围供应商。 采购人将合同授予非入围供应商的，应当在确定成交供应商后1个工作日内，将成交结果抄送征集人，由征集人按照单笔公告要求发布成交结果公告。</w:t>
      </w:r>
    </w:p>
    <w:p w14:paraId="06B4003C">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（六）联合征集二阶段成交结果公告发布：</w:t>
      </w:r>
    </w:p>
    <w:p w14:paraId="1B80A39B">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第二阶段单个成交结果由各属地采购中心发布，汇总成交结果由征集人发布，均由系统自动生成、汇总。</w:t>
      </w:r>
    </w:p>
    <w:p w14:paraId="1FFE1E17">
      <w:pPr>
        <w:pStyle w:val="5"/>
        <w:keepNext w:val="0"/>
        <w:keepLines w:val="0"/>
        <w:pageBreakBefore w:val="0"/>
        <w:kinsoku/>
        <w:wordWrap/>
        <w:overflowPunct/>
        <w:topLinePunct w:val="0"/>
        <w:autoSpaceDE/>
        <w:autoSpaceDN/>
        <w:bidi w:val="0"/>
        <w:adjustRightInd/>
        <w:snapToGrid/>
        <w:ind w:firstLine="0"/>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三</w:t>
      </w:r>
      <w:r>
        <w:rPr>
          <w:rFonts w:hint="eastAsia" w:ascii="宋体" w:hAnsi="宋体" w:eastAsia="宋体" w:cs="宋体"/>
          <w:b/>
          <w:color w:val="auto"/>
          <w:sz w:val="24"/>
          <w:szCs w:val="24"/>
        </w:rPr>
        <w:t>、采购需求及分包情况、采购标的</w:t>
      </w:r>
    </w:p>
    <w:p w14:paraId="4A821640">
      <w:pPr>
        <w:pStyle w:val="5"/>
        <w:keepNext w:val="0"/>
        <w:keepLines w:val="0"/>
        <w:pageBreakBefore w:val="0"/>
        <w:kinsoku/>
        <w:wordWrap/>
        <w:overflowPunct/>
        <w:topLinePunct w:val="0"/>
        <w:autoSpaceDE/>
        <w:autoSpaceDN/>
        <w:bidi w:val="0"/>
        <w:adjustRightInd/>
        <w:snapToGrid/>
        <w:ind w:firstLine="0"/>
        <w:textAlignment w:val="auto"/>
        <w:outlineLvl w:val="4"/>
        <w:rPr>
          <w:rFonts w:hint="eastAsia" w:ascii="宋体" w:hAnsi="宋体" w:eastAsia="宋体" w:cs="宋体"/>
          <w:color w:val="auto"/>
          <w:sz w:val="24"/>
          <w:szCs w:val="24"/>
        </w:rPr>
      </w:pPr>
      <w:r>
        <w:rPr>
          <w:rFonts w:hint="eastAsia" w:ascii="宋体" w:hAnsi="宋体" w:eastAsia="宋体" w:cs="宋体"/>
          <w:b/>
          <w:color w:val="auto"/>
          <w:sz w:val="24"/>
          <w:szCs w:val="24"/>
        </w:rPr>
        <w:t>（一）分包名称：包1</w:t>
      </w:r>
    </w:p>
    <w:p w14:paraId="304D92EF">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1.采购标的：杀毒软件</w:t>
      </w:r>
    </w:p>
    <w:p w14:paraId="12EB2EEB">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2.需求明细：</w:t>
      </w:r>
    </w:p>
    <w:p w14:paraId="1861CFDF">
      <w:pPr>
        <w:pStyle w:val="5"/>
        <w:keepNext w:val="0"/>
        <w:keepLines w:val="0"/>
        <w:pageBreakBefore w:val="0"/>
        <w:widowControl/>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1）标的名称：杀毒软件Linux版</w:t>
      </w:r>
    </w:p>
    <w:p w14:paraId="653F88E1">
      <w:pPr>
        <w:pStyle w:val="5"/>
        <w:keepNext w:val="0"/>
        <w:keepLines w:val="0"/>
        <w:pageBreakBefore w:val="0"/>
        <w:widowControl/>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2）计量单位：点位</w:t>
      </w:r>
    </w:p>
    <w:p w14:paraId="3450934F">
      <w:pPr>
        <w:pStyle w:val="5"/>
        <w:keepNext w:val="0"/>
        <w:keepLines w:val="0"/>
        <w:pageBreakBefore w:val="0"/>
        <w:widowControl/>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3）是否强制采购节能产品： 否</w:t>
      </w:r>
    </w:p>
    <w:p w14:paraId="1AA060EA">
      <w:pPr>
        <w:pStyle w:val="5"/>
        <w:keepNext w:val="0"/>
        <w:keepLines w:val="0"/>
        <w:pageBreakBefore w:val="0"/>
        <w:widowControl/>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4）是否优先采购节能环保产品： 否</w:t>
      </w:r>
    </w:p>
    <w:p w14:paraId="67F5E021">
      <w:pPr>
        <w:pStyle w:val="5"/>
        <w:keepNext w:val="0"/>
        <w:keepLines w:val="0"/>
        <w:pageBreakBefore w:val="0"/>
        <w:widowControl/>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5）是否采购进口产品： 否</w:t>
      </w:r>
    </w:p>
    <w:p w14:paraId="1D520638">
      <w:pPr>
        <w:pStyle w:val="5"/>
        <w:keepNext w:val="0"/>
        <w:keepLines w:val="0"/>
        <w:pageBreakBefore w:val="0"/>
        <w:widowControl/>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6）标的物所属行业：软件和信息技术服务业</w:t>
      </w:r>
    </w:p>
    <w:p w14:paraId="3FB7216C">
      <w:pPr>
        <w:pStyle w:val="5"/>
        <w:keepNext w:val="0"/>
        <w:keepLines w:val="0"/>
        <w:pageBreakBefore w:val="0"/>
        <w:widowControl/>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3.拟采购标的的技术要求：</w:t>
      </w:r>
    </w:p>
    <w:tbl>
      <w:tblPr>
        <w:tblStyle w:val="3"/>
        <w:tblW w:w="9669" w:type="dxa"/>
        <w:tblInd w:w="-510"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fixed"/>
        <w:tblCellMar>
          <w:top w:w="0" w:type="dxa"/>
          <w:left w:w="108" w:type="dxa"/>
          <w:bottom w:w="0" w:type="dxa"/>
          <w:right w:w="108" w:type="dxa"/>
        </w:tblCellMar>
      </w:tblPr>
      <w:tblGrid>
        <w:gridCol w:w="507"/>
        <w:gridCol w:w="681"/>
        <w:gridCol w:w="2389"/>
        <w:gridCol w:w="1280"/>
        <w:gridCol w:w="404"/>
        <w:gridCol w:w="1477"/>
        <w:gridCol w:w="1305"/>
        <w:gridCol w:w="1626"/>
      </w:tblGrid>
      <w:tr w14:paraId="1650839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07" w:type="dxa"/>
          </w:tcPr>
          <w:p w14:paraId="37460BC0">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681" w:type="dxa"/>
          </w:tcPr>
          <w:p w14:paraId="1951916F">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w:t>
            </w:r>
          </w:p>
          <w:p w14:paraId="020915A3">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c>
          <w:tcPr>
            <w:tcW w:w="2389" w:type="dxa"/>
          </w:tcPr>
          <w:p w14:paraId="721B4975">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技术参数</w:t>
            </w:r>
          </w:p>
        </w:tc>
        <w:tc>
          <w:tcPr>
            <w:tcW w:w="1280" w:type="dxa"/>
          </w:tcPr>
          <w:p w14:paraId="61C0FE25">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404" w:type="dxa"/>
          </w:tcPr>
          <w:p w14:paraId="1489FA9D">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参数符号</w:t>
            </w:r>
          </w:p>
        </w:tc>
        <w:tc>
          <w:tcPr>
            <w:tcW w:w="1477" w:type="dxa"/>
          </w:tcPr>
          <w:p w14:paraId="0715C02E">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参数值规则</w:t>
            </w:r>
          </w:p>
        </w:tc>
        <w:tc>
          <w:tcPr>
            <w:tcW w:w="1305" w:type="dxa"/>
          </w:tcPr>
          <w:p w14:paraId="129D8720">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参数值</w:t>
            </w:r>
          </w:p>
        </w:tc>
        <w:tc>
          <w:tcPr>
            <w:tcW w:w="1626" w:type="dxa"/>
          </w:tcPr>
          <w:p w14:paraId="63451A35">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参数值偏离规则</w:t>
            </w:r>
          </w:p>
        </w:tc>
      </w:tr>
      <w:tr w14:paraId="059D225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07" w:type="dxa"/>
          </w:tcPr>
          <w:p w14:paraId="1F1A6320">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681" w:type="dxa"/>
          </w:tcPr>
          <w:p w14:paraId="691D0F88">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性能</w:t>
            </w:r>
          </w:p>
        </w:tc>
        <w:tc>
          <w:tcPr>
            <w:tcW w:w="2389" w:type="dxa"/>
          </w:tcPr>
          <w:p w14:paraId="6D0C2692">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系统支持</w:t>
            </w:r>
          </w:p>
        </w:tc>
        <w:tc>
          <w:tcPr>
            <w:tcW w:w="1280" w:type="dxa"/>
          </w:tcPr>
          <w:p w14:paraId="7CC6DFE8">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404" w:type="dxa"/>
          </w:tcPr>
          <w:p w14:paraId="290D1FD3">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477" w:type="dxa"/>
          </w:tcPr>
          <w:p w14:paraId="2517E60A">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305" w:type="dxa"/>
          </w:tcPr>
          <w:p w14:paraId="6C33DBA3">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主流Linux、麒麟、统信等操作系统</w:t>
            </w:r>
          </w:p>
        </w:tc>
        <w:tc>
          <w:tcPr>
            <w:tcW w:w="1626" w:type="dxa"/>
          </w:tcPr>
          <w:p w14:paraId="03361EA9">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0AC5075">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07" w:type="dxa"/>
          </w:tcPr>
          <w:p w14:paraId="1158576F">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81" w:type="dxa"/>
          </w:tcPr>
          <w:p w14:paraId="4BCA2B9B">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389" w:type="dxa"/>
          </w:tcPr>
          <w:p w14:paraId="7D665E92">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文件、邮件、U盘等实时监控</w:t>
            </w:r>
          </w:p>
        </w:tc>
        <w:tc>
          <w:tcPr>
            <w:tcW w:w="1280" w:type="dxa"/>
          </w:tcPr>
          <w:p w14:paraId="77F2C198">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404" w:type="dxa"/>
          </w:tcPr>
          <w:p w14:paraId="3E3790A2">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477" w:type="dxa"/>
          </w:tcPr>
          <w:p w14:paraId="39ED9BDE">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305" w:type="dxa"/>
          </w:tcPr>
          <w:p w14:paraId="638DB3C9">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626" w:type="dxa"/>
          </w:tcPr>
          <w:p w14:paraId="18EE5E9D">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677CE05">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07" w:type="dxa"/>
          </w:tcPr>
          <w:p w14:paraId="17D52822">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681" w:type="dxa"/>
          </w:tcPr>
          <w:p w14:paraId="05099F31">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389" w:type="dxa"/>
          </w:tcPr>
          <w:p w14:paraId="1898945A">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定时查毒杀毒</w:t>
            </w:r>
          </w:p>
        </w:tc>
        <w:tc>
          <w:tcPr>
            <w:tcW w:w="1280" w:type="dxa"/>
          </w:tcPr>
          <w:p w14:paraId="6BB21A5A">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404" w:type="dxa"/>
          </w:tcPr>
          <w:p w14:paraId="067757F9">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477" w:type="dxa"/>
          </w:tcPr>
          <w:p w14:paraId="25B17BBB">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305" w:type="dxa"/>
          </w:tcPr>
          <w:p w14:paraId="1A8BE817">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626" w:type="dxa"/>
          </w:tcPr>
          <w:p w14:paraId="212A9753">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94C114A">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07" w:type="dxa"/>
          </w:tcPr>
          <w:p w14:paraId="0458FEAB">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681" w:type="dxa"/>
          </w:tcPr>
          <w:p w14:paraId="259B913C">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389" w:type="dxa"/>
          </w:tcPr>
          <w:p w14:paraId="7C09C88F">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未知病毒查杀能力</w:t>
            </w:r>
          </w:p>
        </w:tc>
        <w:tc>
          <w:tcPr>
            <w:tcW w:w="1280" w:type="dxa"/>
          </w:tcPr>
          <w:p w14:paraId="2CFF26DD">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404" w:type="dxa"/>
          </w:tcPr>
          <w:p w14:paraId="2818B564">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477" w:type="dxa"/>
          </w:tcPr>
          <w:p w14:paraId="243F6BA2">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305" w:type="dxa"/>
          </w:tcPr>
          <w:p w14:paraId="1DF664B6">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626" w:type="dxa"/>
          </w:tcPr>
          <w:p w14:paraId="12017076">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740EC05">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07" w:type="dxa"/>
          </w:tcPr>
          <w:p w14:paraId="10242F78">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681" w:type="dxa"/>
          </w:tcPr>
          <w:p w14:paraId="2F79A5B3">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389" w:type="dxa"/>
          </w:tcPr>
          <w:p w14:paraId="6A3AD378">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是否支持手动升级</w:t>
            </w:r>
          </w:p>
        </w:tc>
        <w:tc>
          <w:tcPr>
            <w:tcW w:w="1280" w:type="dxa"/>
          </w:tcPr>
          <w:p w14:paraId="7688E108">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404" w:type="dxa"/>
          </w:tcPr>
          <w:p w14:paraId="6B820959">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477" w:type="dxa"/>
          </w:tcPr>
          <w:p w14:paraId="6A0C21EE">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305" w:type="dxa"/>
          </w:tcPr>
          <w:p w14:paraId="32E3B525">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626" w:type="dxa"/>
          </w:tcPr>
          <w:p w14:paraId="064EA551">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A99F8D5">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07" w:type="dxa"/>
          </w:tcPr>
          <w:p w14:paraId="519C3F09">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681" w:type="dxa"/>
          </w:tcPr>
          <w:p w14:paraId="4AB8924B">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389" w:type="dxa"/>
          </w:tcPr>
          <w:p w14:paraId="2214681B">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授权文件支持自动和手动下发机制</w:t>
            </w:r>
          </w:p>
        </w:tc>
        <w:tc>
          <w:tcPr>
            <w:tcW w:w="1280" w:type="dxa"/>
          </w:tcPr>
          <w:p w14:paraId="56EF1D5F">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404" w:type="dxa"/>
          </w:tcPr>
          <w:p w14:paraId="00A4CC7D">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477" w:type="dxa"/>
          </w:tcPr>
          <w:p w14:paraId="184E639B">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305" w:type="dxa"/>
          </w:tcPr>
          <w:p w14:paraId="40210AE4">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w:t>
            </w:r>
          </w:p>
        </w:tc>
        <w:tc>
          <w:tcPr>
            <w:tcW w:w="1626" w:type="dxa"/>
          </w:tcPr>
          <w:p w14:paraId="5B71BFA0">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343DA4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07" w:type="dxa"/>
          </w:tcPr>
          <w:p w14:paraId="1108FD7A">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681" w:type="dxa"/>
          </w:tcPr>
          <w:p w14:paraId="3C07AD6B">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389" w:type="dxa"/>
          </w:tcPr>
          <w:p w14:paraId="5292B6D8">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网址黑白名单，支持白名单排除设置</w:t>
            </w:r>
          </w:p>
        </w:tc>
        <w:tc>
          <w:tcPr>
            <w:tcW w:w="1280" w:type="dxa"/>
          </w:tcPr>
          <w:p w14:paraId="0671BBA6">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404" w:type="dxa"/>
          </w:tcPr>
          <w:p w14:paraId="5006190B">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477" w:type="dxa"/>
          </w:tcPr>
          <w:p w14:paraId="6A4F2F8F">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305" w:type="dxa"/>
          </w:tcPr>
          <w:p w14:paraId="4731046E">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626" w:type="dxa"/>
          </w:tcPr>
          <w:p w14:paraId="235F1F00">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A7D5BF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07" w:type="dxa"/>
          </w:tcPr>
          <w:p w14:paraId="341B5D64">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681" w:type="dxa"/>
          </w:tcPr>
          <w:p w14:paraId="1A007544">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389" w:type="dxa"/>
          </w:tcPr>
          <w:p w14:paraId="795E130E">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是否支持锁定使用权限</w:t>
            </w:r>
          </w:p>
        </w:tc>
        <w:tc>
          <w:tcPr>
            <w:tcW w:w="1280" w:type="dxa"/>
          </w:tcPr>
          <w:p w14:paraId="2112F85E">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404" w:type="dxa"/>
          </w:tcPr>
          <w:p w14:paraId="34692AB0">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477" w:type="dxa"/>
          </w:tcPr>
          <w:p w14:paraId="66B278C3">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管理员可通过控制台锁定客户端的使用权限。</w:t>
            </w:r>
          </w:p>
        </w:tc>
        <w:tc>
          <w:tcPr>
            <w:tcW w:w="1305" w:type="dxa"/>
          </w:tcPr>
          <w:p w14:paraId="2FE49E2D">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626" w:type="dxa"/>
          </w:tcPr>
          <w:p w14:paraId="471243E3">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4D6E56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07" w:type="dxa"/>
          </w:tcPr>
          <w:p w14:paraId="32DF760B">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681" w:type="dxa"/>
          </w:tcPr>
          <w:p w14:paraId="46385E2D">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389" w:type="dxa"/>
          </w:tcPr>
          <w:p w14:paraId="2FADCBD9">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网页病毒查杀，包括木马、蠕虫、后门程序、挖矿病毒、广告软件等多种恶意程序</w:t>
            </w:r>
          </w:p>
        </w:tc>
        <w:tc>
          <w:tcPr>
            <w:tcW w:w="1280" w:type="dxa"/>
          </w:tcPr>
          <w:p w14:paraId="4E74D1E3">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404" w:type="dxa"/>
          </w:tcPr>
          <w:p w14:paraId="4CE7D701">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477" w:type="dxa"/>
          </w:tcPr>
          <w:p w14:paraId="54366CCC">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305" w:type="dxa"/>
          </w:tcPr>
          <w:p w14:paraId="5BE034FA">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626" w:type="dxa"/>
          </w:tcPr>
          <w:p w14:paraId="0E019798">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137C7C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07" w:type="dxa"/>
          </w:tcPr>
          <w:p w14:paraId="4365ED9E">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681" w:type="dxa"/>
          </w:tcPr>
          <w:p w14:paraId="6B698E94">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389" w:type="dxa"/>
          </w:tcPr>
          <w:p w14:paraId="0D06AB10">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宏病毒查杀，包括木马、蠕虫、后门程序、挖矿病毒、广告软件等多种恶意程序</w:t>
            </w:r>
          </w:p>
        </w:tc>
        <w:tc>
          <w:tcPr>
            <w:tcW w:w="1280" w:type="dxa"/>
          </w:tcPr>
          <w:p w14:paraId="6A813F7A">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404" w:type="dxa"/>
          </w:tcPr>
          <w:p w14:paraId="297F596C">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477" w:type="dxa"/>
          </w:tcPr>
          <w:p w14:paraId="06D96A24">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305" w:type="dxa"/>
          </w:tcPr>
          <w:p w14:paraId="2BB58630">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626" w:type="dxa"/>
          </w:tcPr>
          <w:p w14:paraId="5396125E">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67D378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07" w:type="dxa"/>
          </w:tcPr>
          <w:p w14:paraId="4D535B29">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681" w:type="dxa"/>
          </w:tcPr>
          <w:p w14:paraId="148D1689">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389" w:type="dxa"/>
          </w:tcPr>
          <w:p w14:paraId="5A327612">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邮件病毒检测与清除</w:t>
            </w:r>
          </w:p>
        </w:tc>
        <w:tc>
          <w:tcPr>
            <w:tcW w:w="1280" w:type="dxa"/>
          </w:tcPr>
          <w:p w14:paraId="6D7A95C0">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404" w:type="dxa"/>
          </w:tcPr>
          <w:p w14:paraId="00E410C6">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477" w:type="dxa"/>
          </w:tcPr>
          <w:p w14:paraId="57987618">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305" w:type="dxa"/>
          </w:tcPr>
          <w:p w14:paraId="57BA4C76">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626" w:type="dxa"/>
          </w:tcPr>
          <w:p w14:paraId="41A950F7">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970367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07" w:type="dxa"/>
          </w:tcPr>
          <w:p w14:paraId="5E56E475">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681" w:type="dxa"/>
          </w:tcPr>
          <w:p w14:paraId="1C1203E2">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389" w:type="dxa"/>
          </w:tcPr>
          <w:p w14:paraId="5C1D45D6">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恶意代码探测扫描</w:t>
            </w:r>
          </w:p>
        </w:tc>
        <w:tc>
          <w:tcPr>
            <w:tcW w:w="1280" w:type="dxa"/>
          </w:tcPr>
          <w:p w14:paraId="4B2A6A30">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404" w:type="dxa"/>
          </w:tcPr>
          <w:p w14:paraId="1F327CE8">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477" w:type="dxa"/>
          </w:tcPr>
          <w:p w14:paraId="6CC2AA38">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305" w:type="dxa"/>
          </w:tcPr>
          <w:p w14:paraId="1CD8622D">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626" w:type="dxa"/>
          </w:tcPr>
          <w:p w14:paraId="50C889A9">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3692335">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07" w:type="dxa"/>
          </w:tcPr>
          <w:p w14:paraId="6B887DE5">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681" w:type="dxa"/>
          </w:tcPr>
          <w:p w14:paraId="37A8C018">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389" w:type="dxa"/>
          </w:tcPr>
          <w:p w14:paraId="6A80679F">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病毒查杀种类与数量</w:t>
            </w:r>
          </w:p>
        </w:tc>
        <w:tc>
          <w:tcPr>
            <w:tcW w:w="1280" w:type="dxa"/>
          </w:tcPr>
          <w:p w14:paraId="6838BA37">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404" w:type="dxa"/>
          </w:tcPr>
          <w:p w14:paraId="3F63E604">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477" w:type="dxa"/>
          </w:tcPr>
          <w:p w14:paraId="3E6EFE80">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305" w:type="dxa"/>
          </w:tcPr>
          <w:p w14:paraId="31F86B0F">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支持多种病毒查杀种类</w:t>
            </w:r>
          </w:p>
        </w:tc>
        <w:tc>
          <w:tcPr>
            <w:tcW w:w="1626" w:type="dxa"/>
          </w:tcPr>
          <w:p w14:paraId="0EBDC597">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02D7B6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07" w:type="dxa"/>
          </w:tcPr>
          <w:p w14:paraId="68486493">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681" w:type="dxa"/>
          </w:tcPr>
          <w:p w14:paraId="6E174291">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389" w:type="dxa"/>
          </w:tcPr>
          <w:p w14:paraId="6EB402A1">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WPS等嵌入式杀毒</w:t>
            </w:r>
          </w:p>
        </w:tc>
        <w:tc>
          <w:tcPr>
            <w:tcW w:w="1280" w:type="dxa"/>
          </w:tcPr>
          <w:p w14:paraId="15864EEE">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404" w:type="dxa"/>
          </w:tcPr>
          <w:p w14:paraId="03799240">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477" w:type="dxa"/>
          </w:tcPr>
          <w:p w14:paraId="346BE77C">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305" w:type="dxa"/>
          </w:tcPr>
          <w:p w14:paraId="7A7EEB2E">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626" w:type="dxa"/>
          </w:tcPr>
          <w:p w14:paraId="2B3AAAEA">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61627B8">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07" w:type="dxa"/>
          </w:tcPr>
          <w:p w14:paraId="19926594">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681" w:type="dxa"/>
          </w:tcPr>
          <w:p w14:paraId="78139E56">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389" w:type="dxa"/>
          </w:tcPr>
          <w:p w14:paraId="6D4AD0FB">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具有病毒隔离与上报</w:t>
            </w:r>
          </w:p>
        </w:tc>
        <w:tc>
          <w:tcPr>
            <w:tcW w:w="1280" w:type="dxa"/>
          </w:tcPr>
          <w:p w14:paraId="08438A3F">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404" w:type="dxa"/>
          </w:tcPr>
          <w:p w14:paraId="3537F054">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477" w:type="dxa"/>
          </w:tcPr>
          <w:p w14:paraId="2E03BE55">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305" w:type="dxa"/>
          </w:tcPr>
          <w:p w14:paraId="1DFD7DC1">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626" w:type="dxa"/>
          </w:tcPr>
          <w:p w14:paraId="6322D360">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158B63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07" w:type="dxa"/>
          </w:tcPr>
          <w:p w14:paraId="75E0F5F0">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681" w:type="dxa"/>
          </w:tcPr>
          <w:p w14:paraId="76F3F201">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389" w:type="dxa"/>
          </w:tcPr>
          <w:p w14:paraId="733AF329">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资源静态占用率</w:t>
            </w:r>
          </w:p>
        </w:tc>
        <w:tc>
          <w:tcPr>
            <w:tcW w:w="1280" w:type="dxa"/>
          </w:tcPr>
          <w:p w14:paraId="07E7BC3D">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404" w:type="dxa"/>
          </w:tcPr>
          <w:p w14:paraId="629C17E5">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477" w:type="dxa"/>
          </w:tcPr>
          <w:p w14:paraId="650662D5">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305" w:type="dxa"/>
          </w:tcPr>
          <w:p w14:paraId="28A20BAD">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CPU、内存、网络、存储IO等资源的平均使用率不超过15%</w:t>
            </w:r>
          </w:p>
        </w:tc>
        <w:tc>
          <w:tcPr>
            <w:tcW w:w="1626" w:type="dxa"/>
          </w:tcPr>
          <w:p w14:paraId="35A52F09">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B03B7A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07" w:type="dxa"/>
          </w:tcPr>
          <w:p w14:paraId="7D5C5830">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681" w:type="dxa"/>
          </w:tcPr>
          <w:p w14:paraId="5FBE191D">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389" w:type="dxa"/>
          </w:tcPr>
          <w:p w14:paraId="4FAC0724">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管理架构需要能够采用B/S或C/S模式对客户端进行管理，采用B/S架构，可以通过浏览器登录管理后台</w:t>
            </w:r>
          </w:p>
        </w:tc>
        <w:tc>
          <w:tcPr>
            <w:tcW w:w="1280" w:type="dxa"/>
          </w:tcPr>
          <w:p w14:paraId="5B946731">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404" w:type="dxa"/>
          </w:tcPr>
          <w:p w14:paraId="566216FF">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477" w:type="dxa"/>
          </w:tcPr>
          <w:p w14:paraId="3AA0AE5A">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305" w:type="dxa"/>
          </w:tcPr>
          <w:p w14:paraId="206EA1AB">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w:t>
            </w:r>
          </w:p>
        </w:tc>
        <w:tc>
          <w:tcPr>
            <w:tcW w:w="1626" w:type="dxa"/>
          </w:tcPr>
          <w:p w14:paraId="634E30DC">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2F402B0">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07" w:type="dxa"/>
          </w:tcPr>
          <w:p w14:paraId="628F0B3B">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681" w:type="dxa"/>
          </w:tcPr>
          <w:p w14:paraId="7FD40E6E">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389" w:type="dxa"/>
          </w:tcPr>
          <w:p w14:paraId="57D58129">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日志报告功能</w:t>
            </w:r>
          </w:p>
        </w:tc>
        <w:tc>
          <w:tcPr>
            <w:tcW w:w="1280" w:type="dxa"/>
          </w:tcPr>
          <w:p w14:paraId="5CF75319">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404" w:type="dxa"/>
          </w:tcPr>
          <w:p w14:paraId="79AB8BC4">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477" w:type="dxa"/>
          </w:tcPr>
          <w:p w14:paraId="1F316AAB">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305" w:type="dxa"/>
          </w:tcPr>
          <w:p w14:paraId="503C7FB9">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具备</w:t>
            </w:r>
          </w:p>
        </w:tc>
        <w:tc>
          <w:tcPr>
            <w:tcW w:w="1626" w:type="dxa"/>
          </w:tcPr>
          <w:p w14:paraId="03ABA02A">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4EA264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07" w:type="dxa"/>
          </w:tcPr>
          <w:p w14:paraId="35DD5ECD">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681" w:type="dxa"/>
          </w:tcPr>
          <w:p w14:paraId="768775BB">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389" w:type="dxa"/>
          </w:tcPr>
          <w:p w14:paraId="1413A04A">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安全权限功能</w:t>
            </w:r>
          </w:p>
        </w:tc>
        <w:tc>
          <w:tcPr>
            <w:tcW w:w="1280" w:type="dxa"/>
          </w:tcPr>
          <w:p w14:paraId="077688FA">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404" w:type="dxa"/>
          </w:tcPr>
          <w:p w14:paraId="2DFF1EF6">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477" w:type="dxa"/>
          </w:tcPr>
          <w:p w14:paraId="36E48F38">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305" w:type="dxa"/>
          </w:tcPr>
          <w:p w14:paraId="7BE2ABFA">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具备</w:t>
            </w:r>
          </w:p>
        </w:tc>
        <w:tc>
          <w:tcPr>
            <w:tcW w:w="1626" w:type="dxa"/>
          </w:tcPr>
          <w:p w14:paraId="7E5E219C">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DAE657E">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07" w:type="dxa"/>
          </w:tcPr>
          <w:p w14:paraId="4DA667E0">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681" w:type="dxa"/>
          </w:tcPr>
          <w:p w14:paraId="6AF93F02">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389" w:type="dxa"/>
          </w:tcPr>
          <w:p w14:paraId="6EC36DF0">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系统文件防护</w:t>
            </w:r>
          </w:p>
        </w:tc>
        <w:tc>
          <w:tcPr>
            <w:tcW w:w="1280" w:type="dxa"/>
          </w:tcPr>
          <w:p w14:paraId="3188D638">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404" w:type="dxa"/>
          </w:tcPr>
          <w:p w14:paraId="6222EE78">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477" w:type="dxa"/>
          </w:tcPr>
          <w:p w14:paraId="5863AC11">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305" w:type="dxa"/>
          </w:tcPr>
          <w:p w14:paraId="05BC6827">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具备</w:t>
            </w:r>
          </w:p>
        </w:tc>
        <w:tc>
          <w:tcPr>
            <w:tcW w:w="1626" w:type="dxa"/>
          </w:tcPr>
          <w:p w14:paraId="6393766E">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24ACE58">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07" w:type="dxa"/>
          </w:tcPr>
          <w:p w14:paraId="04EF34C7">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p>
        </w:tc>
        <w:tc>
          <w:tcPr>
            <w:tcW w:w="681" w:type="dxa"/>
          </w:tcPr>
          <w:p w14:paraId="2378CE40">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389" w:type="dxa"/>
          </w:tcPr>
          <w:p w14:paraId="4F353AD2">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查杀技术</w:t>
            </w:r>
          </w:p>
        </w:tc>
        <w:tc>
          <w:tcPr>
            <w:tcW w:w="1280" w:type="dxa"/>
          </w:tcPr>
          <w:p w14:paraId="60781D14">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404" w:type="dxa"/>
          </w:tcPr>
          <w:p w14:paraId="06D33616">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477" w:type="dxa"/>
          </w:tcPr>
          <w:p w14:paraId="4F16E745">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305" w:type="dxa"/>
          </w:tcPr>
          <w:p w14:paraId="7CCB9E6F">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具备</w:t>
            </w:r>
          </w:p>
        </w:tc>
        <w:tc>
          <w:tcPr>
            <w:tcW w:w="1626" w:type="dxa"/>
          </w:tcPr>
          <w:p w14:paraId="148A591F">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A66AAD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07" w:type="dxa"/>
          </w:tcPr>
          <w:p w14:paraId="32FF859A">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p>
        </w:tc>
        <w:tc>
          <w:tcPr>
            <w:tcW w:w="681" w:type="dxa"/>
          </w:tcPr>
          <w:p w14:paraId="003560B1">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389" w:type="dxa"/>
          </w:tcPr>
          <w:p w14:paraId="6C09AEFE">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具备日志报表</w:t>
            </w:r>
          </w:p>
        </w:tc>
        <w:tc>
          <w:tcPr>
            <w:tcW w:w="1280" w:type="dxa"/>
          </w:tcPr>
          <w:p w14:paraId="1894414D">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404" w:type="dxa"/>
          </w:tcPr>
          <w:p w14:paraId="56084292">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477" w:type="dxa"/>
          </w:tcPr>
          <w:p w14:paraId="656EF863">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305" w:type="dxa"/>
          </w:tcPr>
          <w:p w14:paraId="795984D1">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w:t>
            </w:r>
          </w:p>
        </w:tc>
        <w:tc>
          <w:tcPr>
            <w:tcW w:w="1626" w:type="dxa"/>
          </w:tcPr>
          <w:p w14:paraId="037AC664">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B06928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07" w:type="dxa"/>
          </w:tcPr>
          <w:p w14:paraId="3D5B758F">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w:t>
            </w:r>
          </w:p>
        </w:tc>
        <w:tc>
          <w:tcPr>
            <w:tcW w:w="681" w:type="dxa"/>
          </w:tcPr>
          <w:p w14:paraId="55524739">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389" w:type="dxa"/>
          </w:tcPr>
          <w:p w14:paraId="4F627AE3">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具备病毒报警机制</w:t>
            </w:r>
          </w:p>
        </w:tc>
        <w:tc>
          <w:tcPr>
            <w:tcW w:w="1280" w:type="dxa"/>
          </w:tcPr>
          <w:p w14:paraId="7844153A">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404" w:type="dxa"/>
          </w:tcPr>
          <w:p w14:paraId="2135A9DA">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477" w:type="dxa"/>
          </w:tcPr>
          <w:p w14:paraId="123E2C12">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305" w:type="dxa"/>
          </w:tcPr>
          <w:p w14:paraId="139F51F8">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w:t>
            </w:r>
          </w:p>
        </w:tc>
        <w:tc>
          <w:tcPr>
            <w:tcW w:w="1626" w:type="dxa"/>
          </w:tcPr>
          <w:p w14:paraId="0F3940B8">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CFE6BC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07" w:type="dxa"/>
          </w:tcPr>
          <w:p w14:paraId="154188B8">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p>
        </w:tc>
        <w:tc>
          <w:tcPr>
            <w:tcW w:w="681" w:type="dxa"/>
          </w:tcPr>
          <w:p w14:paraId="415602FF">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389" w:type="dxa"/>
          </w:tcPr>
          <w:p w14:paraId="475B49ED">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具备统一策略管理</w:t>
            </w:r>
          </w:p>
        </w:tc>
        <w:tc>
          <w:tcPr>
            <w:tcW w:w="1280" w:type="dxa"/>
          </w:tcPr>
          <w:p w14:paraId="491573F8">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404" w:type="dxa"/>
          </w:tcPr>
          <w:p w14:paraId="717EB47B">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477" w:type="dxa"/>
          </w:tcPr>
          <w:p w14:paraId="05239440">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305" w:type="dxa"/>
          </w:tcPr>
          <w:p w14:paraId="43B43673">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626" w:type="dxa"/>
          </w:tcPr>
          <w:p w14:paraId="3C595B49">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B124F78">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07" w:type="dxa"/>
          </w:tcPr>
          <w:p w14:paraId="665147D0">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w:t>
            </w:r>
          </w:p>
        </w:tc>
        <w:tc>
          <w:tcPr>
            <w:tcW w:w="681" w:type="dxa"/>
          </w:tcPr>
          <w:p w14:paraId="665714D0">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389" w:type="dxa"/>
          </w:tcPr>
          <w:p w14:paraId="718E7A7F">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支持备份隔离管理</w:t>
            </w:r>
          </w:p>
        </w:tc>
        <w:tc>
          <w:tcPr>
            <w:tcW w:w="1280" w:type="dxa"/>
          </w:tcPr>
          <w:p w14:paraId="0E697E85">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404" w:type="dxa"/>
          </w:tcPr>
          <w:p w14:paraId="1B9B9AD1">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477" w:type="dxa"/>
          </w:tcPr>
          <w:p w14:paraId="2B0EC115">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305" w:type="dxa"/>
          </w:tcPr>
          <w:p w14:paraId="54EEBEB6">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w:t>
            </w:r>
          </w:p>
        </w:tc>
        <w:tc>
          <w:tcPr>
            <w:tcW w:w="1626" w:type="dxa"/>
          </w:tcPr>
          <w:p w14:paraId="78549FBC">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2D7AEB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07" w:type="dxa"/>
          </w:tcPr>
          <w:p w14:paraId="78A3F4C9">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w:t>
            </w:r>
          </w:p>
        </w:tc>
        <w:tc>
          <w:tcPr>
            <w:tcW w:w="681" w:type="dxa"/>
          </w:tcPr>
          <w:p w14:paraId="6FB4E3C3">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389" w:type="dxa"/>
          </w:tcPr>
          <w:p w14:paraId="19B08D87">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硬件架构支持</w:t>
            </w:r>
          </w:p>
        </w:tc>
        <w:tc>
          <w:tcPr>
            <w:tcW w:w="1280" w:type="dxa"/>
          </w:tcPr>
          <w:p w14:paraId="5951A1BE">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404" w:type="dxa"/>
          </w:tcPr>
          <w:p w14:paraId="595119A6">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477" w:type="dxa"/>
          </w:tcPr>
          <w:p w14:paraId="7D09AB4A">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305" w:type="dxa"/>
          </w:tcPr>
          <w:p w14:paraId="55E71274">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X86/ARM/MIPS/申威架构硬件平台</w:t>
            </w:r>
          </w:p>
        </w:tc>
        <w:tc>
          <w:tcPr>
            <w:tcW w:w="1626" w:type="dxa"/>
          </w:tcPr>
          <w:p w14:paraId="48B6509E">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66F3000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07" w:type="dxa"/>
          </w:tcPr>
          <w:p w14:paraId="050140BD">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w:t>
            </w:r>
          </w:p>
        </w:tc>
        <w:tc>
          <w:tcPr>
            <w:tcW w:w="681" w:type="dxa"/>
          </w:tcPr>
          <w:p w14:paraId="29CE3C1C">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389" w:type="dxa"/>
          </w:tcPr>
          <w:p w14:paraId="350CC143">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部署方式</w:t>
            </w:r>
          </w:p>
        </w:tc>
        <w:tc>
          <w:tcPr>
            <w:tcW w:w="1280" w:type="dxa"/>
          </w:tcPr>
          <w:p w14:paraId="159D70D7">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404" w:type="dxa"/>
          </w:tcPr>
          <w:p w14:paraId="060B665C">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477" w:type="dxa"/>
          </w:tcPr>
          <w:p w14:paraId="212F1ABB">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305" w:type="dxa"/>
          </w:tcPr>
          <w:p w14:paraId="7CBDCA1B">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支持一键安装一键卸载</w:t>
            </w:r>
          </w:p>
        </w:tc>
        <w:tc>
          <w:tcPr>
            <w:tcW w:w="1626" w:type="dxa"/>
          </w:tcPr>
          <w:p w14:paraId="11EF9A3B">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6FC2FB65">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07" w:type="dxa"/>
          </w:tcPr>
          <w:p w14:paraId="6C286754">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w:t>
            </w:r>
          </w:p>
        </w:tc>
        <w:tc>
          <w:tcPr>
            <w:tcW w:w="681" w:type="dxa"/>
          </w:tcPr>
          <w:p w14:paraId="1018C8E6">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389" w:type="dxa"/>
          </w:tcPr>
          <w:p w14:paraId="6A54C788">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是否具有安全密码保护功能</w:t>
            </w:r>
          </w:p>
        </w:tc>
        <w:tc>
          <w:tcPr>
            <w:tcW w:w="1280" w:type="dxa"/>
          </w:tcPr>
          <w:p w14:paraId="08B84AF6">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404" w:type="dxa"/>
          </w:tcPr>
          <w:p w14:paraId="043AC681">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477" w:type="dxa"/>
          </w:tcPr>
          <w:p w14:paraId="3FEA233A">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305" w:type="dxa"/>
          </w:tcPr>
          <w:p w14:paraId="22B0A9FE">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w:t>
            </w:r>
          </w:p>
        </w:tc>
        <w:tc>
          <w:tcPr>
            <w:tcW w:w="1626" w:type="dxa"/>
          </w:tcPr>
          <w:p w14:paraId="4586EED5">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24505F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07" w:type="dxa"/>
          </w:tcPr>
          <w:p w14:paraId="6E5A8D0B">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w:t>
            </w:r>
          </w:p>
        </w:tc>
        <w:tc>
          <w:tcPr>
            <w:tcW w:w="681" w:type="dxa"/>
          </w:tcPr>
          <w:p w14:paraId="1306370A">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389" w:type="dxa"/>
          </w:tcPr>
          <w:p w14:paraId="0EA1AE7B">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移动设备病毒防护</w:t>
            </w:r>
          </w:p>
        </w:tc>
        <w:tc>
          <w:tcPr>
            <w:tcW w:w="1280" w:type="dxa"/>
          </w:tcPr>
          <w:p w14:paraId="7B415927">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404" w:type="dxa"/>
          </w:tcPr>
          <w:p w14:paraId="409915B1">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477" w:type="dxa"/>
          </w:tcPr>
          <w:p w14:paraId="447A7803">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305" w:type="dxa"/>
          </w:tcPr>
          <w:p w14:paraId="42E7249A">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支持提供优盘等移动设备接入电脑自动检测功能，全面拦截和清除在移动设备接入系统可能带来的病毒木马，并需提供对于接入移动设备的管理能力，如禁止、只读等。</w:t>
            </w:r>
          </w:p>
        </w:tc>
        <w:tc>
          <w:tcPr>
            <w:tcW w:w="1626" w:type="dxa"/>
          </w:tcPr>
          <w:p w14:paraId="7ECDE07C">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26995C0">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07" w:type="dxa"/>
          </w:tcPr>
          <w:p w14:paraId="1DD94F4C">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681" w:type="dxa"/>
          </w:tcPr>
          <w:p w14:paraId="6E45B995">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389" w:type="dxa"/>
          </w:tcPr>
          <w:p w14:paraId="1A0182E3">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支持在线杀毒、自动升级资源包</w:t>
            </w:r>
          </w:p>
        </w:tc>
        <w:tc>
          <w:tcPr>
            <w:tcW w:w="1280" w:type="dxa"/>
          </w:tcPr>
          <w:p w14:paraId="71734CC2">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404" w:type="dxa"/>
          </w:tcPr>
          <w:p w14:paraId="2E20BECE">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477" w:type="dxa"/>
          </w:tcPr>
          <w:p w14:paraId="23909E75">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305" w:type="dxa"/>
          </w:tcPr>
          <w:p w14:paraId="7D262B73">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具备</w:t>
            </w:r>
          </w:p>
        </w:tc>
        <w:tc>
          <w:tcPr>
            <w:tcW w:w="1626" w:type="dxa"/>
          </w:tcPr>
          <w:p w14:paraId="009A68A4">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E071BD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07" w:type="dxa"/>
          </w:tcPr>
          <w:p w14:paraId="26026971">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w:t>
            </w:r>
          </w:p>
        </w:tc>
        <w:tc>
          <w:tcPr>
            <w:tcW w:w="681" w:type="dxa"/>
          </w:tcPr>
          <w:p w14:paraId="53A63627">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389" w:type="dxa"/>
          </w:tcPr>
          <w:p w14:paraId="29C92DFA">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支持主流Linux和麒麟、统信、方德等通过安全可靠测评的操作系统</w:t>
            </w:r>
          </w:p>
        </w:tc>
        <w:tc>
          <w:tcPr>
            <w:tcW w:w="1280" w:type="dxa"/>
          </w:tcPr>
          <w:p w14:paraId="1A6DE871">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404" w:type="dxa"/>
          </w:tcPr>
          <w:p w14:paraId="4D9E64E0">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477" w:type="dxa"/>
          </w:tcPr>
          <w:p w14:paraId="6D64A3AD">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305" w:type="dxa"/>
          </w:tcPr>
          <w:p w14:paraId="2173AF46">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626" w:type="dxa"/>
          </w:tcPr>
          <w:p w14:paraId="70296855">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FA29CFA">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07" w:type="dxa"/>
          </w:tcPr>
          <w:p w14:paraId="11383428">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w:t>
            </w:r>
          </w:p>
        </w:tc>
        <w:tc>
          <w:tcPr>
            <w:tcW w:w="681" w:type="dxa"/>
          </w:tcPr>
          <w:p w14:paraId="370EEC5A">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389" w:type="dxa"/>
          </w:tcPr>
          <w:p w14:paraId="4225FD9B">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所投杀毒软件产品须取得相关认证或检测证书或具有《计算机信息系统安全专用产品销售许可证》(提供相关证书扫描件)</w:t>
            </w:r>
          </w:p>
        </w:tc>
        <w:tc>
          <w:tcPr>
            <w:tcW w:w="1280" w:type="dxa"/>
          </w:tcPr>
          <w:p w14:paraId="2F3EC4C5">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404" w:type="dxa"/>
          </w:tcPr>
          <w:p w14:paraId="33695DE1">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477" w:type="dxa"/>
          </w:tcPr>
          <w:p w14:paraId="62560A63">
            <w:pPr>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c>
          <w:tcPr>
            <w:tcW w:w="1305" w:type="dxa"/>
          </w:tcPr>
          <w:p w14:paraId="6DF514F3">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具备</w:t>
            </w:r>
          </w:p>
        </w:tc>
        <w:tc>
          <w:tcPr>
            <w:tcW w:w="1626" w:type="dxa"/>
          </w:tcPr>
          <w:p w14:paraId="1522064D">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bl>
    <w:p w14:paraId="1DDFDA67">
      <w:pPr>
        <w:pStyle w:val="5"/>
        <w:keepNext w:val="0"/>
        <w:keepLines w:val="0"/>
        <w:pageBreakBefore w:val="0"/>
        <w:widowControl/>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交货期限：自合同签订之日起30天，采购人和供应商在第二阶段有特殊约定的除外。</w:t>
      </w:r>
    </w:p>
    <w:p w14:paraId="046E66B2">
      <w:pPr>
        <w:pStyle w:val="5"/>
        <w:keepNext w:val="0"/>
        <w:keepLines w:val="0"/>
        <w:pageBreakBefore w:val="0"/>
        <w:widowControl/>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交货的地域范围： 四川省范围内送货上门</w:t>
      </w:r>
    </w:p>
    <w:p w14:paraId="4B093172">
      <w:pPr>
        <w:pStyle w:val="5"/>
        <w:keepNext w:val="0"/>
        <w:keepLines w:val="0"/>
        <w:pageBreakBefore w:val="0"/>
        <w:widowControl/>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包装方式及运输：</w:t>
      </w:r>
    </w:p>
    <w:p w14:paraId="496F6FC8">
      <w:pPr>
        <w:pStyle w:val="5"/>
        <w:keepNext w:val="0"/>
        <w:keepLines w:val="0"/>
        <w:pageBreakBefore w:val="0"/>
        <w:widowControl/>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4FC43F5B">
      <w:pPr>
        <w:pStyle w:val="5"/>
        <w:keepNext w:val="0"/>
        <w:keepLines w:val="0"/>
        <w:pageBreakBefore w:val="0"/>
        <w:widowControl/>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售后服务：</w:t>
      </w:r>
    </w:p>
    <w:p w14:paraId="0E66F912">
      <w:pPr>
        <w:pStyle w:val="5"/>
        <w:keepNext w:val="0"/>
        <w:keepLines w:val="0"/>
        <w:pageBreakBefore w:val="0"/>
        <w:widowControl/>
        <w:kinsoku/>
        <w:wordWrap/>
        <w:overflowPunct/>
        <w:topLinePunct w:val="0"/>
        <w:autoSpaceDE/>
        <w:autoSpaceDN/>
        <w:bidi w:val="0"/>
        <w:adjustRightInd/>
        <w:snapToGrid/>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服务标准:服务期3年，在服务期内提供升级包，遇严重安全问题应在官网公开漏洞及修复包，主动联系客户, 承诺所有升级服务。</w:t>
      </w:r>
    </w:p>
    <w:p w14:paraId="217C22CD">
      <w:pPr>
        <w:pStyle w:val="5"/>
        <w:keepNext w:val="0"/>
        <w:keepLines w:val="0"/>
        <w:pageBreakBefore w:val="0"/>
        <w:widowControl/>
        <w:kinsoku/>
        <w:wordWrap/>
        <w:overflowPunct/>
        <w:topLinePunct w:val="0"/>
        <w:autoSpaceDE/>
        <w:autoSpaceDN/>
        <w:bidi w:val="0"/>
        <w:adjustRightInd/>
        <w:snapToGrid/>
        <w:spacing w:before="105" w:after="105"/>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延期服务收费标准:过服务期后，提供延期服务，其收费标准每年不高于投标报价的20%。其中包含一次的上门服务,所涉及的上门服务费用包含在本次报价中。若第一次上门服务未能有效解决问题，针对同类问题需再次上门服务，则不再支付上门服务费用。</w:t>
      </w:r>
    </w:p>
    <w:p w14:paraId="47D3F501">
      <w:pPr>
        <w:pStyle w:val="5"/>
        <w:keepNext w:val="0"/>
        <w:keepLines w:val="0"/>
        <w:pageBreakBefore w:val="0"/>
        <w:widowControl/>
        <w:kinsoku/>
        <w:wordWrap/>
        <w:overflowPunct/>
        <w:topLinePunct w:val="0"/>
        <w:autoSpaceDE/>
        <w:autoSpaceDN/>
        <w:bidi w:val="0"/>
        <w:adjustRightInd/>
        <w:snapToGrid/>
        <w:spacing w:before="105" w:after="105"/>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（3）技术支持:根据用户需求，提供7*24小时技术专员电话、邮件、上门、远程维保服务。</w:t>
      </w:r>
    </w:p>
    <w:p w14:paraId="3195ED0E">
      <w:pPr>
        <w:pStyle w:val="5"/>
        <w:keepNext w:val="0"/>
        <w:keepLines w:val="0"/>
        <w:pageBreakBefore w:val="0"/>
        <w:widowControl/>
        <w:kinsoku/>
        <w:wordWrap/>
        <w:overflowPunct/>
        <w:topLinePunct w:val="0"/>
        <w:autoSpaceDE/>
        <w:autoSpaceDN/>
        <w:bidi w:val="0"/>
        <w:adjustRightInd/>
        <w:snapToGrid/>
        <w:spacing w:before="105" w:after="105"/>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（4）服务人员素质:上门服务人员均具有二年以上所投软件同类产品维护经验。</w:t>
      </w:r>
    </w:p>
    <w:p w14:paraId="5254E383">
      <w:pPr>
        <w:pStyle w:val="5"/>
        <w:keepNext w:val="0"/>
        <w:keepLines w:val="0"/>
        <w:pageBreakBefore w:val="0"/>
        <w:widowControl/>
        <w:kinsoku/>
        <w:wordWrap/>
        <w:overflowPunct/>
        <w:topLinePunct w:val="0"/>
        <w:autoSpaceDE/>
        <w:autoSpaceDN/>
        <w:bidi w:val="0"/>
        <w:adjustRightInd/>
        <w:snapToGrid/>
        <w:spacing w:before="105" w:after="105"/>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（5）培训:根据用户需要提供所投产品的安装、维护等技术培训。并提供相应培训的电子文档。</w:t>
      </w:r>
    </w:p>
    <w:p w14:paraId="49589F87">
      <w:pPr>
        <w:pStyle w:val="5"/>
        <w:keepNext w:val="0"/>
        <w:keepLines w:val="0"/>
        <w:pageBreakBefore w:val="0"/>
        <w:widowControl/>
        <w:kinsoku/>
        <w:wordWrap/>
        <w:overflowPunct/>
        <w:topLinePunct w:val="0"/>
        <w:autoSpaceDE/>
        <w:autoSpaceDN/>
        <w:bidi w:val="0"/>
        <w:adjustRightInd/>
        <w:snapToGrid/>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4.最高限价（元）： 98.00 ，大写（人民币）： 玖拾捌元整</w:t>
      </w:r>
    </w:p>
    <w:p w14:paraId="1A111D94">
      <w:pPr>
        <w:pStyle w:val="5"/>
        <w:keepNext w:val="0"/>
        <w:keepLines w:val="0"/>
        <w:pageBreakBefore w:val="0"/>
        <w:widowControl/>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5.配套的必要耗材、配件报价、约定期限：</w:t>
      </w:r>
    </w:p>
    <w:p w14:paraId="17B1A7C4">
      <w:pPr>
        <w:pStyle w:val="5"/>
        <w:keepNext w:val="0"/>
        <w:keepLines w:val="0"/>
        <w:pageBreakBefore w:val="0"/>
        <w:widowControl/>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6B53D221">
      <w:pPr>
        <w:pStyle w:val="5"/>
        <w:keepNext w:val="0"/>
        <w:keepLines w:val="0"/>
        <w:pageBreakBefore w:val="0"/>
        <w:widowControl/>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6.量价关系折扣：</w:t>
      </w:r>
    </w:p>
    <w:p w14:paraId="78D7E519">
      <w:pPr>
        <w:pStyle w:val="5"/>
        <w:keepNext w:val="0"/>
        <w:keepLines w:val="0"/>
        <w:pageBreakBefore w:val="0"/>
        <w:widowControl/>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是否含有量价关系折扣：否</w:t>
      </w:r>
    </w:p>
    <w:p w14:paraId="25421AC3">
      <w:pPr>
        <w:pStyle w:val="5"/>
        <w:keepNext w:val="0"/>
        <w:keepLines w:val="0"/>
        <w:pageBreakBefore w:val="0"/>
        <w:widowControl/>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7.产品升级换代规则：</w:t>
      </w:r>
    </w:p>
    <w:p w14:paraId="10876C52">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本项目 支持 入围供应商对已入围产品进行升级换代。</w:t>
      </w:r>
    </w:p>
    <w:p w14:paraId="5BC63DB7">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在性能不降低、价格不提高的前提下，入围供应商可以用新产品替换原入围产品；在框架协议期限内，每半年进行一次产品升级换代申请审核。注：供应商在提交产品升级换代申请时，须提供产品升级换代承诺函。</w:t>
      </w:r>
    </w:p>
    <w:p w14:paraId="712A03C8">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8.供应商一般资格要求：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3738"/>
        <w:gridCol w:w="4153"/>
      </w:tblGrid>
      <w:tr w14:paraId="467650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B63BC8B">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738" w:type="dxa"/>
          </w:tcPr>
          <w:p w14:paraId="2FFB22EE">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资格审查要求概况</w:t>
            </w:r>
          </w:p>
        </w:tc>
        <w:tc>
          <w:tcPr>
            <w:tcW w:w="4153" w:type="dxa"/>
          </w:tcPr>
          <w:p w14:paraId="652D2A4C">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502B6D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8BC1030">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738" w:type="dxa"/>
          </w:tcPr>
          <w:p w14:paraId="3C5353A2">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具有独立承担民事责任的能力。</w:t>
            </w:r>
          </w:p>
        </w:tc>
        <w:tc>
          <w:tcPr>
            <w:tcW w:w="4153" w:type="dxa"/>
          </w:tcPr>
          <w:p w14:paraId="0284C0F6">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7E451D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6AB9ED">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738" w:type="dxa"/>
          </w:tcPr>
          <w:p w14:paraId="5EE1FD96">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具有良好的商业信誉。</w:t>
            </w:r>
          </w:p>
        </w:tc>
        <w:tc>
          <w:tcPr>
            <w:tcW w:w="4153" w:type="dxa"/>
          </w:tcPr>
          <w:p w14:paraId="477BB045">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2492A4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4773E6A">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738" w:type="dxa"/>
          </w:tcPr>
          <w:p w14:paraId="28AC3F5C">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具有健全的财务会计制度。</w:t>
            </w:r>
          </w:p>
        </w:tc>
        <w:tc>
          <w:tcPr>
            <w:tcW w:w="4153" w:type="dxa"/>
          </w:tcPr>
          <w:p w14:paraId="658C1E5F">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根据自身情况选择提供其中任意一项：（1）可提供近两年（2023年或2024年）任一年度经审计的财务报告（包含审计报告和审计报告中所涉及的财务报表和报表附注）。（2）可提供近两年（2023年或2024年）任一年度供应商财务报表（至少包括资产负债表）。（3）可提供截至响应文件提交截止日一年内银行出具的资信证明。（4）供应商注册时间截至响应文件提交截止日不足一年的，可提供在工商管理部门备案的公司章程。（5）供应商为个体工商户或自然人时，可提供《投标（响应）函》完成承诺并进行电子签章。</w:t>
            </w:r>
          </w:p>
        </w:tc>
      </w:tr>
      <w:tr w14:paraId="2EA87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CCF905">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738" w:type="dxa"/>
          </w:tcPr>
          <w:p w14:paraId="46D91F76">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具有履行合同所必需的设备和专业技术能力。</w:t>
            </w:r>
          </w:p>
        </w:tc>
        <w:tc>
          <w:tcPr>
            <w:tcW w:w="4153" w:type="dxa"/>
          </w:tcPr>
          <w:p w14:paraId="26F18135">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06133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4810261">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738" w:type="dxa"/>
          </w:tcPr>
          <w:p w14:paraId="49E869EE">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有依法缴纳税收和社会保障资金的良好记录。</w:t>
            </w:r>
          </w:p>
        </w:tc>
        <w:tc>
          <w:tcPr>
            <w:tcW w:w="4153" w:type="dxa"/>
          </w:tcPr>
          <w:p w14:paraId="240172F9">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163A52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4ECD426">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3738" w:type="dxa"/>
          </w:tcPr>
          <w:p w14:paraId="4FB1AF52">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参加政府采购活动前三年内，在经营活动中没有重大违法记录。</w:t>
            </w:r>
          </w:p>
        </w:tc>
        <w:tc>
          <w:tcPr>
            <w:tcW w:w="4153" w:type="dxa"/>
          </w:tcPr>
          <w:p w14:paraId="6BA30FA7">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42141C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B2CE94">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3738" w:type="dxa"/>
          </w:tcPr>
          <w:p w14:paraId="4110DD30">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法律、行政法规规定的其它条件。</w:t>
            </w:r>
          </w:p>
        </w:tc>
        <w:tc>
          <w:tcPr>
            <w:tcW w:w="4153" w:type="dxa"/>
          </w:tcPr>
          <w:p w14:paraId="540CCFA2">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79CADF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BC0303">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3738" w:type="dxa"/>
          </w:tcPr>
          <w:p w14:paraId="37729D2B">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不存在与单位负责人为同一人或者存在直接控股、管理关系的其他供应商参与同一合同项下的政府采购活动的行为。</w:t>
            </w:r>
          </w:p>
        </w:tc>
        <w:tc>
          <w:tcPr>
            <w:tcW w:w="4153" w:type="dxa"/>
          </w:tcPr>
          <w:p w14:paraId="4E52B974">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3E68C1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4951166">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3738" w:type="dxa"/>
          </w:tcPr>
          <w:p w14:paraId="2394150A">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不属于为本项目提供整体设计、规范编制或者项目管理、监理、检测等服务的供应商。</w:t>
            </w:r>
          </w:p>
        </w:tc>
        <w:tc>
          <w:tcPr>
            <w:tcW w:w="4153" w:type="dxa"/>
          </w:tcPr>
          <w:p w14:paraId="752BB6C2">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11FA76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15CC51">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3738" w:type="dxa"/>
          </w:tcPr>
          <w:p w14:paraId="130CB7BA">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生产厂家或者生产厂家唯一授权供应商的证明材料。</w:t>
            </w:r>
          </w:p>
        </w:tc>
        <w:tc>
          <w:tcPr>
            <w:tcW w:w="4153" w:type="dxa"/>
          </w:tcPr>
          <w:p w14:paraId="412BA78A">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1)供应商如是生产厂家，应当在响应文件中上传响应产品品牌的《商标注册证》的原件扫描件并进行电子签章。具体要求如下： ①《商标注册证》中的注册人应与生产厂家名称一致或提供注册人授权生产厂家使用商标许可的证明材料，如因注册人工商登记信息发生变更导致名称不一致的，需提供市场监管部门变更登记的证明材料； ②《商标注册证》核定使用商品分类应包括本次响应产品对应分类； ③提交响应文件时，《商标注册证》应在有效期内，入围后生产厂家应确保在框架协议生效期间《商标注册证》有效。 2) 供应商如是生产厂家唯一授权供应商，应当在响应文件中除提供上述要求的证明材料（加盖生产厂家公章）外，还应提供响应产品品牌的生产厂家出具的唯一授权书扫描件（加盖生产厂家公章）。授权书应当明确授权时间（授权时间至少应包含本次框架协议期限）、产品范围、代理区域（四川省），并承诺在本次封闭式框架协议征集及补充征集期间不更换唯一授权供应商。</w:t>
            </w:r>
          </w:p>
        </w:tc>
      </w:tr>
    </w:tbl>
    <w:p w14:paraId="62DBE51A">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9.供应商特殊资格要求：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3738"/>
        <w:gridCol w:w="4153"/>
      </w:tblGrid>
      <w:tr w14:paraId="47E46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1441F8">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序号</w:t>
            </w:r>
          </w:p>
        </w:tc>
        <w:tc>
          <w:tcPr>
            <w:tcW w:w="3738" w:type="dxa"/>
          </w:tcPr>
          <w:p w14:paraId="555FB6A6">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资格要求名称</w:t>
            </w:r>
          </w:p>
        </w:tc>
        <w:tc>
          <w:tcPr>
            <w:tcW w:w="4153" w:type="dxa"/>
          </w:tcPr>
          <w:p w14:paraId="113A2299">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资格要求详细说明</w:t>
            </w:r>
          </w:p>
        </w:tc>
      </w:tr>
      <w:tr w14:paraId="38099C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3"/>
          </w:tcPr>
          <w:p w14:paraId="3D32F668">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bl>
    <w:p w14:paraId="4CFCA778">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10.入围供应商评审方法：价格优先法</w:t>
      </w:r>
    </w:p>
    <w:p w14:paraId="35478C6D">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11.入围供应商淘汰率：</w:t>
      </w:r>
    </w:p>
    <w:p w14:paraId="79D1EFD6">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本项目征集入围供应商 ，淘汰比例为 20.00%，淘汰供应商按照向上取整进行取整，且至少淘汰 1家供应商。</w:t>
      </w:r>
    </w:p>
    <w:p w14:paraId="1B38994E">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12.分包的评审条款：</w:t>
      </w:r>
    </w:p>
    <w:p w14:paraId="65D4E1BE">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价格优先法：</w:t>
      </w:r>
    </w:p>
    <w:p w14:paraId="369F54BD">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价格优先法是指对满足采购需求且响应报价不超过最高限制单价的货物，按照响应报价从低到高排序。评审委员会根据本项目（采购包）征集文件规定的淘汰率或者入围供应商数量上限，确定入围供应商名单。具体流程如下：</w:t>
      </w:r>
    </w:p>
    <w:p w14:paraId="17061CA4">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1）评审委员会按淘汰率计算得出淘汰供应商数量，即淘汰供应商数量=有效报价供应商数量*淘汰率。计算出的淘汰供应商数量存在小数的，按照向上取整的原则，确定需要淘汰供应商的数量；</w:t>
      </w:r>
    </w:p>
    <w:p w14:paraId="57479BED">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2）基于按淘汰率计算得出的淘汰供应商数量，根据入围供应商数量上限，确定还需淘汰供应商的数量，最终确定淘汰供应商的总数；</w:t>
      </w:r>
    </w:p>
    <w:p w14:paraId="4E35B75A">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3）根据最终确定淘汰供应商总数，按评审排序进行淘汰后，确定入围名单。如在排名并列的供应商中仍需淘汰一定数量供应商的，则在并列供应商中通过随机抽取确定相应数量入围供应商后，剩余供应商淘汰；</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23"/>
        <w:gridCol w:w="2415"/>
        <w:gridCol w:w="936"/>
        <w:gridCol w:w="3448"/>
      </w:tblGrid>
      <w:tr w14:paraId="59DF73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0" w:type="dxa"/>
          </w:tcPr>
          <w:p w14:paraId="7D8DF8B5">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序号</w:t>
            </w:r>
          </w:p>
        </w:tc>
        <w:tc>
          <w:tcPr>
            <w:tcW w:w="2423" w:type="dxa"/>
          </w:tcPr>
          <w:p w14:paraId="0AC42CB5">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评审因素</w:t>
            </w:r>
          </w:p>
        </w:tc>
        <w:tc>
          <w:tcPr>
            <w:tcW w:w="692" w:type="dxa"/>
          </w:tcPr>
          <w:p w14:paraId="6D524944">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扣除比例%</w:t>
            </w:r>
          </w:p>
        </w:tc>
        <w:tc>
          <w:tcPr>
            <w:tcW w:w="3461" w:type="dxa"/>
          </w:tcPr>
          <w:p w14:paraId="066716F1">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评审标准</w:t>
            </w:r>
          </w:p>
        </w:tc>
      </w:tr>
      <w:tr w14:paraId="226730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0" w:type="dxa"/>
          </w:tcPr>
          <w:p w14:paraId="5B2E7854">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423" w:type="dxa"/>
          </w:tcPr>
          <w:p w14:paraId="0485BAD6">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小型、微型企业，监狱企业，残疾人福利性单位</w:t>
            </w:r>
          </w:p>
        </w:tc>
        <w:tc>
          <w:tcPr>
            <w:tcW w:w="692" w:type="dxa"/>
          </w:tcPr>
          <w:p w14:paraId="30322F35">
            <w:pPr>
              <w:pStyle w:val="5"/>
              <w:keepNext w:val="0"/>
              <w:keepLines w:val="0"/>
              <w:pageBreakBefore w:val="0"/>
              <w:kinsoku/>
              <w:wordWrap/>
              <w:overflowPunct/>
              <w:topLinePunct w:val="0"/>
              <w:autoSpaceDE/>
              <w:autoSpaceDN/>
              <w:bidi w:val="0"/>
              <w:adjustRightInd/>
              <w:snapToGrid/>
              <w:ind w:firstLine="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10.00%</w:t>
            </w:r>
          </w:p>
        </w:tc>
        <w:tc>
          <w:tcPr>
            <w:tcW w:w="3461" w:type="dxa"/>
          </w:tcPr>
          <w:p w14:paraId="4D64DD81">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对提供的全部货物制造商属于小型和微型企业的投标人的投标报价给予相应百分比的扣除，用扣除后的价格参与评审。残疾人福利性单位视同小型、微型企业，享受同等价格扣除，但同时属于残疾人福利性单位和小微企业的，不重复价格扣除。</w:t>
            </w:r>
          </w:p>
        </w:tc>
      </w:tr>
    </w:tbl>
    <w:p w14:paraId="338AFC6B">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13.价格权重：</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7A8CC9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8109EB7">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权重项编号</w:t>
            </w:r>
          </w:p>
        </w:tc>
        <w:tc>
          <w:tcPr>
            <w:tcW w:w="2769" w:type="dxa"/>
          </w:tcPr>
          <w:p w14:paraId="433F4550">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权重项</w:t>
            </w:r>
          </w:p>
        </w:tc>
        <w:tc>
          <w:tcPr>
            <w:tcW w:w="2769" w:type="dxa"/>
          </w:tcPr>
          <w:p w14:paraId="5C082AB5">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权重值</w:t>
            </w:r>
          </w:p>
        </w:tc>
      </w:tr>
      <w:tr w14:paraId="57C2CC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68FF3A9">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769" w:type="dxa"/>
          </w:tcPr>
          <w:p w14:paraId="7DFFF92F">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标的价格</w:t>
            </w:r>
          </w:p>
        </w:tc>
        <w:tc>
          <w:tcPr>
            <w:tcW w:w="2769" w:type="dxa"/>
          </w:tcPr>
          <w:p w14:paraId="5CDBDADB">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100.00%</w:t>
            </w:r>
          </w:p>
        </w:tc>
      </w:tr>
    </w:tbl>
    <w:p w14:paraId="272AF4E2">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14.第二阶段成交供应商的方式：直接选定/二次竞价</w:t>
      </w:r>
    </w:p>
    <w:p w14:paraId="58D69574">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单次采购20万元以下（不含20万）的采用直接选定或者二次竞价，20万元以上（含20万）的采用二次竞价。</w:t>
      </w:r>
    </w:p>
    <w:p w14:paraId="67185298">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15.资金支付方式、时间和条件：</w:t>
      </w:r>
    </w:p>
    <w:p w14:paraId="75C69D69">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 支付方式：一次性付款或分期付款</w:t>
      </w:r>
    </w:p>
    <w:p w14:paraId="36F6D736">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 支付时间和条件：对于满足合同约定支付条件的，采购人应当自收到发票后10个工作日内将资金支付到合同约定的供应商账户。采购人和供应商在第二阶段有特殊约定的除外。</w:t>
      </w:r>
    </w:p>
    <w:p w14:paraId="0436BE51">
      <w:pPr>
        <w:pStyle w:val="5"/>
        <w:keepNext w:val="0"/>
        <w:keepLines w:val="0"/>
        <w:pageBreakBefore w:val="0"/>
        <w:kinsoku/>
        <w:wordWrap/>
        <w:overflowPunct/>
        <w:topLinePunct w:val="0"/>
        <w:autoSpaceDE/>
        <w:autoSpaceDN/>
        <w:bidi w:val="0"/>
        <w:adjustRightInd/>
        <w:snapToGrid/>
        <w:ind w:firstLine="0"/>
        <w:textAlignment w:val="auto"/>
        <w:outlineLvl w:val="4"/>
        <w:rPr>
          <w:rFonts w:hint="eastAsia" w:ascii="宋体" w:hAnsi="宋体" w:eastAsia="宋体" w:cs="宋体"/>
          <w:color w:val="auto"/>
          <w:sz w:val="24"/>
          <w:szCs w:val="24"/>
        </w:rPr>
      </w:pPr>
      <w:r>
        <w:rPr>
          <w:rFonts w:hint="eastAsia" w:ascii="宋体" w:hAnsi="宋体" w:eastAsia="宋体" w:cs="宋体"/>
          <w:b/>
          <w:color w:val="auto"/>
          <w:sz w:val="24"/>
          <w:szCs w:val="24"/>
        </w:rPr>
        <w:t>（二）分包名称：包2</w:t>
      </w:r>
    </w:p>
    <w:p w14:paraId="3A3AB67B">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1.采购标的：杀毒软件</w:t>
      </w:r>
    </w:p>
    <w:p w14:paraId="3A93B3AE">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2.需求明细：</w:t>
      </w:r>
    </w:p>
    <w:p w14:paraId="2093F844">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1）标的名称：杀毒软件Windows版</w:t>
      </w:r>
    </w:p>
    <w:p w14:paraId="56ADC64F">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2）计量单位：点位</w:t>
      </w:r>
    </w:p>
    <w:p w14:paraId="2152F3F0">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3）是否强制采购节能产品： 否</w:t>
      </w:r>
    </w:p>
    <w:p w14:paraId="091A10A6">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4）是否优先采购节能环保产品： 否</w:t>
      </w:r>
    </w:p>
    <w:p w14:paraId="79DC2A32">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5）是否采购进口产品： 否</w:t>
      </w:r>
    </w:p>
    <w:p w14:paraId="7590CC62">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6）标的物所属行业：软件和信息技术服务业</w:t>
      </w:r>
    </w:p>
    <w:p w14:paraId="02943105">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3.拟采购标的的技术要求：</w:t>
      </w:r>
    </w:p>
    <w:tbl>
      <w:tblPr>
        <w:tblStyle w:val="3"/>
        <w:tblW w:w="10246" w:type="dxa"/>
        <w:tblInd w:w="-637"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autofit"/>
        <w:tblCellMar>
          <w:top w:w="0" w:type="dxa"/>
          <w:left w:w="108" w:type="dxa"/>
          <w:bottom w:w="0" w:type="dxa"/>
          <w:right w:w="108" w:type="dxa"/>
        </w:tblCellMar>
      </w:tblPr>
      <w:tblGrid>
        <w:gridCol w:w="554"/>
        <w:gridCol w:w="1038"/>
        <w:gridCol w:w="1419"/>
        <w:gridCol w:w="1212"/>
        <w:gridCol w:w="761"/>
        <w:gridCol w:w="1212"/>
        <w:gridCol w:w="115"/>
        <w:gridCol w:w="2504"/>
        <w:gridCol w:w="1431"/>
      </w:tblGrid>
      <w:tr w14:paraId="1784655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54" w:type="dxa"/>
            <w:vAlign w:val="center"/>
          </w:tcPr>
          <w:p w14:paraId="2417B3F8">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038" w:type="dxa"/>
            <w:vAlign w:val="center"/>
          </w:tcPr>
          <w:p w14:paraId="7C8A5310">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技术要求</w:t>
            </w:r>
          </w:p>
        </w:tc>
        <w:tc>
          <w:tcPr>
            <w:tcW w:w="1419" w:type="dxa"/>
            <w:vAlign w:val="center"/>
          </w:tcPr>
          <w:p w14:paraId="641E5720">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技术参数</w:t>
            </w:r>
          </w:p>
        </w:tc>
        <w:tc>
          <w:tcPr>
            <w:tcW w:w="1212" w:type="dxa"/>
            <w:vAlign w:val="center"/>
          </w:tcPr>
          <w:p w14:paraId="185B3DC8">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761" w:type="dxa"/>
            <w:vAlign w:val="center"/>
          </w:tcPr>
          <w:p w14:paraId="0523FD4B">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参数符号</w:t>
            </w:r>
          </w:p>
        </w:tc>
        <w:tc>
          <w:tcPr>
            <w:tcW w:w="1327" w:type="dxa"/>
            <w:gridSpan w:val="2"/>
            <w:vAlign w:val="center"/>
          </w:tcPr>
          <w:p w14:paraId="58B49C51">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参数值规则</w:t>
            </w:r>
          </w:p>
        </w:tc>
        <w:tc>
          <w:tcPr>
            <w:tcW w:w="2504" w:type="dxa"/>
            <w:vAlign w:val="center"/>
          </w:tcPr>
          <w:p w14:paraId="4E2118EF">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参数值</w:t>
            </w:r>
          </w:p>
        </w:tc>
        <w:tc>
          <w:tcPr>
            <w:tcW w:w="1431" w:type="dxa"/>
            <w:vAlign w:val="center"/>
          </w:tcPr>
          <w:p w14:paraId="11E238B5">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参数值偏离规则</w:t>
            </w:r>
          </w:p>
        </w:tc>
      </w:tr>
      <w:tr w14:paraId="1405EB4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54" w:type="dxa"/>
            <w:vAlign w:val="center"/>
          </w:tcPr>
          <w:p w14:paraId="1F23CE4C">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038" w:type="dxa"/>
            <w:vAlign w:val="center"/>
          </w:tcPr>
          <w:p w14:paraId="5D68ABEC">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性能</w:t>
            </w:r>
          </w:p>
        </w:tc>
        <w:tc>
          <w:tcPr>
            <w:tcW w:w="1419" w:type="dxa"/>
            <w:vAlign w:val="center"/>
          </w:tcPr>
          <w:p w14:paraId="247F8E27">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系统支持</w:t>
            </w:r>
          </w:p>
        </w:tc>
        <w:tc>
          <w:tcPr>
            <w:tcW w:w="1212" w:type="dxa"/>
            <w:vAlign w:val="center"/>
          </w:tcPr>
          <w:p w14:paraId="23DF1A27">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61" w:type="dxa"/>
            <w:vAlign w:val="center"/>
          </w:tcPr>
          <w:p w14:paraId="11CBF56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212" w:type="dxa"/>
            <w:vAlign w:val="center"/>
          </w:tcPr>
          <w:p w14:paraId="44BA98C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19" w:type="dxa"/>
            <w:gridSpan w:val="2"/>
            <w:vAlign w:val="center"/>
          </w:tcPr>
          <w:p w14:paraId="6411A19E">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支持WindowsXP，WindowsVista，Windows7，Win10（含神州网信版）等</w:t>
            </w:r>
          </w:p>
        </w:tc>
        <w:tc>
          <w:tcPr>
            <w:tcW w:w="1431" w:type="dxa"/>
            <w:vAlign w:val="center"/>
          </w:tcPr>
          <w:p w14:paraId="6869F4BD">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8BB08EA">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54" w:type="dxa"/>
            <w:vAlign w:val="center"/>
          </w:tcPr>
          <w:p w14:paraId="5574B1E9">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038" w:type="dxa"/>
            <w:vAlign w:val="center"/>
          </w:tcPr>
          <w:p w14:paraId="4EC943A8">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419" w:type="dxa"/>
            <w:vAlign w:val="center"/>
          </w:tcPr>
          <w:p w14:paraId="6FA42D77">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文件、邮件、U盘等实时监控</w:t>
            </w:r>
          </w:p>
        </w:tc>
        <w:tc>
          <w:tcPr>
            <w:tcW w:w="1212" w:type="dxa"/>
            <w:vAlign w:val="center"/>
          </w:tcPr>
          <w:p w14:paraId="0CE719F9">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61" w:type="dxa"/>
            <w:vAlign w:val="center"/>
          </w:tcPr>
          <w:p w14:paraId="4CAED69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212" w:type="dxa"/>
            <w:vAlign w:val="center"/>
          </w:tcPr>
          <w:p w14:paraId="40DFFF3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19" w:type="dxa"/>
            <w:gridSpan w:val="2"/>
            <w:vAlign w:val="center"/>
          </w:tcPr>
          <w:p w14:paraId="5F035B38">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431" w:type="dxa"/>
            <w:vAlign w:val="center"/>
          </w:tcPr>
          <w:p w14:paraId="15BE18C0">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591E068">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54" w:type="dxa"/>
            <w:vAlign w:val="center"/>
          </w:tcPr>
          <w:p w14:paraId="1383476D">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038" w:type="dxa"/>
            <w:vAlign w:val="center"/>
          </w:tcPr>
          <w:p w14:paraId="38093E43">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419" w:type="dxa"/>
            <w:vAlign w:val="center"/>
          </w:tcPr>
          <w:p w14:paraId="276CA9AA">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定时查毒杀毒</w:t>
            </w:r>
          </w:p>
        </w:tc>
        <w:tc>
          <w:tcPr>
            <w:tcW w:w="1212" w:type="dxa"/>
            <w:vAlign w:val="center"/>
          </w:tcPr>
          <w:p w14:paraId="3D1D14AE">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61" w:type="dxa"/>
            <w:vAlign w:val="center"/>
          </w:tcPr>
          <w:p w14:paraId="1668D81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212" w:type="dxa"/>
            <w:vAlign w:val="center"/>
          </w:tcPr>
          <w:p w14:paraId="243193C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19" w:type="dxa"/>
            <w:gridSpan w:val="2"/>
            <w:vAlign w:val="center"/>
          </w:tcPr>
          <w:p w14:paraId="34E4A665">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431" w:type="dxa"/>
            <w:vAlign w:val="center"/>
          </w:tcPr>
          <w:p w14:paraId="739ED3EF">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87C159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54" w:type="dxa"/>
            <w:vAlign w:val="center"/>
          </w:tcPr>
          <w:p w14:paraId="62BECE7A">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038" w:type="dxa"/>
            <w:vAlign w:val="center"/>
          </w:tcPr>
          <w:p w14:paraId="18BA214A">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419" w:type="dxa"/>
            <w:vAlign w:val="center"/>
          </w:tcPr>
          <w:p w14:paraId="51896F44">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未知病毒查杀能力</w:t>
            </w:r>
          </w:p>
        </w:tc>
        <w:tc>
          <w:tcPr>
            <w:tcW w:w="1212" w:type="dxa"/>
            <w:vAlign w:val="center"/>
          </w:tcPr>
          <w:p w14:paraId="299452B7">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61" w:type="dxa"/>
            <w:vAlign w:val="center"/>
          </w:tcPr>
          <w:p w14:paraId="2247648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212" w:type="dxa"/>
            <w:vAlign w:val="center"/>
          </w:tcPr>
          <w:p w14:paraId="00A2020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19" w:type="dxa"/>
            <w:gridSpan w:val="2"/>
            <w:vAlign w:val="center"/>
          </w:tcPr>
          <w:p w14:paraId="143230ED">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431" w:type="dxa"/>
            <w:vAlign w:val="center"/>
          </w:tcPr>
          <w:p w14:paraId="06FB818D">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393CBA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54" w:type="dxa"/>
            <w:vAlign w:val="center"/>
          </w:tcPr>
          <w:p w14:paraId="40A4C665">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038" w:type="dxa"/>
            <w:vAlign w:val="center"/>
          </w:tcPr>
          <w:p w14:paraId="3B491BC5">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419" w:type="dxa"/>
            <w:vAlign w:val="center"/>
          </w:tcPr>
          <w:p w14:paraId="2DF768A6">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是否支持手动升级</w:t>
            </w:r>
          </w:p>
        </w:tc>
        <w:tc>
          <w:tcPr>
            <w:tcW w:w="1212" w:type="dxa"/>
            <w:vAlign w:val="center"/>
          </w:tcPr>
          <w:p w14:paraId="4804DFDF">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61" w:type="dxa"/>
            <w:vAlign w:val="center"/>
          </w:tcPr>
          <w:p w14:paraId="6DB2F43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212" w:type="dxa"/>
            <w:vAlign w:val="center"/>
          </w:tcPr>
          <w:p w14:paraId="4B839A8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19" w:type="dxa"/>
            <w:gridSpan w:val="2"/>
            <w:vAlign w:val="center"/>
          </w:tcPr>
          <w:p w14:paraId="608BEBC2">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431" w:type="dxa"/>
            <w:vAlign w:val="center"/>
          </w:tcPr>
          <w:p w14:paraId="0296E834">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8ABC01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54" w:type="dxa"/>
            <w:vAlign w:val="center"/>
          </w:tcPr>
          <w:p w14:paraId="2892D8F1">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038" w:type="dxa"/>
            <w:vAlign w:val="center"/>
          </w:tcPr>
          <w:p w14:paraId="62BF82F7">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419" w:type="dxa"/>
            <w:vAlign w:val="center"/>
          </w:tcPr>
          <w:p w14:paraId="32BF0896">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授权文件支持自动和手动下发机制</w:t>
            </w:r>
          </w:p>
        </w:tc>
        <w:tc>
          <w:tcPr>
            <w:tcW w:w="1212" w:type="dxa"/>
            <w:vAlign w:val="center"/>
          </w:tcPr>
          <w:p w14:paraId="22020A9B">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61" w:type="dxa"/>
            <w:vAlign w:val="center"/>
          </w:tcPr>
          <w:p w14:paraId="176EFF7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212" w:type="dxa"/>
            <w:vAlign w:val="center"/>
          </w:tcPr>
          <w:p w14:paraId="2D1CA94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19" w:type="dxa"/>
            <w:gridSpan w:val="2"/>
            <w:vAlign w:val="center"/>
          </w:tcPr>
          <w:p w14:paraId="278B4C50">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w:t>
            </w:r>
          </w:p>
        </w:tc>
        <w:tc>
          <w:tcPr>
            <w:tcW w:w="1431" w:type="dxa"/>
            <w:vAlign w:val="center"/>
          </w:tcPr>
          <w:p w14:paraId="5E44082F">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74D6FD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54" w:type="dxa"/>
            <w:vAlign w:val="center"/>
          </w:tcPr>
          <w:p w14:paraId="19E64F63">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038" w:type="dxa"/>
            <w:vAlign w:val="center"/>
          </w:tcPr>
          <w:p w14:paraId="707383F3">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419" w:type="dxa"/>
            <w:vAlign w:val="center"/>
          </w:tcPr>
          <w:p w14:paraId="2A7CD098">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网址黑白名单</w:t>
            </w:r>
          </w:p>
        </w:tc>
        <w:tc>
          <w:tcPr>
            <w:tcW w:w="1212" w:type="dxa"/>
            <w:vAlign w:val="center"/>
          </w:tcPr>
          <w:p w14:paraId="0A8A553C">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61" w:type="dxa"/>
            <w:vAlign w:val="center"/>
          </w:tcPr>
          <w:p w14:paraId="5ED55F4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212" w:type="dxa"/>
            <w:vAlign w:val="center"/>
          </w:tcPr>
          <w:p w14:paraId="30C371D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19" w:type="dxa"/>
            <w:gridSpan w:val="2"/>
            <w:vAlign w:val="center"/>
          </w:tcPr>
          <w:p w14:paraId="09A282E1">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431" w:type="dxa"/>
            <w:vAlign w:val="center"/>
          </w:tcPr>
          <w:p w14:paraId="785FA711">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385612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54" w:type="dxa"/>
            <w:vAlign w:val="center"/>
          </w:tcPr>
          <w:p w14:paraId="769B7A3E">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038" w:type="dxa"/>
            <w:vAlign w:val="center"/>
          </w:tcPr>
          <w:p w14:paraId="6AC33B27">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419" w:type="dxa"/>
            <w:vAlign w:val="center"/>
          </w:tcPr>
          <w:p w14:paraId="07EF501B">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是否支持锁定使用权限</w:t>
            </w:r>
          </w:p>
        </w:tc>
        <w:tc>
          <w:tcPr>
            <w:tcW w:w="1212" w:type="dxa"/>
            <w:vAlign w:val="center"/>
          </w:tcPr>
          <w:p w14:paraId="69D2DF4A">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61" w:type="dxa"/>
            <w:vAlign w:val="center"/>
          </w:tcPr>
          <w:p w14:paraId="6727CF5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212" w:type="dxa"/>
            <w:vAlign w:val="center"/>
          </w:tcPr>
          <w:p w14:paraId="7C960251">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管理员可通过控制台锁定客户端的使用权限。</w:t>
            </w:r>
          </w:p>
        </w:tc>
        <w:tc>
          <w:tcPr>
            <w:tcW w:w="2619" w:type="dxa"/>
            <w:gridSpan w:val="2"/>
            <w:vAlign w:val="center"/>
          </w:tcPr>
          <w:p w14:paraId="5E1FA8B1">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431" w:type="dxa"/>
            <w:vAlign w:val="center"/>
          </w:tcPr>
          <w:p w14:paraId="3D086F64">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E0BF64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54" w:type="dxa"/>
            <w:vAlign w:val="center"/>
          </w:tcPr>
          <w:p w14:paraId="269F27E6">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038" w:type="dxa"/>
            <w:vAlign w:val="center"/>
          </w:tcPr>
          <w:p w14:paraId="79D34050">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419" w:type="dxa"/>
            <w:vAlign w:val="center"/>
          </w:tcPr>
          <w:p w14:paraId="2BCED9E7">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网页病毒查杀，包括木马、蠕虫、后门程序、挖矿病毒、广告软件等多种恶意程序</w:t>
            </w:r>
          </w:p>
        </w:tc>
        <w:tc>
          <w:tcPr>
            <w:tcW w:w="1212" w:type="dxa"/>
            <w:vAlign w:val="center"/>
          </w:tcPr>
          <w:p w14:paraId="26C0ED47">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61" w:type="dxa"/>
            <w:vAlign w:val="center"/>
          </w:tcPr>
          <w:p w14:paraId="4D8706E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212" w:type="dxa"/>
            <w:vAlign w:val="center"/>
          </w:tcPr>
          <w:p w14:paraId="6EDACBD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19" w:type="dxa"/>
            <w:gridSpan w:val="2"/>
            <w:vAlign w:val="center"/>
          </w:tcPr>
          <w:p w14:paraId="25E3629C">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431" w:type="dxa"/>
            <w:vAlign w:val="center"/>
          </w:tcPr>
          <w:p w14:paraId="04B27E46">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6154955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54" w:type="dxa"/>
            <w:vAlign w:val="center"/>
          </w:tcPr>
          <w:p w14:paraId="39BD7957">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038" w:type="dxa"/>
            <w:vAlign w:val="center"/>
          </w:tcPr>
          <w:p w14:paraId="0482E5D0">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419" w:type="dxa"/>
            <w:vAlign w:val="center"/>
          </w:tcPr>
          <w:p w14:paraId="5963C3AA">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宏病毒查杀，包括木马、蠕虫、后门程序、挖矿病毒、广告软件等多种恶意程序</w:t>
            </w:r>
          </w:p>
        </w:tc>
        <w:tc>
          <w:tcPr>
            <w:tcW w:w="1212" w:type="dxa"/>
            <w:vAlign w:val="center"/>
          </w:tcPr>
          <w:p w14:paraId="4EC5B2B2">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61" w:type="dxa"/>
            <w:vAlign w:val="center"/>
          </w:tcPr>
          <w:p w14:paraId="3D2D2E0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212" w:type="dxa"/>
            <w:vAlign w:val="center"/>
          </w:tcPr>
          <w:p w14:paraId="33DCD3A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19" w:type="dxa"/>
            <w:gridSpan w:val="2"/>
            <w:vAlign w:val="center"/>
          </w:tcPr>
          <w:p w14:paraId="21DF993A">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431" w:type="dxa"/>
            <w:vAlign w:val="center"/>
          </w:tcPr>
          <w:p w14:paraId="2D0B2F7F">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50961A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54" w:type="dxa"/>
            <w:vAlign w:val="center"/>
          </w:tcPr>
          <w:p w14:paraId="1E742B99">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1038" w:type="dxa"/>
            <w:vAlign w:val="center"/>
          </w:tcPr>
          <w:p w14:paraId="517AD8A0">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419" w:type="dxa"/>
            <w:vAlign w:val="center"/>
          </w:tcPr>
          <w:p w14:paraId="52447446">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邮件病毒检测与清除，包括木马、蠕虫、后门程序、挖矿病毒、广告软件等多种恶意程序</w:t>
            </w:r>
          </w:p>
        </w:tc>
        <w:tc>
          <w:tcPr>
            <w:tcW w:w="1212" w:type="dxa"/>
            <w:vAlign w:val="center"/>
          </w:tcPr>
          <w:p w14:paraId="2FF950F1">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61" w:type="dxa"/>
            <w:vAlign w:val="center"/>
          </w:tcPr>
          <w:p w14:paraId="58B04AF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212" w:type="dxa"/>
            <w:vAlign w:val="center"/>
          </w:tcPr>
          <w:p w14:paraId="2D877FC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19" w:type="dxa"/>
            <w:gridSpan w:val="2"/>
            <w:vAlign w:val="center"/>
          </w:tcPr>
          <w:p w14:paraId="57A246F6">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431" w:type="dxa"/>
            <w:vAlign w:val="center"/>
          </w:tcPr>
          <w:p w14:paraId="71C784E3">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9C0C6B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54" w:type="dxa"/>
            <w:vAlign w:val="center"/>
          </w:tcPr>
          <w:p w14:paraId="550382D0">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1038" w:type="dxa"/>
            <w:vAlign w:val="center"/>
          </w:tcPr>
          <w:p w14:paraId="1977C0F1">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419" w:type="dxa"/>
            <w:vAlign w:val="center"/>
          </w:tcPr>
          <w:p w14:paraId="11F92C9C">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恶意代码探测扫描</w:t>
            </w:r>
          </w:p>
        </w:tc>
        <w:tc>
          <w:tcPr>
            <w:tcW w:w="1212" w:type="dxa"/>
            <w:vAlign w:val="center"/>
          </w:tcPr>
          <w:p w14:paraId="3BBBDA79">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61" w:type="dxa"/>
            <w:vAlign w:val="center"/>
          </w:tcPr>
          <w:p w14:paraId="2D000BB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212" w:type="dxa"/>
            <w:vAlign w:val="center"/>
          </w:tcPr>
          <w:p w14:paraId="3F01C89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19" w:type="dxa"/>
            <w:gridSpan w:val="2"/>
            <w:vAlign w:val="center"/>
          </w:tcPr>
          <w:p w14:paraId="0CC6A09D">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431" w:type="dxa"/>
            <w:vAlign w:val="center"/>
          </w:tcPr>
          <w:p w14:paraId="1A641E59">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CD2363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54" w:type="dxa"/>
            <w:vAlign w:val="center"/>
          </w:tcPr>
          <w:p w14:paraId="0A83ABD8">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1038" w:type="dxa"/>
            <w:vAlign w:val="center"/>
          </w:tcPr>
          <w:p w14:paraId="02ED788D">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419" w:type="dxa"/>
            <w:vAlign w:val="center"/>
          </w:tcPr>
          <w:p w14:paraId="67AEBD03">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病毒查杀种类与数量</w:t>
            </w:r>
          </w:p>
        </w:tc>
        <w:tc>
          <w:tcPr>
            <w:tcW w:w="1212" w:type="dxa"/>
            <w:vAlign w:val="center"/>
          </w:tcPr>
          <w:p w14:paraId="43F5287D">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61" w:type="dxa"/>
            <w:vAlign w:val="center"/>
          </w:tcPr>
          <w:p w14:paraId="6148620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212" w:type="dxa"/>
            <w:vAlign w:val="center"/>
          </w:tcPr>
          <w:p w14:paraId="48F940B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19" w:type="dxa"/>
            <w:gridSpan w:val="2"/>
            <w:vAlign w:val="center"/>
          </w:tcPr>
          <w:p w14:paraId="165C4BFE">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支持多种病毒查杀种类</w:t>
            </w:r>
          </w:p>
        </w:tc>
        <w:tc>
          <w:tcPr>
            <w:tcW w:w="1431" w:type="dxa"/>
            <w:vAlign w:val="center"/>
          </w:tcPr>
          <w:p w14:paraId="465F8A85">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C9DAF48">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54" w:type="dxa"/>
            <w:vAlign w:val="center"/>
          </w:tcPr>
          <w:p w14:paraId="4B903D6E">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1038" w:type="dxa"/>
            <w:vAlign w:val="center"/>
          </w:tcPr>
          <w:p w14:paraId="13E4AE87">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419" w:type="dxa"/>
            <w:vAlign w:val="center"/>
          </w:tcPr>
          <w:p w14:paraId="527EA031">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WPS等嵌入式杀毒</w:t>
            </w:r>
          </w:p>
        </w:tc>
        <w:tc>
          <w:tcPr>
            <w:tcW w:w="1212" w:type="dxa"/>
            <w:vAlign w:val="center"/>
          </w:tcPr>
          <w:p w14:paraId="0BB10CC0">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61" w:type="dxa"/>
            <w:vAlign w:val="center"/>
          </w:tcPr>
          <w:p w14:paraId="5F493E7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212" w:type="dxa"/>
            <w:vAlign w:val="center"/>
          </w:tcPr>
          <w:p w14:paraId="48F228B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19" w:type="dxa"/>
            <w:gridSpan w:val="2"/>
            <w:vAlign w:val="center"/>
          </w:tcPr>
          <w:p w14:paraId="24FCD906">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431" w:type="dxa"/>
            <w:vAlign w:val="center"/>
          </w:tcPr>
          <w:p w14:paraId="393D41EF">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D0FA08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54" w:type="dxa"/>
            <w:vAlign w:val="center"/>
          </w:tcPr>
          <w:p w14:paraId="1C5B46F9">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1038" w:type="dxa"/>
            <w:vAlign w:val="center"/>
          </w:tcPr>
          <w:p w14:paraId="1B71104D">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419" w:type="dxa"/>
            <w:vAlign w:val="center"/>
          </w:tcPr>
          <w:p w14:paraId="174F77B2">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具有病毒隔离与上报</w:t>
            </w:r>
          </w:p>
        </w:tc>
        <w:tc>
          <w:tcPr>
            <w:tcW w:w="1212" w:type="dxa"/>
            <w:vAlign w:val="center"/>
          </w:tcPr>
          <w:p w14:paraId="7236F83C">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61" w:type="dxa"/>
            <w:vAlign w:val="center"/>
          </w:tcPr>
          <w:p w14:paraId="6031E63C">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212" w:type="dxa"/>
            <w:vAlign w:val="center"/>
          </w:tcPr>
          <w:p w14:paraId="4CD9A99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19" w:type="dxa"/>
            <w:gridSpan w:val="2"/>
            <w:vAlign w:val="center"/>
          </w:tcPr>
          <w:p w14:paraId="1F9C9164">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431" w:type="dxa"/>
            <w:vAlign w:val="center"/>
          </w:tcPr>
          <w:p w14:paraId="5BDC22B6">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8EFB1A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54" w:type="dxa"/>
            <w:vAlign w:val="center"/>
          </w:tcPr>
          <w:p w14:paraId="44E2BA1A">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1038" w:type="dxa"/>
            <w:vAlign w:val="center"/>
          </w:tcPr>
          <w:p w14:paraId="4911F0BF">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419" w:type="dxa"/>
            <w:vAlign w:val="center"/>
          </w:tcPr>
          <w:p w14:paraId="57D93BF1">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资源静态占用率</w:t>
            </w:r>
          </w:p>
        </w:tc>
        <w:tc>
          <w:tcPr>
            <w:tcW w:w="1212" w:type="dxa"/>
            <w:vAlign w:val="center"/>
          </w:tcPr>
          <w:p w14:paraId="5EEF784D">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61" w:type="dxa"/>
            <w:vAlign w:val="center"/>
          </w:tcPr>
          <w:p w14:paraId="40605F2C">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212" w:type="dxa"/>
            <w:vAlign w:val="center"/>
          </w:tcPr>
          <w:p w14:paraId="0249B4B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19" w:type="dxa"/>
            <w:gridSpan w:val="2"/>
            <w:vAlign w:val="center"/>
          </w:tcPr>
          <w:p w14:paraId="2B3CBAD9">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CPU、内存、网络、存储IO等资源的平均使用率不超过15%</w:t>
            </w:r>
          </w:p>
        </w:tc>
        <w:tc>
          <w:tcPr>
            <w:tcW w:w="1431" w:type="dxa"/>
            <w:vAlign w:val="center"/>
          </w:tcPr>
          <w:p w14:paraId="5E3F2FA1">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6530F1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54" w:type="dxa"/>
            <w:vAlign w:val="center"/>
          </w:tcPr>
          <w:p w14:paraId="1659747B">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1038" w:type="dxa"/>
            <w:vAlign w:val="center"/>
          </w:tcPr>
          <w:p w14:paraId="00556661">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419" w:type="dxa"/>
            <w:vAlign w:val="center"/>
          </w:tcPr>
          <w:p w14:paraId="1B531EF9">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管理架构需要能够采用B/S或C/S模式对客户端进行管理，采用B/S架构，可以通过浏览器登录管理后台</w:t>
            </w:r>
          </w:p>
        </w:tc>
        <w:tc>
          <w:tcPr>
            <w:tcW w:w="1212" w:type="dxa"/>
            <w:vAlign w:val="center"/>
          </w:tcPr>
          <w:p w14:paraId="78606661">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61" w:type="dxa"/>
            <w:vAlign w:val="center"/>
          </w:tcPr>
          <w:p w14:paraId="494542C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212" w:type="dxa"/>
            <w:vAlign w:val="center"/>
          </w:tcPr>
          <w:p w14:paraId="515AB40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19" w:type="dxa"/>
            <w:gridSpan w:val="2"/>
            <w:vAlign w:val="center"/>
          </w:tcPr>
          <w:p w14:paraId="74FE65B3">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w:t>
            </w:r>
          </w:p>
        </w:tc>
        <w:tc>
          <w:tcPr>
            <w:tcW w:w="1431" w:type="dxa"/>
            <w:vAlign w:val="center"/>
          </w:tcPr>
          <w:p w14:paraId="4171C519">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CC1752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54" w:type="dxa"/>
            <w:vAlign w:val="center"/>
          </w:tcPr>
          <w:p w14:paraId="0D35884C">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1038" w:type="dxa"/>
            <w:vAlign w:val="center"/>
          </w:tcPr>
          <w:p w14:paraId="40874D6A">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419" w:type="dxa"/>
            <w:vAlign w:val="center"/>
          </w:tcPr>
          <w:p w14:paraId="205FE4EF">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日志报告功能</w:t>
            </w:r>
          </w:p>
        </w:tc>
        <w:tc>
          <w:tcPr>
            <w:tcW w:w="1212" w:type="dxa"/>
            <w:vAlign w:val="center"/>
          </w:tcPr>
          <w:p w14:paraId="5E2F5D84">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61" w:type="dxa"/>
            <w:vAlign w:val="center"/>
          </w:tcPr>
          <w:p w14:paraId="1078E0E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212" w:type="dxa"/>
            <w:vAlign w:val="center"/>
          </w:tcPr>
          <w:p w14:paraId="59B3AE7C">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19" w:type="dxa"/>
            <w:gridSpan w:val="2"/>
            <w:vAlign w:val="center"/>
          </w:tcPr>
          <w:p w14:paraId="4360701E">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具备</w:t>
            </w:r>
          </w:p>
        </w:tc>
        <w:tc>
          <w:tcPr>
            <w:tcW w:w="1431" w:type="dxa"/>
            <w:vAlign w:val="center"/>
          </w:tcPr>
          <w:p w14:paraId="13ABEBB7">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79722D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54" w:type="dxa"/>
            <w:vAlign w:val="center"/>
          </w:tcPr>
          <w:p w14:paraId="171E6847">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1038" w:type="dxa"/>
            <w:vAlign w:val="center"/>
          </w:tcPr>
          <w:p w14:paraId="24544CDC">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419" w:type="dxa"/>
            <w:vAlign w:val="center"/>
          </w:tcPr>
          <w:p w14:paraId="4AEE9173">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安全权限功能</w:t>
            </w:r>
          </w:p>
        </w:tc>
        <w:tc>
          <w:tcPr>
            <w:tcW w:w="1212" w:type="dxa"/>
            <w:vAlign w:val="center"/>
          </w:tcPr>
          <w:p w14:paraId="29F74B27">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61" w:type="dxa"/>
            <w:vAlign w:val="center"/>
          </w:tcPr>
          <w:p w14:paraId="721D8FF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212" w:type="dxa"/>
            <w:vAlign w:val="center"/>
          </w:tcPr>
          <w:p w14:paraId="65B2287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19" w:type="dxa"/>
            <w:gridSpan w:val="2"/>
            <w:vAlign w:val="center"/>
          </w:tcPr>
          <w:p w14:paraId="45D50647">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具备</w:t>
            </w:r>
          </w:p>
        </w:tc>
        <w:tc>
          <w:tcPr>
            <w:tcW w:w="1431" w:type="dxa"/>
            <w:vAlign w:val="center"/>
          </w:tcPr>
          <w:p w14:paraId="5BC7DF54">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071D08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54" w:type="dxa"/>
            <w:vAlign w:val="center"/>
          </w:tcPr>
          <w:p w14:paraId="1E108928">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1038" w:type="dxa"/>
            <w:vAlign w:val="center"/>
          </w:tcPr>
          <w:p w14:paraId="4C14638E">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419" w:type="dxa"/>
            <w:vAlign w:val="center"/>
          </w:tcPr>
          <w:p w14:paraId="76CD2D57">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系统文件防护</w:t>
            </w:r>
          </w:p>
        </w:tc>
        <w:tc>
          <w:tcPr>
            <w:tcW w:w="1212" w:type="dxa"/>
            <w:vAlign w:val="center"/>
          </w:tcPr>
          <w:p w14:paraId="33EB6256">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61" w:type="dxa"/>
            <w:vAlign w:val="center"/>
          </w:tcPr>
          <w:p w14:paraId="232D51C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212" w:type="dxa"/>
            <w:vAlign w:val="center"/>
          </w:tcPr>
          <w:p w14:paraId="65DA413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19" w:type="dxa"/>
            <w:gridSpan w:val="2"/>
            <w:vAlign w:val="center"/>
          </w:tcPr>
          <w:p w14:paraId="3D2B3300">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具备</w:t>
            </w:r>
          </w:p>
        </w:tc>
        <w:tc>
          <w:tcPr>
            <w:tcW w:w="1431" w:type="dxa"/>
            <w:vAlign w:val="center"/>
          </w:tcPr>
          <w:p w14:paraId="394E8498">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65646F90">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54" w:type="dxa"/>
            <w:vAlign w:val="center"/>
          </w:tcPr>
          <w:p w14:paraId="5A541B02">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p>
        </w:tc>
        <w:tc>
          <w:tcPr>
            <w:tcW w:w="1038" w:type="dxa"/>
            <w:vAlign w:val="center"/>
          </w:tcPr>
          <w:p w14:paraId="68F9F1B1">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419" w:type="dxa"/>
            <w:vAlign w:val="center"/>
          </w:tcPr>
          <w:p w14:paraId="2C507809">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查杀技术</w:t>
            </w:r>
          </w:p>
        </w:tc>
        <w:tc>
          <w:tcPr>
            <w:tcW w:w="1212" w:type="dxa"/>
            <w:vAlign w:val="center"/>
          </w:tcPr>
          <w:p w14:paraId="0FE99CF6">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61" w:type="dxa"/>
            <w:vAlign w:val="center"/>
          </w:tcPr>
          <w:p w14:paraId="353D90F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212" w:type="dxa"/>
            <w:vAlign w:val="center"/>
          </w:tcPr>
          <w:p w14:paraId="085804C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19" w:type="dxa"/>
            <w:gridSpan w:val="2"/>
            <w:vAlign w:val="center"/>
          </w:tcPr>
          <w:p w14:paraId="57B21990">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具备</w:t>
            </w:r>
          </w:p>
        </w:tc>
        <w:tc>
          <w:tcPr>
            <w:tcW w:w="1431" w:type="dxa"/>
            <w:vAlign w:val="center"/>
          </w:tcPr>
          <w:p w14:paraId="45C5FAE3">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A531FF0">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54" w:type="dxa"/>
            <w:vAlign w:val="center"/>
          </w:tcPr>
          <w:p w14:paraId="5FA2382D">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p>
        </w:tc>
        <w:tc>
          <w:tcPr>
            <w:tcW w:w="1038" w:type="dxa"/>
            <w:vAlign w:val="center"/>
          </w:tcPr>
          <w:p w14:paraId="6FB97EEE">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419" w:type="dxa"/>
            <w:vAlign w:val="center"/>
          </w:tcPr>
          <w:p w14:paraId="060DB013">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具备日志报表</w:t>
            </w:r>
          </w:p>
        </w:tc>
        <w:tc>
          <w:tcPr>
            <w:tcW w:w="1212" w:type="dxa"/>
            <w:vAlign w:val="center"/>
          </w:tcPr>
          <w:p w14:paraId="63BE9143">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61" w:type="dxa"/>
            <w:vAlign w:val="center"/>
          </w:tcPr>
          <w:p w14:paraId="69FE32D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212" w:type="dxa"/>
            <w:vAlign w:val="center"/>
          </w:tcPr>
          <w:p w14:paraId="7D5BC51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19" w:type="dxa"/>
            <w:gridSpan w:val="2"/>
            <w:vAlign w:val="center"/>
          </w:tcPr>
          <w:p w14:paraId="01D56A6A">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w:t>
            </w:r>
          </w:p>
        </w:tc>
        <w:tc>
          <w:tcPr>
            <w:tcW w:w="1431" w:type="dxa"/>
            <w:vAlign w:val="center"/>
          </w:tcPr>
          <w:p w14:paraId="00DEC075">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D01F568">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54" w:type="dxa"/>
            <w:vAlign w:val="center"/>
          </w:tcPr>
          <w:p w14:paraId="53213D2E">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w:t>
            </w:r>
          </w:p>
        </w:tc>
        <w:tc>
          <w:tcPr>
            <w:tcW w:w="1038" w:type="dxa"/>
            <w:vAlign w:val="center"/>
          </w:tcPr>
          <w:p w14:paraId="60537ED2">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419" w:type="dxa"/>
            <w:vAlign w:val="center"/>
          </w:tcPr>
          <w:p w14:paraId="3329628A">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具备病毒报警机制</w:t>
            </w:r>
          </w:p>
        </w:tc>
        <w:tc>
          <w:tcPr>
            <w:tcW w:w="1212" w:type="dxa"/>
            <w:vAlign w:val="center"/>
          </w:tcPr>
          <w:p w14:paraId="512D6C57">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61" w:type="dxa"/>
            <w:vAlign w:val="center"/>
          </w:tcPr>
          <w:p w14:paraId="5119705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212" w:type="dxa"/>
            <w:vAlign w:val="center"/>
          </w:tcPr>
          <w:p w14:paraId="150D2D9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19" w:type="dxa"/>
            <w:gridSpan w:val="2"/>
            <w:vAlign w:val="center"/>
          </w:tcPr>
          <w:p w14:paraId="7CE3F692">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w:t>
            </w:r>
          </w:p>
        </w:tc>
        <w:tc>
          <w:tcPr>
            <w:tcW w:w="1431" w:type="dxa"/>
            <w:vAlign w:val="center"/>
          </w:tcPr>
          <w:p w14:paraId="362BCA77">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E591D5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54" w:type="dxa"/>
            <w:vAlign w:val="center"/>
          </w:tcPr>
          <w:p w14:paraId="319FB6DE">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p>
        </w:tc>
        <w:tc>
          <w:tcPr>
            <w:tcW w:w="1038" w:type="dxa"/>
            <w:vAlign w:val="center"/>
          </w:tcPr>
          <w:p w14:paraId="12B4E281">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419" w:type="dxa"/>
            <w:vAlign w:val="center"/>
          </w:tcPr>
          <w:p w14:paraId="6C598DC0">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具备统一策略管理</w:t>
            </w:r>
          </w:p>
        </w:tc>
        <w:tc>
          <w:tcPr>
            <w:tcW w:w="1212" w:type="dxa"/>
            <w:vAlign w:val="center"/>
          </w:tcPr>
          <w:p w14:paraId="3D68357E">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61" w:type="dxa"/>
            <w:vAlign w:val="center"/>
          </w:tcPr>
          <w:p w14:paraId="4EE3839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212" w:type="dxa"/>
            <w:vAlign w:val="center"/>
          </w:tcPr>
          <w:p w14:paraId="2F4AD00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19" w:type="dxa"/>
            <w:gridSpan w:val="2"/>
            <w:vAlign w:val="center"/>
          </w:tcPr>
          <w:p w14:paraId="2418815F">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431" w:type="dxa"/>
            <w:vAlign w:val="center"/>
          </w:tcPr>
          <w:p w14:paraId="08D4D939">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641B4668">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54" w:type="dxa"/>
            <w:vAlign w:val="center"/>
          </w:tcPr>
          <w:p w14:paraId="5B7DBDE3">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w:t>
            </w:r>
          </w:p>
        </w:tc>
        <w:tc>
          <w:tcPr>
            <w:tcW w:w="1038" w:type="dxa"/>
            <w:vAlign w:val="center"/>
          </w:tcPr>
          <w:p w14:paraId="3D18EAA7">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419" w:type="dxa"/>
            <w:vAlign w:val="center"/>
          </w:tcPr>
          <w:p w14:paraId="30918C2A">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支持备份隔离管理</w:t>
            </w:r>
          </w:p>
        </w:tc>
        <w:tc>
          <w:tcPr>
            <w:tcW w:w="1212" w:type="dxa"/>
            <w:vAlign w:val="center"/>
          </w:tcPr>
          <w:p w14:paraId="776E580A">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61" w:type="dxa"/>
            <w:vAlign w:val="center"/>
          </w:tcPr>
          <w:p w14:paraId="29BF56B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212" w:type="dxa"/>
            <w:vAlign w:val="center"/>
          </w:tcPr>
          <w:p w14:paraId="319F929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19" w:type="dxa"/>
            <w:gridSpan w:val="2"/>
            <w:vAlign w:val="center"/>
          </w:tcPr>
          <w:p w14:paraId="22456E1B">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w:t>
            </w:r>
          </w:p>
        </w:tc>
        <w:tc>
          <w:tcPr>
            <w:tcW w:w="1431" w:type="dxa"/>
            <w:vAlign w:val="center"/>
          </w:tcPr>
          <w:p w14:paraId="5E5A1A18">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AA3435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54" w:type="dxa"/>
            <w:vAlign w:val="center"/>
          </w:tcPr>
          <w:p w14:paraId="7AFF7B0E">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w:t>
            </w:r>
          </w:p>
        </w:tc>
        <w:tc>
          <w:tcPr>
            <w:tcW w:w="1038" w:type="dxa"/>
            <w:vAlign w:val="center"/>
          </w:tcPr>
          <w:p w14:paraId="1473EF4D">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419" w:type="dxa"/>
            <w:vAlign w:val="center"/>
          </w:tcPr>
          <w:p w14:paraId="7537376E">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部署方式</w:t>
            </w:r>
          </w:p>
        </w:tc>
        <w:tc>
          <w:tcPr>
            <w:tcW w:w="1212" w:type="dxa"/>
            <w:vAlign w:val="center"/>
          </w:tcPr>
          <w:p w14:paraId="48A8F039">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61" w:type="dxa"/>
            <w:vAlign w:val="center"/>
          </w:tcPr>
          <w:p w14:paraId="30F8936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212" w:type="dxa"/>
            <w:vAlign w:val="center"/>
          </w:tcPr>
          <w:p w14:paraId="219DE01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19" w:type="dxa"/>
            <w:gridSpan w:val="2"/>
            <w:vAlign w:val="center"/>
          </w:tcPr>
          <w:p w14:paraId="1186B5D4">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支持一键安装一键卸载</w:t>
            </w:r>
          </w:p>
        </w:tc>
        <w:tc>
          <w:tcPr>
            <w:tcW w:w="1431" w:type="dxa"/>
            <w:vAlign w:val="center"/>
          </w:tcPr>
          <w:p w14:paraId="2E7835EF">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160AFF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54" w:type="dxa"/>
            <w:vAlign w:val="center"/>
          </w:tcPr>
          <w:p w14:paraId="516BDA63">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w:t>
            </w:r>
          </w:p>
        </w:tc>
        <w:tc>
          <w:tcPr>
            <w:tcW w:w="1038" w:type="dxa"/>
            <w:vAlign w:val="center"/>
          </w:tcPr>
          <w:p w14:paraId="348CC838">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419" w:type="dxa"/>
            <w:vAlign w:val="center"/>
          </w:tcPr>
          <w:p w14:paraId="138E763F">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是否具有安全密码保护功能</w:t>
            </w:r>
          </w:p>
        </w:tc>
        <w:tc>
          <w:tcPr>
            <w:tcW w:w="1212" w:type="dxa"/>
            <w:vAlign w:val="center"/>
          </w:tcPr>
          <w:p w14:paraId="4E0D68E6">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61" w:type="dxa"/>
            <w:vAlign w:val="center"/>
          </w:tcPr>
          <w:p w14:paraId="1D96B2A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212" w:type="dxa"/>
            <w:vAlign w:val="center"/>
          </w:tcPr>
          <w:p w14:paraId="092AFE2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19" w:type="dxa"/>
            <w:gridSpan w:val="2"/>
            <w:vAlign w:val="center"/>
          </w:tcPr>
          <w:p w14:paraId="3F750AFB">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w:t>
            </w:r>
          </w:p>
        </w:tc>
        <w:tc>
          <w:tcPr>
            <w:tcW w:w="1431" w:type="dxa"/>
            <w:vAlign w:val="center"/>
          </w:tcPr>
          <w:p w14:paraId="1DF3C4CA">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6781BDA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54" w:type="dxa"/>
            <w:vAlign w:val="center"/>
          </w:tcPr>
          <w:p w14:paraId="29A3A91E">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w:t>
            </w:r>
          </w:p>
        </w:tc>
        <w:tc>
          <w:tcPr>
            <w:tcW w:w="1038" w:type="dxa"/>
            <w:vAlign w:val="center"/>
          </w:tcPr>
          <w:p w14:paraId="360B7E87">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419" w:type="dxa"/>
            <w:vAlign w:val="center"/>
          </w:tcPr>
          <w:p w14:paraId="73950F66">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移动设备病毒防护</w:t>
            </w:r>
          </w:p>
        </w:tc>
        <w:tc>
          <w:tcPr>
            <w:tcW w:w="1212" w:type="dxa"/>
            <w:vAlign w:val="center"/>
          </w:tcPr>
          <w:p w14:paraId="06A39586">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61" w:type="dxa"/>
            <w:vAlign w:val="center"/>
          </w:tcPr>
          <w:p w14:paraId="0ABF29D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212" w:type="dxa"/>
            <w:vAlign w:val="center"/>
          </w:tcPr>
          <w:p w14:paraId="25F13B6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19" w:type="dxa"/>
            <w:gridSpan w:val="2"/>
            <w:vAlign w:val="center"/>
          </w:tcPr>
          <w:p w14:paraId="4197A375">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支持提供优盘等移动设备接入电脑自动检测功能，全面拦截和清除在移动设备接入系统可能带来的病毒木马，并需提供对于接入移动设备的管理能力，如禁止、只读等。</w:t>
            </w:r>
          </w:p>
        </w:tc>
        <w:tc>
          <w:tcPr>
            <w:tcW w:w="1431" w:type="dxa"/>
            <w:vAlign w:val="center"/>
          </w:tcPr>
          <w:p w14:paraId="0A96EC3D">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5F1BD7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54" w:type="dxa"/>
            <w:vAlign w:val="center"/>
          </w:tcPr>
          <w:p w14:paraId="58B3974D">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w:t>
            </w:r>
          </w:p>
        </w:tc>
        <w:tc>
          <w:tcPr>
            <w:tcW w:w="1038" w:type="dxa"/>
            <w:vAlign w:val="center"/>
          </w:tcPr>
          <w:p w14:paraId="2A6DFC38">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419" w:type="dxa"/>
            <w:vAlign w:val="center"/>
          </w:tcPr>
          <w:p w14:paraId="6F1726A1">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支持在线杀毒、自动升级资源包</w:t>
            </w:r>
          </w:p>
        </w:tc>
        <w:tc>
          <w:tcPr>
            <w:tcW w:w="1212" w:type="dxa"/>
            <w:vAlign w:val="center"/>
          </w:tcPr>
          <w:p w14:paraId="11C4CB7E">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61" w:type="dxa"/>
            <w:vAlign w:val="center"/>
          </w:tcPr>
          <w:p w14:paraId="6DEF63D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212" w:type="dxa"/>
            <w:vAlign w:val="center"/>
          </w:tcPr>
          <w:p w14:paraId="7A3263E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19" w:type="dxa"/>
            <w:gridSpan w:val="2"/>
            <w:vAlign w:val="center"/>
          </w:tcPr>
          <w:p w14:paraId="3149D6DC">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具备</w:t>
            </w:r>
          </w:p>
        </w:tc>
        <w:tc>
          <w:tcPr>
            <w:tcW w:w="1431" w:type="dxa"/>
            <w:vAlign w:val="center"/>
          </w:tcPr>
          <w:p w14:paraId="4FEC6F99">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B3518B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54" w:type="dxa"/>
            <w:vAlign w:val="center"/>
          </w:tcPr>
          <w:p w14:paraId="4816773F">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1038" w:type="dxa"/>
            <w:vAlign w:val="center"/>
          </w:tcPr>
          <w:p w14:paraId="1354028A">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419" w:type="dxa"/>
            <w:vAlign w:val="center"/>
          </w:tcPr>
          <w:p w14:paraId="4A0F37F9">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所投杀毒软件产品须取得相关认证或检测证书或具有《计算机信息系统安全专用产品销售许可证》(提供相关证书扫描件)</w:t>
            </w:r>
          </w:p>
        </w:tc>
        <w:tc>
          <w:tcPr>
            <w:tcW w:w="1212" w:type="dxa"/>
            <w:vAlign w:val="center"/>
          </w:tcPr>
          <w:p w14:paraId="60F71D05">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61" w:type="dxa"/>
            <w:vAlign w:val="center"/>
          </w:tcPr>
          <w:p w14:paraId="3EA025D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212" w:type="dxa"/>
            <w:vAlign w:val="center"/>
          </w:tcPr>
          <w:p w14:paraId="67289E1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19" w:type="dxa"/>
            <w:gridSpan w:val="2"/>
            <w:vAlign w:val="center"/>
          </w:tcPr>
          <w:p w14:paraId="30ED35F7">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具备</w:t>
            </w:r>
          </w:p>
        </w:tc>
        <w:tc>
          <w:tcPr>
            <w:tcW w:w="1431" w:type="dxa"/>
            <w:vAlign w:val="center"/>
          </w:tcPr>
          <w:p w14:paraId="6EE67F4B">
            <w:pPr>
              <w:pStyle w:val="5"/>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bl>
    <w:p w14:paraId="20E1D10A">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交货期限：自合同签订之日起30天，采购人和供应商在第二阶段有特殊约定的除外。</w:t>
      </w:r>
    </w:p>
    <w:p w14:paraId="1533234D">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交货的地域范围： 四川省范围内送货上门</w:t>
      </w:r>
    </w:p>
    <w:p w14:paraId="7577A230">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包装方式及运输：</w:t>
      </w:r>
    </w:p>
    <w:p w14:paraId="302A3D57">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0A01245D">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售后服务：</w:t>
      </w:r>
    </w:p>
    <w:p w14:paraId="15AEC9D6">
      <w:pPr>
        <w:pStyle w:val="5"/>
        <w:keepNext w:val="0"/>
        <w:keepLines w:val="0"/>
        <w:pageBreakBefore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(1)服务标准:服务期3年，在服务期内提供升级包，遇严重安全问题应在官网公开漏洞及修复包，主动联系客户, 承诺所有升级服务。</w:t>
      </w:r>
    </w:p>
    <w:p w14:paraId="34984459">
      <w:pPr>
        <w:pStyle w:val="5"/>
        <w:keepNext w:val="0"/>
        <w:keepLines w:val="0"/>
        <w:pageBreakBefore w:val="0"/>
        <w:kinsoku/>
        <w:wordWrap/>
        <w:overflowPunct/>
        <w:topLinePunct w:val="0"/>
        <w:autoSpaceDE/>
        <w:autoSpaceDN/>
        <w:bidi w:val="0"/>
        <w:adjustRightInd/>
        <w:snapToGrid/>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延期服务收费标准:过服务期后，提供延期服务，其收费标准每年不高于投标报价的20%。其中包含一次的上门服务,所涉及的上门服务费用包含在本次报价中。若第一次上门服务未能有效解决问题，针对同类问题需再次上门服务，则不再支付上门服务费用。</w:t>
      </w:r>
    </w:p>
    <w:p w14:paraId="3AB9B8AA">
      <w:pPr>
        <w:pStyle w:val="5"/>
        <w:keepNext w:val="0"/>
        <w:keepLines w:val="0"/>
        <w:pageBreakBefore w:val="0"/>
        <w:kinsoku/>
        <w:wordWrap/>
        <w:overflowPunct/>
        <w:topLinePunct w:val="0"/>
        <w:autoSpaceDE/>
        <w:autoSpaceDN/>
        <w:bidi w:val="0"/>
        <w:adjustRightInd/>
        <w:snapToGrid/>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（3）技术支持:根据用户需求，提供7*24小时技术专员电话、邮件、上门、远程维保服务。</w:t>
      </w:r>
    </w:p>
    <w:p w14:paraId="5890F291">
      <w:pPr>
        <w:pStyle w:val="5"/>
        <w:keepNext w:val="0"/>
        <w:keepLines w:val="0"/>
        <w:pageBreakBefore w:val="0"/>
        <w:kinsoku/>
        <w:wordWrap/>
        <w:overflowPunct/>
        <w:topLinePunct w:val="0"/>
        <w:autoSpaceDE/>
        <w:autoSpaceDN/>
        <w:bidi w:val="0"/>
        <w:adjustRightInd/>
        <w:snapToGrid/>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（4）服务人员素质:上门服务人员均具有二年以上所投软件同类产品维护经验。</w:t>
      </w:r>
    </w:p>
    <w:p w14:paraId="64145234">
      <w:pPr>
        <w:pStyle w:val="5"/>
        <w:keepNext w:val="0"/>
        <w:keepLines w:val="0"/>
        <w:pageBreakBefore w:val="0"/>
        <w:kinsoku/>
        <w:wordWrap/>
        <w:overflowPunct/>
        <w:topLinePunct w:val="0"/>
        <w:autoSpaceDE/>
        <w:autoSpaceDN/>
        <w:bidi w:val="0"/>
        <w:adjustRightInd/>
        <w:snapToGrid/>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（5）培训:根据用户需要提供所投产品的安装、维护等技术培训。并提供相应培训的电子文档。</w:t>
      </w:r>
    </w:p>
    <w:p w14:paraId="26823727">
      <w:pPr>
        <w:pStyle w:val="5"/>
        <w:keepNext w:val="0"/>
        <w:keepLines w:val="0"/>
        <w:pageBreakBefore w:val="0"/>
        <w:kinsoku/>
        <w:wordWrap/>
        <w:overflowPunct/>
        <w:topLinePunct w:val="0"/>
        <w:autoSpaceDE/>
        <w:autoSpaceDN/>
        <w:bidi w:val="0"/>
        <w:adjustRightInd/>
        <w:snapToGrid/>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4.最高限价（元）： 98.00 ，大写（人民币）： 玖拾捌元整</w:t>
      </w:r>
    </w:p>
    <w:p w14:paraId="6FC08773">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5.配套的必要耗材、配件报价、约定期限：</w:t>
      </w:r>
    </w:p>
    <w:p w14:paraId="508EB8BD">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0E874C0A">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6.量价关系折扣：</w:t>
      </w:r>
    </w:p>
    <w:p w14:paraId="581EC806">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是否含有量价关系折扣：否</w:t>
      </w:r>
    </w:p>
    <w:p w14:paraId="0F3F29CB">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7.产品升级换代规则：</w:t>
      </w:r>
    </w:p>
    <w:p w14:paraId="63A0F80C">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本项目 支持 入围供应商对已入围产品进行升级换代。</w:t>
      </w:r>
    </w:p>
    <w:p w14:paraId="0209C4B2">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在性能不降低、价格不提高的前提下，入围供应商可以用新产品替换原入围产品；在框架协议期限内，每半年进行一次产品升级换代申请审核。注：供应商在提交产品升级换代申请时，须提供产品升级换代承诺函。</w:t>
      </w:r>
    </w:p>
    <w:p w14:paraId="7E3E1889">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8.供应商一般资格要求：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3738"/>
        <w:gridCol w:w="4153"/>
      </w:tblGrid>
      <w:tr w14:paraId="7A747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5C0F9ED">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738" w:type="dxa"/>
          </w:tcPr>
          <w:p w14:paraId="2B88D140">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资格审查要求概况</w:t>
            </w:r>
          </w:p>
        </w:tc>
        <w:tc>
          <w:tcPr>
            <w:tcW w:w="4153" w:type="dxa"/>
          </w:tcPr>
          <w:p w14:paraId="2A77EA90">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05C327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B0E1CD">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738" w:type="dxa"/>
          </w:tcPr>
          <w:p w14:paraId="466A6FE5">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具有独立承担民事责任的能力。</w:t>
            </w:r>
          </w:p>
        </w:tc>
        <w:tc>
          <w:tcPr>
            <w:tcW w:w="4153" w:type="dxa"/>
          </w:tcPr>
          <w:p w14:paraId="485BBDDF">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76B300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9D7217F">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738" w:type="dxa"/>
          </w:tcPr>
          <w:p w14:paraId="65572623">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具有良好的商业信誉。</w:t>
            </w:r>
          </w:p>
        </w:tc>
        <w:tc>
          <w:tcPr>
            <w:tcW w:w="4153" w:type="dxa"/>
          </w:tcPr>
          <w:p w14:paraId="7374ED6A">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578759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37A00D6">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738" w:type="dxa"/>
          </w:tcPr>
          <w:p w14:paraId="2F0C5B78">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具有健全的财务会计制度。</w:t>
            </w:r>
          </w:p>
        </w:tc>
        <w:tc>
          <w:tcPr>
            <w:tcW w:w="4153" w:type="dxa"/>
          </w:tcPr>
          <w:p w14:paraId="4FBE0E0F">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根据自身情况选择提供其中任意一项：（1）可提供近两年（2023年或2024年）任一年度经审计的财务报告（包含审计报告和审计报告中所涉及的财务报表和报表附注）。（2）可提供近两年（2023年或2024年）任一年度供应商财务报表（至少包括资产负债表）。（3）可提供截至响应文件提交截止日一年内银行出具的资信证明。（4）供应商注册时间截至响应文件提交截止日不足一年的，可提供在工商管理部门备案的公司章程。（5）供应商为个体工商户或自然人时，可提供《投标（响应）函》完成承诺并进行电子签章。</w:t>
            </w:r>
          </w:p>
        </w:tc>
      </w:tr>
      <w:tr w14:paraId="0583DC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A463A0F">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738" w:type="dxa"/>
          </w:tcPr>
          <w:p w14:paraId="0234E0A7">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具有履行合同所必需的设备和专业技术能力。</w:t>
            </w:r>
          </w:p>
        </w:tc>
        <w:tc>
          <w:tcPr>
            <w:tcW w:w="4153" w:type="dxa"/>
          </w:tcPr>
          <w:p w14:paraId="6154C49E">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7FCB66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73F20C1">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738" w:type="dxa"/>
          </w:tcPr>
          <w:p w14:paraId="78053A18">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有依法缴纳税收和社会保障资金的良好记录。</w:t>
            </w:r>
          </w:p>
        </w:tc>
        <w:tc>
          <w:tcPr>
            <w:tcW w:w="4153" w:type="dxa"/>
          </w:tcPr>
          <w:p w14:paraId="42E49CB9">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320E1F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4C04FD5">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3738" w:type="dxa"/>
          </w:tcPr>
          <w:p w14:paraId="5888D8F1">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参加政府采购活动前三年内，在经营活动中没有重大违法记录。</w:t>
            </w:r>
          </w:p>
        </w:tc>
        <w:tc>
          <w:tcPr>
            <w:tcW w:w="4153" w:type="dxa"/>
          </w:tcPr>
          <w:p w14:paraId="216C4EF3">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2E4D8D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2A2CE5">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3738" w:type="dxa"/>
          </w:tcPr>
          <w:p w14:paraId="7A9506CB">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法律、行政法规规定的其它条件。</w:t>
            </w:r>
          </w:p>
        </w:tc>
        <w:tc>
          <w:tcPr>
            <w:tcW w:w="4153" w:type="dxa"/>
          </w:tcPr>
          <w:p w14:paraId="2ECFBF64">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5B291C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2EEB08">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3738" w:type="dxa"/>
          </w:tcPr>
          <w:p w14:paraId="1E3F55AA">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不存在与单位负责人为同一人或者存在直接控股、管理关系的其他供应商参与同一合同项下的政府采购活动的行为。</w:t>
            </w:r>
          </w:p>
        </w:tc>
        <w:tc>
          <w:tcPr>
            <w:tcW w:w="4153" w:type="dxa"/>
          </w:tcPr>
          <w:p w14:paraId="61351E1E">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59FA10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67E25F">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3738" w:type="dxa"/>
          </w:tcPr>
          <w:p w14:paraId="0F1D7501">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不属于为本项目提供整体设计、规范编制或者项目管理、监理、检测等服务的供应商。</w:t>
            </w:r>
          </w:p>
        </w:tc>
        <w:tc>
          <w:tcPr>
            <w:tcW w:w="4153" w:type="dxa"/>
          </w:tcPr>
          <w:p w14:paraId="3C19FE16">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10F9C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52" w:hRule="atLeast"/>
        </w:trPr>
        <w:tc>
          <w:tcPr>
            <w:tcW w:w="415" w:type="dxa"/>
          </w:tcPr>
          <w:p w14:paraId="2229E553">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3738" w:type="dxa"/>
          </w:tcPr>
          <w:p w14:paraId="1B588A1F">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生产厂家或者生产厂家唯一授权供应商的证明材料。</w:t>
            </w:r>
          </w:p>
        </w:tc>
        <w:tc>
          <w:tcPr>
            <w:tcW w:w="4153" w:type="dxa"/>
          </w:tcPr>
          <w:p w14:paraId="20BD6E5F">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1)供应商如是生产厂家，应当在响应文件中上传响应产品品牌的《商标注册证》的原件扫描件并进行电子签章。具体要求如下： ①《商标注册证》中的注册人应与生产厂家名称一致或提供注册人授权生产厂家使用商标许可的证明材料，如因注册人工商登记信息发生变更导致名称不一致的，需提供市场监管部门变更登记的证明材料； ②《商标注册证》核定使用商品分类应包括本次响应产品对应分类； ③提交响应文件时，《商标注册证》应在有效期内，入围后生产厂家应确保在框架协议生效期间《商标注册证》有效。 2) 供应商如是生产厂家唯一授权供应商，应当在响应文件中除提供上述要求的证明材料（加盖生产厂家公章）外，还应提供响应产品品牌的生产厂家出具的唯一授权书扫描件（加盖生产厂家公章）。授权书应当明确授权时间（授权时间至少应包含本次框架协议期限）、产品范围、代理区域（四川省），并承诺在本次封闭式框架协议征集及补充征集期间不更换唯一授权供应商。</w:t>
            </w:r>
          </w:p>
        </w:tc>
      </w:tr>
    </w:tbl>
    <w:p w14:paraId="2C2FBF20">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9.供应商特殊资格要求：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3738"/>
        <w:gridCol w:w="4153"/>
      </w:tblGrid>
      <w:tr w14:paraId="1F99CE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0ECF6C">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序号</w:t>
            </w:r>
          </w:p>
        </w:tc>
        <w:tc>
          <w:tcPr>
            <w:tcW w:w="3738" w:type="dxa"/>
          </w:tcPr>
          <w:p w14:paraId="58D394AA">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资格要求名称</w:t>
            </w:r>
          </w:p>
        </w:tc>
        <w:tc>
          <w:tcPr>
            <w:tcW w:w="4153" w:type="dxa"/>
          </w:tcPr>
          <w:p w14:paraId="5D6796C4">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资格要求详细说明</w:t>
            </w:r>
          </w:p>
        </w:tc>
      </w:tr>
      <w:tr w14:paraId="1CFA16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3"/>
          </w:tcPr>
          <w:p w14:paraId="02A2EA82">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bl>
    <w:p w14:paraId="7D85C028">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10.入围供应商评审方法：价格优先法</w:t>
      </w:r>
    </w:p>
    <w:p w14:paraId="282FAE52">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11.入围供应商淘汰率：</w:t>
      </w:r>
    </w:p>
    <w:p w14:paraId="1963A422">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本项目征集入围供应商 ，淘汰比例为 20.00%，淘汰供应商按照向上取整进行取整，且至少淘汰 1家供应商。</w:t>
      </w:r>
    </w:p>
    <w:p w14:paraId="39543BDD">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12.分包的评审条款：</w:t>
      </w:r>
    </w:p>
    <w:p w14:paraId="74D0BAAA">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价格优先法：</w:t>
      </w:r>
    </w:p>
    <w:p w14:paraId="78A9D2F1">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价格优先法是指对满足采购需求且响应报价不超过最高限制单价的货物，按照响应报价从低到高排序。评审委员会根据本项目（采购包）征集文件规定的淘汰率或者入围供应商数量上限，确定入围供应商名单。具体流程如下：</w:t>
      </w:r>
    </w:p>
    <w:p w14:paraId="560847D0">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1）评审委员会按淘汰率计算得出淘汰供应商数量，即淘汰供应商数量=有效报价供应商数量*淘汰率。计算出的淘汰供应商数量存在小数的，按照向上取整的原则，确定需要淘汰供应商的数量；</w:t>
      </w:r>
    </w:p>
    <w:p w14:paraId="702388BE">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2）基于按淘汰率计算得出的淘汰供应商数量，根据入围供应商数量上限，确定还需淘汰供应商的数量，最终确定淘汰供应商的总数；</w:t>
      </w:r>
    </w:p>
    <w:p w14:paraId="0C947485">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3）根据最终确定淘汰供应商总数，按评审排序进行淘汰后，确定入围名单。如在排名并列的供应商中仍需淘汰一定数量供应商的，则在并列供应商中通过随机抽取确定相应数量入围供应商后，剩余供应商淘汰；</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23"/>
        <w:gridCol w:w="2415"/>
        <w:gridCol w:w="936"/>
        <w:gridCol w:w="3448"/>
      </w:tblGrid>
      <w:tr w14:paraId="7C72A8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0" w:type="dxa"/>
          </w:tcPr>
          <w:p w14:paraId="3D0FF6E3">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序号</w:t>
            </w:r>
          </w:p>
        </w:tc>
        <w:tc>
          <w:tcPr>
            <w:tcW w:w="2423" w:type="dxa"/>
          </w:tcPr>
          <w:p w14:paraId="2EDA1D52">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评审因素</w:t>
            </w:r>
          </w:p>
        </w:tc>
        <w:tc>
          <w:tcPr>
            <w:tcW w:w="692" w:type="dxa"/>
          </w:tcPr>
          <w:p w14:paraId="6CC8DB33">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扣除比例%</w:t>
            </w:r>
          </w:p>
        </w:tc>
        <w:tc>
          <w:tcPr>
            <w:tcW w:w="3461" w:type="dxa"/>
          </w:tcPr>
          <w:p w14:paraId="42824327">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评审标准</w:t>
            </w:r>
          </w:p>
        </w:tc>
      </w:tr>
      <w:tr w14:paraId="2CE83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0" w:type="dxa"/>
          </w:tcPr>
          <w:p w14:paraId="7ED48CB1">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423" w:type="dxa"/>
          </w:tcPr>
          <w:p w14:paraId="74A41358">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小型、微型企业，监狱企业，残疾人福利性单位</w:t>
            </w:r>
          </w:p>
        </w:tc>
        <w:tc>
          <w:tcPr>
            <w:tcW w:w="692" w:type="dxa"/>
          </w:tcPr>
          <w:p w14:paraId="59C284C5">
            <w:pPr>
              <w:pStyle w:val="5"/>
              <w:keepNext w:val="0"/>
              <w:keepLines w:val="0"/>
              <w:pageBreakBefore w:val="0"/>
              <w:kinsoku/>
              <w:wordWrap/>
              <w:overflowPunct/>
              <w:topLinePunct w:val="0"/>
              <w:autoSpaceDE/>
              <w:autoSpaceDN/>
              <w:bidi w:val="0"/>
              <w:adjustRightInd/>
              <w:snapToGrid/>
              <w:ind w:firstLine="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10.00%</w:t>
            </w:r>
          </w:p>
        </w:tc>
        <w:tc>
          <w:tcPr>
            <w:tcW w:w="3461" w:type="dxa"/>
          </w:tcPr>
          <w:p w14:paraId="79001033">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对提供的全部货物制造商属于小型和微型企业的投标人的投标报价给予相应百分比的扣除，用扣除后的价格参与评审。残疾人福利性单位视同小型、微型企业，享受同等价格扣除，但同时属于残疾人福利性单位和小微企业的，不重复价格扣除。</w:t>
            </w:r>
          </w:p>
        </w:tc>
      </w:tr>
    </w:tbl>
    <w:p w14:paraId="0644FBE5">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13.价格权重：</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4297A0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3098844">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权重项编号</w:t>
            </w:r>
          </w:p>
        </w:tc>
        <w:tc>
          <w:tcPr>
            <w:tcW w:w="2769" w:type="dxa"/>
          </w:tcPr>
          <w:p w14:paraId="0E500A54">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权重项</w:t>
            </w:r>
          </w:p>
        </w:tc>
        <w:tc>
          <w:tcPr>
            <w:tcW w:w="2769" w:type="dxa"/>
          </w:tcPr>
          <w:p w14:paraId="6A59BA09">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权重值</w:t>
            </w:r>
          </w:p>
        </w:tc>
      </w:tr>
      <w:tr w14:paraId="432F6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0ED230B">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769" w:type="dxa"/>
          </w:tcPr>
          <w:p w14:paraId="409C1AD4">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标的价格</w:t>
            </w:r>
          </w:p>
        </w:tc>
        <w:tc>
          <w:tcPr>
            <w:tcW w:w="2769" w:type="dxa"/>
          </w:tcPr>
          <w:p w14:paraId="167B1B87">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100.00%</w:t>
            </w:r>
          </w:p>
        </w:tc>
      </w:tr>
    </w:tbl>
    <w:p w14:paraId="0AA531F2">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14.第二阶段成交供应商的方式：二次竞价/直接选定</w:t>
      </w:r>
    </w:p>
    <w:p w14:paraId="4B603726">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单次采购20万元以下（不含20万）的采用直接选定或者二次竞价，20万元以上（含20万）的采用二次竞价。</w:t>
      </w:r>
    </w:p>
    <w:p w14:paraId="41D0735A">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15.资金支付方式、时间和条件：</w:t>
      </w:r>
    </w:p>
    <w:p w14:paraId="7A0F553B">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 支付方式：一次性付款或分期付款</w:t>
      </w:r>
    </w:p>
    <w:p w14:paraId="68CE5E7D">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 支付时间和条件：对于满足合同约定支付条件的，采购人应当自收到发票后10个工作日内将资金支付到合同约定的供应商账户。采购人和供应商在第二阶段有特殊约定的除外。</w:t>
      </w:r>
    </w:p>
    <w:p w14:paraId="0B71A9EA">
      <w:pPr>
        <w:pStyle w:val="5"/>
        <w:keepNext w:val="0"/>
        <w:keepLines w:val="0"/>
        <w:pageBreakBefore w:val="0"/>
        <w:kinsoku/>
        <w:wordWrap/>
        <w:overflowPunct/>
        <w:topLinePunct w:val="0"/>
        <w:autoSpaceDE/>
        <w:autoSpaceDN/>
        <w:bidi w:val="0"/>
        <w:adjustRightInd/>
        <w:snapToGrid/>
        <w:ind w:firstLine="0"/>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五、风险控制措施和替代方案</w:t>
      </w:r>
    </w:p>
    <w:p w14:paraId="44B589E0">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该采购项目按照《政府采购需求管理办法》第二十五条规定，本项目是否需要组织风险判断、提出处置措施和替代方案：</w:t>
      </w:r>
      <w:r>
        <w:rPr>
          <w:rFonts w:hint="eastAsia" w:ascii="宋体" w:hAnsi="宋体" w:eastAsia="宋体" w:cs="宋体"/>
          <w:color w:val="auto"/>
          <w:sz w:val="24"/>
          <w:szCs w:val="24"/>
          <w:lang w:val="en-US" w:eastAsia="zh-CN"/>
        </w:rPr>
        <w:t>需要</w:t>
      </w:r>
    </w:p>
    <w:p w14:paraId="00AEB421">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国家政策变化风险的应对措施：（1）根据国家政策变化调整项目采购，若项目已发布征集公告还未开标的，视情况发出更正公告或终止公告，待调整后再开标或重新发布征集公告。（2）若项目还未发布征集公告则根据新政策调整后视情况开展采购活动。</w:t>
      </w:r>
    </w:p>
    <w:p w14:paraId="6DAAF04A">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实施环境变化风险的应对措施：（1）根据实施环境变化调整项目采购，若项目已发布征集公告还未开标的，视情况发出更正公告或终止公告，待调整后再开标或重新发布征集公告。（2）若项目还未发布征集公告则根据新环境调整后视情况开展采购活动。</w:t>
      </w:r>
    </w:p>
    <w:p w14:paraId="2E4DEB51">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重大技术变化风险的应对措施：（1）根据重大技术变化调整项目采购，若项目已发布征集公告还未开标的，视情况发出更正公告或终止公告，待调整后再开标或重新发布征集公告。（2）若项目还未发布征集公告则根据新技术调整后视情况开展采购活动。</w:t>
      </w:r>
    </w:p>
    <w:p w14:paraId="226E89C2">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预算项目调整风险的应对措施：（1）预算项目调整，若项目已发布征集公告还未开标则发出终止公告，待预算调整后再次发布征集公告重新招标。（2）若项目还未发布征集公告则待预算调整后视情况开展采购活动。</w:t>
      </w:r>
    </w:p>
    <w:p w14:paraId="4482C9F9">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因质疑投诉影响采购进度风险的应对措施：根据《政府采购质疑和投诉办法》（财政部令第94号）处理。在前期项目需求论证阶段，严格把握参数需求的设置，避免出现有倾向性参数而导致项目出现质疑投诉；在处理质疑投诉过程中，根据实际情况判定是否需要暂停采购活动或继续开展采购活动。</w:t>
      </w:r>
    </w:p>
    <w:p w14:paraId="7AEA0709">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采购失败风险的应对措施：（1）征集活动出现废标情况，应及时在四川政府采购网上发布废标公告。（2）根据废标情况，分析采购失败原因，梳理项目中存在的风险点及时改进，视情况判断是否需要进行需求调查，并在总结采购失败原因后，重新在四川政府采购网上发布征集公告开展采购活动。</w:t>
      </w:r>
    </w:p>
    <w:p w14:paraId="484F1A90">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不按规定签订或者履行合同风险的应对措施：（1）采购人、采购代理机构中标、成交通知书发出后不与中标、成交供应商签订采购合同的，按照《中华人民共和国政府采购法》第七十一条的规定进行处理。（2）供应商中标或者成交后无正当理由拒不与采购人签订政府采购合同的，按照《中华人民共和国政府采购法》第七十七条、《中华人民共和国政府采购法实施条例》第七十二条的规定进行处理。（3）当事人一方不履行合同义务或者履行合同义务不符合约定的，应当承担继续履行、采取补救措施或者赔偿损失等违约责任；当事人一方明确表示或者以自己的行为表明不履行合同义务的，对方可以在履行期限届满前请求其承担违约责任。（4）对于代理商拒不履行合同义务的，征集人应当依法追究入围供应商责任，并按协议约定解除代理商在该框架协议中接受合同授予的资格。征集人不得未经入围供应商同意，擅自增减变动代理商。</w:t>
      </w:r>
    </w:p>
    <w:p w14:paraId="67EEB7C8">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8）出现损害国家利益和社会公共利益情形风险的应对措施：按照《中华人民共和国政府采购法》第五十条的规定处理。</w:t>
      </w:r>
    </w:p>
    <w:p w14:paraId="0D12EDF3">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9）其他采购和合同履行过程的风险及应对措施：如出现不可抗力情况，根据具体情况按照以下方式处理：暂停采购活动待影响过去继续采购活动；影响很大已不在适合继续项目采购活动了，发出终止公告。</w:t>
      </w:r>
    </w:p>
    <w:p w14:paraId="37620DE4">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val="en-US" w:eastAsia="zh-CN"/>
        </w:rPr>
      </w:pPr>
    </w:p>
    <w:p w14:paraId="2F2CCF07">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p w14:paraId="7CB11B9B">
      <w:pPr>
        <w:pStyle w:val="5"/>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zY2U3ZGYzMWNhMjRhYTQzNmYwM2QxNzA5MWQxNGIifQ=="/>
  </w:docVars>
  <w:rsids>
    <w:rsidRoot w:val="53B52B8D"/>
    <w:rsid w:val="06B56C35"/>
    <w:rsid w:val="177F50ED"/>
    <w:rsid w:val="240B551D"/>
    <w:rsid w:val="350C66B1"/>
    <w:rsid w:val="35794EE5"/>
    <w:rsid w:val="432D144C"/>
    <w:rsid w:val="4EE46358"/>
    <w:rsid w:val="53B52B8D"/>
    <w:rsid w:val="62A55DCD"/>
    <w:rsid w:val="6A3D585F"/>
    <w:rsid w:val="721A2206"/>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5743</Words>
  <Characters>5963</Characters>
  <Lines>0</Lines>
  <Paragraphs>0</Paragraphs>
  <TotalTime>0</TotalTime>
  <ScaleCrop>false</ScaleCrop>
  <LinksUpToDate>false</LinksUpToDate>
  <CharactersWithSpaces>6031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弓三</cp:lastModifiedBy>
  <dcterms:modified xsi:type="dcterms:W3CDTF">2025-09-05T06:45:41Z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DFFE8DF421B5495999D978877018E4F8_13</vt:lpwstr>
  </property>
  <property fmtid="{D5CDD505-2E9C-101B-9397-08002B2CF9AE}" pid="4" name="KSOTemplateDocerSaveRecord">
    <vt:lpwstr>eyJoZGlkIjoiMzkwZWU2NjY2YTAxNDk1NGUwN2YxZjA2ZTQ1ZWMwMjQiLCJ1c2VySWQiOiIxNTE3NDQ3Mzk0In0=</vt:lpwstr>
  </property>
</Properties>
</file>