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0DAA4">
      <w:pPr>
        <w:pStyle w:val="4"/>
        <w:keepNext w:val="0"/>
        <w:keepLines w:val="0"/>
        <w:pageBreakBefore w:val="0"/>
        <w:kinsoku/>
        <w:wordWrap/>
        <w:overflowPunct/>
        <w:topLinePunct w:val="0"/>
        <w:autoSpaceDE/>
        <w:autoSpaceDN/>
        <w:bidi w:val="0"/>
        <w:adjustRightInd/>
        <w:snapToGrid/>
        <w:ind w:firstLine="0"/>
        <w:textAlignment w:val="auto"/>
        <w:outlineLvl w:val="2"/>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附件2</w:t>
      </w:r>
      <w:bookmarkStart w:id="0" w:name="_GoBack"/>
      <w:bookmarkEnd w:id="0"/>
    </w:p>
    <w:p w14:paraId="2EC3BBBE">
      <w:pPr>
        <w:jc w:val="center"/>
        <w:rPr>
          <w:rFonts w:hint="eastAsia" w:ascii="宋体" w:hAnsi="宋体" w:eastAsia="宋体" w:cs="宋体"/>
          <w:color w:val="auto"/>
          <w:sz w:val="24"/>
          <w:szCs w:val="24"/>
          <w:lang w:val="en-US" w:eastAsia="zh-Hans"/>
        </w:rPr>
      </w:pPr>
    </w:p>
    <w:p w14:paraId="25954A95">
      <w:pPr>
        <w:pStyle w:val="4"/>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p>
    <w:p w14:paraId="0F21C101">
      <w:pPr>
        <w:pStyle w:val="4"/>
        <w:rPr>
          <w:rFonts w:hint="eastAsia" w:ascii="宋体" w:hAnsi="宋体" w:eastAsia="宋体" w:cs="宋体"/>
          <w:color w:val="auto"/>
          <w:sz w:val="24"/>
          <w:szCs w:val="24"/>
        </w:rPr>
      </w:pPr>
    </w:p>
    <w:p w14:paraId="77ACC710">
      <w:pPr>
        <w:pStyle w:val="4"/>
        <w:rPr>
          <w:rFonts w:hint="eastAsia" w:ascii="宋体" w:hAnsi="宋体" w:eastAsia="宋体" w:cs="宋体"/>
          <w:color w:val="auto"/>
          <w:sz w:val="24"/>
          <w:szCs w:val="24"/>
        </w:rPr>
      </w:pPr>
    </w:p>
    <w:p w14:paraId="65645047">
      <w:pPr>
        <w:pStyle w:val="4"/>
        <w:rPr>
          <w:rFonts w:hint="eastAsia" w:ascii="宋体" w:hAnsi="宋体" w:eastAsia="宋体" w:cs="宋体"/>
          <w:color w:val="auto"/>
          <w:sz w:val="24"/>
          <w:szCs w:val="24"/>
        </w:rPr>
      </w:pPr>
    </w:p>
    <w:p w14:paraId="0C2B4302">
      <w:pPr>
        <w:pStyle w:val="4"/>
        <w:jc w:val="center"/>
        <w:outlineLvl w:val="0"/>
        <w:rPr>
          <w:rFonts w:hint="eastAsia" w:ascii="Times New Roman" w:hAnsi="Times New Roman" w:eastAsia="方正小标宋简体" w:cs="Times New Roman"/>
          <w:b w:val="0"/>
          <w:bCs w:val="0"/>
          <w:color w:val="auto"/>
          <w:kern w:val="2"/>
          <w:sz w:val="44"/>
          <w:szCs w:val="44"/>
          <w:highlight w:val="none"/>
          <w:lang w:val="en-US" w:eastAsia="zh-CN" w:bidi="ar-SA"/>
        </w:rPr>
      </w:pPr>
      <w:r>
        <w:rPr>
          <w:rFonts w:hint="eastAsia" w:ascii="Times New Roman" w:hAnsi="Times New Roman" w:eastAsia="方正小标宋简体" w:cs="Times New Roman"/>
          <w:b w:val="0"/>
          <w:bCs w:val="0"/>
          <w:color w:val="auto"/>
          <w:kern w:val="2"/>
          <w:sz w:val="44"/>
          <w:szCs w:val="44"/>
          <w:highlight w:val="none"/>
          <w:lang w:val="en-US" w:eastAsia="zh-CN" w:bidi="ar-SA"/>
        </w:rPr>
        <w:t>四川省2025年基础软件（数据库管理系统、中间件、操作系统、办公软件）封闭式</w:t>
      </w:r>
    </w:p>
    <w:p w14:paraId="47CE56AF">
      <w:pPr>
        <w:pStyle w:val="4"/>
        <w:jc w:val="center"/>
        <w:outlineLvl w:val="0"/>
        <w:rPr>
          <w:rFonts w:hint="default" w:ascii="宋体" w:hAnsi="宋体" w:eastAsia="宋体" w:cs="宋体"/>
          <w:color w:val="auto"/>
          <w:sz w:val="52"/>
          <w:szCs w:val="52"/>
          <w:lang w:val="en-US"/>
        </w:rPr>
      </w:pPr>
      <w:r>
        <w:rPr>
          <w:rFonts w:hint="eastAsia" w:ascii="Times New Roman" w:hAnsi="Times New Roman" w:eastAsia="方正小标宋简体" w:cs="Times New Roman"/>
          <w:b w:val="0"/>
          <w:bCs w:val="0"/>
          <w:color w:val="auto"/>
          <w:kern w:val="2"/>
          <w:sz w:val="44"/>
          <w:szCs w:val="44"/>
          <w:highlight w:val="none"/>
          <w:lang w:val="en-US" w:eastAsia="zh-CN" w:bidi="ar-SA"/>
        </w:rPr>
        <w:t>框架协议采购需求</w:t>
      </w:r>
    </w:p>
    <w:p w14:paraId="24FFECAF">
      <w:pPr>
        <w:pStyle w:val="4"/>
        <w:spacing w:before="3000"/>
        <w:jc w:val="center"/>
        <w:outlineLvl w:val="2"/>
        <w:rPr>
          <w:rFonts w:hint="eastAsia" w:ascii="宋体" w:hAnsi="宋体" w:eastAsia="宋体" w:cs="宋体"/>
          <w:b/>
          <w:color w:val="auto"/>
          <w:sz w:val="24"/>
          <w:szCs w:val="24"/>
        </w:rPr>
      </w:pPr>
    </w:p>
    <w:p w14:paraId="276A48BE">
      <w:pPr>
        <w:pStyle w:val="4"/>
        <w:spacing w:before="3000"/>
        <w:jc w:val="center"/>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征集人：四川省政府采购中心</w:t>
      </w:r>
    </w:p>
    <w:p w14:paraId="6714BA40">
      <w:pPr>
        <w:pStyle w:val="4"/>
        <w:jc w:val="center"/>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编制时间：202</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年09月</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日</w:t>
      </w:r>
    </w:p>
    <w:p w14:paraId="5077F076">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3A37D93">
      <w:pPr>
        <w:pStyle w:val="4"/>
        <w:jc w:val="center"/>
        <w:outlineLvl w:val="2"/>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p>
    <w:p w14:paraId="5084A7F6">
      <w:pPr>
        <w:pStyle w:val="4"/>
        <w:keepNext w:val="0"/>
        <w:keepLines w:val="0"/>
        <w:pageBreakBefore w:val="0"/>
        <w:kinsoku/>
        <w:wordWrap/>
        <w:overflowPunct/>
        <w:topLinePunct w:val="0"/>
        <w:autoSpaceDE/>
        <w:autoSpaceDN/>
        <w:bidi w:val="0"/>
        <w:adjustRightInd/>
        <w:snapToGrid/>
        <w:ind w:firstLine="0"/>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一、总体情况</w:t>
      </w:r>
    </w:p>
    <w:p w14:paraId="2F5B739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 （一）项目编号： </w:t>
      </w:r>
      <w:r>
        <w:rPr>
          <w:rFonts w:hint="eastAsia" w:ascii="宋体" w:hAnsi="宋体" w:eastAsia="宋体" w:cs="宋体"/>
          <w:color w:val="auto"/>
          <w:sz w:val="24"/>
          <w:szCs w:val="24"/>
          <w:lang w:val="en-US" w:eastAsia="zh-CN"/>
        </w:rPr>
        <w:t>/</w:t>
      </w:r>
    </w:p>
    <w:p w14:paraId="27869F5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（二）项目名称： 四川省202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年基础软件（数据库管理系统、中间件、操作系统、办公软件）框架协议采购</w:t>
      </w:r>
    </w:p>
    <w:p w14:paraId="1D33AEB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（三）项目所属分类： 货物类</w:t>
      </w:r>
    </w:p>
    <w:p w14:paraId="771C601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（四）项目概况：为满足各单位数据库、中间件、操作系统、办公软件的需要</w:t>
      </w:r>
    </w:p>
    <w:p w14:paraId="7F8E76B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（五）本项目符合《政府采购框架协议采购方式管理暂行办法》中“集中采购目录以内品目，以及与之配套的必要耗材、配件等，属于小额零星采购的”适用情形。</w:t>
      </w:r>
    </w:p>
    <w:p w14:paraId="06C0835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理由描述：集中采购目录以内品目，以及与之配套的必要耗材、配件等，属于小额零星采购的</w:t>
      </w:r>
    </w:p>
    <w:p w14:paraId="4A03D43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（六）框架协议采购分类： 封闭式框架协议采购</w:t>
      </w:r>
    </w:p>
    <w:p w14:paraId="01EFA4B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（七）框架协议期限：</w:t>
      </w:r>
    </w:p>
    <w:p w14:paraId="272F854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自框架协议签订之日起 1年 ，如框架协议期满，因新一期框架协议征集出现废标、质疑投诉等特殊情形，导致新一期框架协议不能按时签订的，本框架协议继续履行，直至新一期框架协议签订为止。</w:t>
      </w:r>
    </w:p>
    <w:p w14:paraId="347A3E4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（八）采购人或服务对象范围：</w:t>
      </w:r>
    </w:p>
    <w:p w14:paraId="6E6E65E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1、征集人范围：</w:t>
      </w:r>
    </w:p>
    <w:tbl>
      <w:tblPr>
        <w:tblStyle w:val="2"/>
        <w:tblW w:w="9016" w:type="dxa"/>
        <w:tblInd w:w="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2492"/>
        <w:gridCol w:w="3051"/>
        <w:gridCol w:w="3473"/>
      </w:tblGrid>
      <w:tr w14:paraId="413403F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13195AD">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E8C19E3">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B4194DF">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r>
      <w:tr w14:paraId="6AB733C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274FFE69">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509399C">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四川省四川省本级所属采购单位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EEA4584">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6343C9D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6F60269A">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4F1F71C">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四川省成都市所属采购单位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826F920">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0A1C929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10E68089">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79E8D30">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四川省自贡市所属采购单位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8B6BD94">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552F4AA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0DDC6ADA">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4C78C5E">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四川省攀枝花市所属采购单位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22351DA">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76C3281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0BF5D57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FA7F61E">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四川省泸州市所属采购单位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01B54EF">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7CBA5A0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66A1CE8F">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A5F7640">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四川省德阳市所属采购单位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B737B51">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0D71829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709D3189">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9E46B33">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四川省绵阳市所属采购单位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B3F9EF4">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022FD5D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633A8785">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0C71BDD">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四川省广元市所属采购单位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EA2CEFA">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747FA08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3B66FD4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E3EEB04">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四川省遂宁市所属采购单位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1452CE0">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71270E1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23BABA82">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8D1CF38">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四川省内江市所属采购单位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DBFAB7A">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33705F0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016C1B84">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4675851">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四川省乐山市所属采购单位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10711EF">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4088F8C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3127750C">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6D90AF7">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四川省南充市所属采购单位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2886EB3">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50AB127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5C740116">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26218EA">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四川省眉山市所属采购单位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01CB05E">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3202455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563262A1">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B580F02">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四川省宜宾市所属采购单位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1EA6754">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2168D16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01044E9D">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2076940">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四川省广安市所属采购单位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D9A6FA4">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6A04DEF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243F39C5">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3537302">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四川省达州市所属采购单位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4F0DF527">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4CF0968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704DC4F2">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7B0750C">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四川省雅安市所属采购单位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072012FD">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5FB4218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7A3C009E">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2C9EDF1">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四川省巴中市所属采购单位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23DC0373">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175B911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16C2AE2F">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D49826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四川省资阳市所属采购单位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E43C931">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1368F1B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54FC9BA1">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6301F3E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四川省阿坝藏族羌族自治州所属采购单位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14840B65">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0EC3B2E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0BBB5BAC">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23AE73F">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四川省甘孜藏族自治州所属采购单位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51BB4D6">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r w14:paraId="06C8F12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2492" w:type="dxa"/>
            <w:tcBorders>
              <w:top w:val="single" w:color="666666" w:sz="4" w:space="0"/>
              <w:left w:val="single" w:color="666666" w:sz="4" w:space="0"/>
              <w:bottom w:val="single" w:color="666666" w:sz="4" w:space="0"/>
              <w:right w:val="single" w:color="666666" w:sz="4" w:space="0"/>
            </w:tcBorders>
            <w:tcMar>
              <w:top w:w="240" w:type="dxa"/>
              <w:left w:w="300" w:type="dxa"/>
              <w:bottom w:w="240" w:type="dxa"/>
              <w:right w:w="300" w:type="dxa"/>
            </w:tcMar>
          </w:tcPr>
          <w:p w14:paraId="6FC7C74D">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3051"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57011357">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四川省凉山彝族自治州所属采购单位</w:t>
            </w:r>
          </w:p>
        </w:tc>
        <w:tc>
          <w:tcPr>
            <w:tcW w:w="3473" w:type="dxa"/>
            <w:tcBorders>
              <w:top w:val="single" w:color="666666" w:sz="4" w:space="0"/>
              <w:left w:val="single" w:color="666666" w:sz="4" w:space="0"/>
              <w:bottom w:val="single" w:color="666666" w:sz="4" w:space="0"/>
              <w:right w:val="single" w:color="666666" w:sz="4" w:space="0"/>
            </w:tcBorders>
            <w:tcMar>
              <w:top w:w="150" w:type="dxa"/>
              <w:left w:w="300" w:type="dxa"/>
              <w:bottom w:w="150" w:type="dxa"/>
              <w:right w:w="300" w:type="dxa"/>
            </w:tcMar>
          </w:tcPr>
          <w:p w14:paraId="7D903006">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行政区划</w:t>
            </w:r>
          </w:p>
        </w:tc>
      </w:tr>
    </w:tbl>
    <w:p w14:paraId="5C3F019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包括但不限于配送至全省镇一级行政区划。</w:t>
      </w:r>
    </w:p>
    <w:p w14:paraId="2D11043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（九）确定第二阶段成交供应商方式的限额：</w:t>
      </w:r>
    </w:p>
    <w:p w14:paraId="2225C22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单次采购20万元以下（不含20万）的采用直接选定或者二次竞价，20万元以上（含20万）的采用二次竞价。</w:t>
      </w:r>
    </w:p>
    <w:p w14:paraId="530B3447">
      <w:pPr>
        <w:pStyle w:val="4"/>
        <w:keepNext w:val="0"/>
        <w:keepLines w:val="0"/>
        <w:pageBreakBefore w:val="0"/>
        <w:kinsoku/>
        <w:wordWrap/>
        <w:overflowPunct/>
        <w:topLinePunct w:val="0"/>
        <w:autoSpaceDE/>
        <w:autoSpaceDN/>
        <w:bidi w:val="0"/>
        <w:adjustRightInd/>
        <w:snapToGrid/>
        <w:ind w:firstLine="0"/>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、采购实施计划</w:t>
      </w:r>
    </w:p>
    <w:p w14:paraId="3B22FA2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（一）采购组织形式：集中采购</w:t>
      </w:r>
    </w:p>
    <w:p w14:paraId="3AF4E2B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（二）采购方式：框架协议</w:t>
      </w:r>
    </w:p>
    <w:p w14:paraId="66C1E4D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（三）入围供应商清退和补充规则：</w:t>
      </w:r>
    </w:p>
    <w:p w14:paraId="65C3DFE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入围供应商清退规则：</w:t>
      </w:r>
    </w:p>
    <w:p w14:paraId="7739FE3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入围供应商有下列情形之一，尚未签订框架协议的，取消其入围资格；已经签订框架协议的，解除与其签订的框架协议：</w:t>
      </w:r>
    </w:p>
    <w:p w14:paraId="29DF8FF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恶意串通谋取入围或者合同成交的；</w:t>
      </w:r>
    </w:p>
    <w:p w14:paraId="71FCC7A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提供虚假材料谋取入围或者合同成交的；</w:t>
      </w:r>
    </w:p>
    <w:p w14:paraId="4A8F24B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无正当理由拒不接受合同授予的；</w:t>
      </w:r>
    </w:p>
    <w:p w14:paraId="335B1EC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不履行合同义务或者履行合同义务不符合约定，经采购人请求履行后仍不履行或者仍未按约定履行的；</w:t>
      </w:r>
    </w:p>
    <w:p w14:paraId="13A42F0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框架协议有效期内，因违法行为被禁止或限制参加政府采购活动的；</w:t>
      </w:r>
    </w:p>
    <w:p w14:paraId="775AED3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出现供应商信用管理规定的应当清退的情形。</w:t>
      </w:r>
    </w:p>
    <w:p w14:paraId="0F627B2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将政府采购合同转包；</w:t>
      </w:r>
    </w:p>
    <w:p w14:paraId="198437A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 提供假冒伪劣产品；</w:t>
      </w:r>
    </w:p>
    <w:p w14:paraId="5C3BA3D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 向采购人行贿或者提供其他不正当利益；</w:t>
      </w:r>
    </w:p>
    <w:p w14:paraId="27FCE3B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 拒绝财政部门监督检查或者提供虚假情况；</w:t>
      </w:r>
    </w:p>
    <w:p w14:paraId="208D364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 干扰、扰乱系统正常使用，包括但不限于爬取、篡改、利用漏洞的行为；</w:t>
      </w:r>
    </w:p>
    <w:p w14:paraId="23A8E69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 出现供应商信用管理规定的应当清退出库的其他情形；</w:t>
      </w:r>
    </w:p>
    <w:p w14:paraId="0FBCC2F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被取消入围资格或者被解除框架协议的供应商不得参加同一封闭式框架协议补充征集。</w:t>
      </w:r>
    </w:p>
    <w:p w14:paraId="4C64033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2．入围供应商补充规则：</w:t>
      </w:r>
    </w:p>
    <w:p w14:paraId="6595B61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是否允许补充征集供应商： 是</w:t>
      </w:r>
    </w:p>
    <w:p w14:paraId="77DA9A5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框架协议有效期内，当剩余入围供应商不足入围供应商总数70%且影响框架协议执行时，征集人将启动补充征集供应商，补充征集的条件、程序、评审方法和淘汰比例与初次征集相同。有效期遵守原框架协议的有效期。</w:t>
      </w:r>
    </w:p>
    <w:p w14:paraId="7ACF40C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（四）执行政府采购促进中小企业发展的相关政策：</w:t>
      </w:r>
    </w:p>
    <w:p w14:paraId="2F87332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1.不专门面向中小企业采购</w:t>
      </w:r>
    </w:p>
    <w:p w14:paraId="75CAC35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不专门面向的原因：框架协议采购项目</w:t>
      </w:r>
    </w:p>
    <w:p w14:paraId="1DEBB27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i/>
          <w:color w:val="auto"/>
          <w:sz w:val="24"/>
          <w:szCs w:val="24"/>
        </w:rPr>
        <w:t>注：监狱企业和残疾人福利单位视同小微企业。</w:t>
      </w:r>
    </w:p>
    <w:p w14:paraId="1DF3797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（五）采购人可以将合同授予非入围供应商</w:t>
      </w:r>
    </w:p>
    <w:p w14:paraId="7CD2479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采购人证明能够以更低价格向非入围供应商采购相同货物，且入围供应商不同意将价格降至非入围供应商以下的，可以将合同授予非入围供应商。 采购人将合同授予非入围供应商的，应当在确定成交供应商后1个工作日内，将成交结果抄送征集人，由征集人按照单笔公告要求发布成交结果公告。</w:t>
      </w:r>
    </w:p>
    <w:p w14:paraId="6ABEBC8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（六）联合征集二阶段成交结果公告发布：</w:t>
      </w:r>
    </w:p>
    <w:p w14:paraId="4B2B17E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第二阶段单个成交结果由各属地采购中心发布，汇总成交结果由征集人发布，均由系统自动生成、汇总。</w:t>
      </w:r>
    </w:p>
    <w:p w14:paraId="345FD05D">
      <w:pPr>
        <w:pStyle w:val="4"/>
        <w:keepNext w:val="0"/>
        <w:keepLines w:val="0"/>
        <w:pageBreakBefore w:val="0"/>
        <w:kinsoku/>
        <w:wordWrap/>
        <w:overflowPunct/>
        <w:topLinePunct w:val="0"/>
        <w:autoSpaceDE/>
        <w:autoSpaceDN/>
        <w:bidi w:val="0"/>
        <w:adjustRightInd/>
        <w:snapToGrid/>
        <w:ind w:firstLine="0"/>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、采购需求及分包情况、采购标的</w:t>
      </w:r>
    </w:p>
    <w:p w14:paraId="5AC47850">
      <w:pPr>
        <w:pStyle w:val="4"/>
        <w:keepNext w:val="0"/>
        <w:keepLines w:val="0"/>
        <w:pageBreakBefore w:val="0"/>
        <w:kinsoku/>
        <w:wordWrap/>
        <w:overflowPunct/>
        <w:topLinePunct w:val="0"/>
        <w:autoSpaceDE/>
        <w:autoSpaceDN/>
        <w:bidi w:val="0"/>
        <w:adjustRightInd/>
        <w:snapToGrid/>
        <w:ind w:firstLine="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（一）分包名称：包1</w:t>
      </w:r>
    </w:p>
    <w:p w14:paraId="2AD49AD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1.采购标的：数据库管理系统</w:t>
      </w:r>
    </w:p>
    <w:p w14:paraId="3A32080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2.需求明细：</w:t>
      </w:r>
    </w:p>
    <w:p w14:paraId="30446AA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1）标的名称：分布式数据库</w:t>
      </w:r>
    </w:p>
    <w:p w14:paraId="0AD5A5F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2）计量单位：套</w:t>
      </w:r>
    </w:p>
    <w:p w14:paraId="688B035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3）是否强制采购节能产品： 否</w:t>
      </w:r>
    </w:p>
    <w:p w14:paraId="7E2F1A3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4）是否优先采购节能环保产品： 否</w:t>
      </w:r>
    </w:p>
    <w:p w14:paraId="233EA5A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5）是否采购进口产品： 否</w:t>
      </w:r>
    </w:p>
    <w:p w14:paraId="0D93125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6）标的物所属行业：软件和信息技术服务业</w:t>
      </w:r>
    </w:p>
    <w:p w14:paraId="57B56A0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3.拟采购标的的技术要求：</w:t>
      </w:r>
    </w:p>
    <w:tbl>
      <w:tblPr>
        <w:tblStyle w:val="2"/>
        <w:tblW w:w="9796" w:type="dxa"/>
        <w:tblInd w:w="-476"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531"/>
        <w:gridCol w:w="773"/>
        <w:gridCol w:w="1096"/>
        <w:gridCol w:w="831"/>
        <w:gridCol w:w="842"/>
        <w:gridCol w:w="854"/>
        <w:gridCol w:w="4004"/>
        <w:gridCol w:w="865"/>
      </w:tblGrid>
      <w:tr w14:paraId="01D6A74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456052F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73" w:type="dxa"/>
            <w:vAlign w:val="center"/>
          </w:tcPr>
          <w:p w14:paraId="7E396D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c>
          <w:tcPr>
            <w:tcW w:w="1096" w:type="dxa"/>
            <w:vAlign w:val="center"/>
          </w:tcPr>
          <w:p w14:paraId="0561AA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tc>
        <w:tc>
          <w:tcPr>
            <w:tcW w:w="831" w:type="dxa"/>
            <w:vAlign w:val="center"/>
          </w:tcPr>
          <w:p w14:paraId="66BF02C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842" w:type="dxa"/>
            <w:vAlign w:val="center"/>
          </w:tcPr>
          <w:p w14:paraId="639BC3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参数符号</w:t>
            </w:r>
          </w:p>
        </w:tc>
        <w:tc>
          <w:tcPr>
            <w:tcW w:w="854" w:type="dxa"/>
            <w:vAlign w:val="center"/>
          </w:tcPr>
          <w:p w14:paraId="26357EB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参数值规则</w:t>
            </w:r>
          </w:p>
        </w:tc>
        <w:tc>
          <w:tcPr>
            <w:tcW w:w="4004" w:type="dxa"/>
            <w:vAlign w:val="center"/>
          </w:tcPr>
          <w:p w14:paraId="31493A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w:t>
            </w:r>
          </w:p>
        </w:tc>
        <w:tc>
          <w:tcPr>
            <w:tcW w:w="865" w:type="dxa"/>
            <w:vAlign w:val="center"/>
          </w:tcPr>
          <w:p w14:paraId="4246ACF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参数值偏离规则</w:t>
            </w:r>
          </w:p>
        </w:tc>
      </w:tr>
      <w:tr w14:paraId="6645719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7A5E8E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73" w:type="dxa"/>
            <w:vAlign w:val="center"/>
          </w:tcPr>
          <w:p w14:paraId="23DB68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2365E07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日志</w:t>
            </w:r>
          </w:p>
        </w:tc>
        <w:tc>
          <w:tcPr>
            <w:tcW w:w="831" w:type="dxa"/>
            <w:vAlign w:val="center"/>
          </w:tcPr>
          <w:p w14:paraId="664624F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3A36F0D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6898374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554385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a)具备对各类事件进行日志记录的功能，可通过日志查看操作内容、执行过程和结果； b)具备提示和警告功能，提示或警告数据库结构修改、数据库运行配置修改等重要操作； c)日志完整正确，并且提供可读文本的形式； d)支持中文日志</w:t>
            </w:r>
          </w:p>
        </w:tc>
        <w:tc>
          <w:tcPr>
            <w:tcW w:w="865" w:type="dxa"/>
            <w:vAlign w:val="center"/>
          </w:tcPr>
          <w:p w14:paraId="492F666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4EEE6A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168DA1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73" w:type="dxa"/>
            <w:vAlign w:val="center"/>
          </w:tcPr>
          <w:p w14:paraId="49641F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4CEA9C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数据库安装</w:t>
            </w:r>
          </w:p>
        </w:tc>
        <w:tc>
          <w:tcPr>
            <w:tcW w:w="831" w:type="dxa"/>
            <w:vAlign w:val="center"/>
          </w:tcPr>
          <w:p w14:paraId="0FFC1F0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6332103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07D58A6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48BE88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a)支持命令行或图形化的安装； b)支持命令行或图形化的可配置安装能力； c)依据安装环境提供相应的初始化参数配置值； d)提供图形化软件组件管理向导工具</w:t>
            </w:r>
          </w:p>
        </w:tc>
        <w:tc>
          <w:tcPr>
            <w:tcW w:w="865" w:type="dxa"/>
            <w:vAlign w:val="center"/>
          </w:tcPr>
          <w:p w14:paraId="5C9DB26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EA8ABD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5F623A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73" w:type="dxa"/>
            <w:vAlign w:val="center"/>
          </w:tcPr>
          <w:p w14:paraId="4D9089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314869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数据库重启</w:t>
            </w:r>
          </w:p>
        </w:tc>
        <w:tc>
          <w:tcPr>
            <w:tcW w:w="831" w:type="dxa"/>
            <w:vAlign w:val="center"/>
          </w:tcPr>
          <w:p w14:paraId="1D87E69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5B1BF4A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725780B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F7CBA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a)支持命令行或图形化的方式关闭和启动服务； b)关闭服务后，再启动服务，服务正常</w:t>
            </w:r>
          </w:p>
        </w:tc>
        <w:tc>
          <w:tcPr>
            <w:tcW w:w="865" w:type="dxa"/>
            <w:vAlign w:val="center"/>
          </w:tcPr>
          <w:p w14:paraId="658B31A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5F3512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049EA79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73" w:type="dxa"/>
            <w:vAlign w:val="center"/>
          </w:tcPr>
          <w:p w14:paraId="2B93A56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593096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安装配置日志</w:t>
            </w:r>
          </w:p>
        </w:tc>
        <w:tc>
          <w:tcPr>
            <w:tcW w:w="831" w:type="dxa"/>
            <w:vAlign w:val="center"/>
          </w:tcPr>
          <w:p w14:paraId="0311FD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3CF2481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1B8F255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A63125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a)提供软件安装的日志记录功能； b)记录的软件安装信息完整正确； c)提供安装配置操作的日志记录功能； d)记录的配置操作信息完整正确</w:t>
            </w:r>
          </w:p>
        </w:tc>
        <w:tc>
          <w:tcPr>
            <w:tcW w:w="865" w:type="dxa"/>
            <w:vAlign w:val="center"/>
          </w:tcPr>
          <w:p w14:paraId="605AE0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8EB132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57D432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73" w:type="dxa"/>
            <w:vAlign w:val="center"/>
          </w:tcPr>
          <w:p w14:paraId="13ECF41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36FC74A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升级维护</w:t>
            </w:r>
          </w:p>
        </w:tc>
        <w:tc>
          <w:tcPr>
            <w:tcW w:w="831" w:type="dxa"/>
            <w:vAlign w:val="center"/>
          </w:tcPr>
          <w:p w14:paraId="53F9E6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0CE3992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6639112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68DF91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a)支持版本升级，保证版本间功能和数据的兼容性； b)厂商提供当前版本与历史版本的差异说明文档，包含新版本对软件和硬件的支持情况。</w:t>
            </w:r>
          </w:p>
        </w:tc>
        <w:tc>
          <w:tcPr>
            <w:tcW w:w="865" w:type="dxa"/>
            <w:vAlign w:val="center"/>
          </w:tcPr>
          <w:p w14:paraId="6BEBC34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CDEB77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414E42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73" w:type="dxa"/>
            <w:vAlign w:val="center"/>
          </w:tcPr>
          <w:p w14:paraId="2829EE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3E6E95B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参数配置</w:t>
            </w:r>
          </w:p>
        </w:tc>
        <w:tc>
          <w:tcPr>
            <w:tcW w:w="831" w:type="dxa"/>
            <w:vAlign w:val="center"/>
          </w:tcPr>
          <w:p w14:paraId="065B855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34557A6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7EBE1EA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96CCB7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a)依据工作负载和运行环境，提供配置参数修改的能力； b)修改数据库配置参数后，配置参数立即生效或数据库重新启动生效，立即生效的配置参数和需要数据库重新启动方可生效的配置参数应在相关文档中明确</w:t>
            </w:r>
          </w:p>
        </w:tc>
        <w:tc>
          <w:tcPr>
            <w:tcW w:w="865" w:type="dxa"/>
            <w:vAlign w:val="center"/>
          </w:tcPr>
          <w:p w14:paraId="2EC4B69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4AC86B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2EF63C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73" w:type="dxa"/>
            <w:vAlign w:val="center"/>
          </w:tcPr>
          <w:p w14:paraId="16464B3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56DB5B9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基础数据类型</w:t>
            </w:r>
          </w:p>
        </w:tc>
        <w:tc>
          <w:tcPr>
            <w:tcW w:w="831" w:type="dxa"/>
            <w:vAlign w:val="center"/>
          </w:tcPr>
          <w:p w14:paraId="7A94743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3104167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6558FBC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A0D617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a)支持数值类型； b)支持字符类型； c)支持二进制类型； d)支持日期和时间类型； e)支持布尔类型； f)支持（大）文本类型； g)支持大对象类型</w:t>
            </w:r>
          </w:p>
        </w:tc>
        <w:tc>
          <w:tcPr>
            <w:tcW w:w="865" w:type="dxa"/>
            <w:vAlign w:val="center"/>
          </w:tcPr>
          <w:p w14:paraId="645528A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E4C8C6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10D4121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73" w:type="dxa"/>
            <w:vAlign w:val="center"/>
          </w:tcPr>
          <w:p w14:paraId="2DA47F8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183093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SQL功能-数据存储基础功能</w:t>
            </w:r>
          </w:p>
        </w:tc>
        <w:tc>
          <w:tcPr>
            <w:tcW w:w="831" w:type="dxa"/>
            <w:vAlign w:val="center"/>
          </w:tcPr>
          <w:p w14:paraId="7FF9A88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4996727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28FA4AD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771FE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支持基础数据类型</w:t>
            </w:r>
          </w:p>
        </w:tc>
        <w:tc>
          <w:tcPr>
            <w:tcW w:w="865" w:type="dxa"/>
            <w:vAlign w:val="center"/>
          </w:tcPr>
          <w:p w14:paraId="347154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61E324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527D08E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73" w:type="dxa"/>
            <w:vAlign w:val="center"/>
          </w:tcPr>
          <w:p w14:paraId="6D0C03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7532862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SQL功能-数据检索基础功 能</w:t>
            </w:r>
          </w:p>
        </w:tc>
        <w:tc>
          <w:tcPr>
            <w:tcW w:w="831" w:type="dxa"/>
            <w:vAlign w:val="center"/>
          </w:tcPr>
          <w:p w14:paraId="19FDC1D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34A730D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49432BE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F7C2F1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支持基础数据类型</w:t>
            </w:r>
          </w:p>
        </w:tc>
        <w:tc>
          <w:tcPr>
            <w:tcW w:w="865" w:type="dxa"/>
            <w:vAlign w:val="center"/>
          </w:tcPr>
          <w:p w14:paraId="100F24D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7AD058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75D4F2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773" w:type="dxa"/>
            <w:vAlign w:val="center"/>
          </w:tcPr>
          <w:p w14:paraId="2EAD340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1DB80B4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核心SQL能力</w:t>
            </w:r>
          </w:p>
        </w:tc>
        <w:tc>
          <w:tcPr>
            <w:tcW w:w="831" w:type="dxa"/>
            <w:vAlign w:val="center"/>
          </w:tcPr>
          <w:p w14:paraId="49C553A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5395508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16517AF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F04533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a)支持左外连接； b)支持右外连接； c)支持内连接； d)支持全连接</w:t>
            </w:r>
          </w:p>
        </w:tc>
        <w:tc>
          <w:tcPr>
            <w:tcW w:w="865" w:type="dxa"/>
            <w:vAlign w:val="center"/>
          </w:tcPr>
          <w:p w14:paraId="580978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2597E1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577085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773" w:type="dxa"/>
            <w:vAlign w:val="center"/>
          </w:tcPr>
          <w:p w14:paraId="496834B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149CC8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字符集</w:t>
            </w:r>
          </w:p>
        </w:tc>
        <w:tc>
          <w:tcPr>
            <w:tcW w:w="831" w:type="dxa"/>
            <w:vAlign w:val="center"/>
          </w:tcPr>
          <w:p w14:paraId="0DF256E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165083E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499C5C8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1714A8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中文字符集符合GB18030的要求</w:t>
            </w:r>
          </w:p>
        </w:tc>
        <w:tc>
          <w:tcPr>
            <w:tcW w:w="865" w:type="dxa"/>
            <w:vAlign w:val="center"/>
          </w:tcPr>
          <w:p w14:paraId="111162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6C8D19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7D08A09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773" w:type="dxa"/>
            <w:vAlign w:val="center"/>
          </w:tcPr>
          <w:p w14:paraId="0C809D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386CF5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常用操作符</w:t>
            </w:r>
          </w:p>
        </w:tc>
        <w:tc>
          <w:tcPr>
            <w:tcW w:w="831" w:type="dxa"/>
            <w:vAlign w:val="center"/>
          </w:tcPr>
          <w:p w14:paraId="439BCD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3BF71FD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2FECE94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5E07DA8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a)支持逻辑操作符及相关运算； b)支持比较操作符及相关运算； c)支持算术运算符及相关运算</w:t>
            </w:r>
          </w:p>
        </w:tc>
        <w:tc>
          <w:tcPr>
            <w:tcW w:w="865" w:type="dxa"/>
            <w:vAlign w:val="center"/>
          </w:tcPr>
          <w:p w14:paraId="6E893E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8B4465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3AA956C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773" w:type="dxa"/>
            <w:vAlign w:val="center"/>
          </w:tcPr>
          <w:p w14:paraId="59F7D1B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74D28C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条件表达式</w:t>
            </w:r>
          </w:p>
        </w:tc>
        <w:tc>
          <w:tcPr>
            <w:tcW w:w="831" w:type="dxa"/>
            <w:vAlign w:val="center"/>
          </w:tcPr>
          <w:p w14:paraId="103E6B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4EF8AEC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3D7A785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188C36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a)支持对比条件表达式； b)支持逻辑条件表达式； c)支持空值条件表达式； d)支持等于条件表达式； e)支持模式匹配条件表达式； f)支持区间条件表达式； g)支持IN条件表达式； h)支持存在条件表达式； i)支持以上条件表达式的复合表达式</w:t>
            </w:r>
          </w:p>
        </w:tc>
        <w:tc>
          <w:tcPr>
            <w:tcW w:w="865" w:type="dxa"/>
            <w:vAlign w:val="center"/>
          </w:tcPr>
          <w:p w14:paraId="76F3B79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95053C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2FE3F2D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773" w:type="dxa"/>
            <w:vAlign w:val="center"/>
          </w:tcPr>
          <w:p w14:paraId="7755435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24D8BA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SQL 执行计划</w:t>
            </w:r>
          </w:p>
        </w:tc>
        <w:tc>
          <w:tcPr>
            <w:tcW w:w="831" w:type="dxa"/>
            <w:vAlign w:val="center"/>
          </w:tcPr>
          <w:p w14:paraId="65BAAB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5B49A8B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19A1265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19FFEB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支持SQL计划，使SQL按照指定的语句执行，并实现预期结果</w:t>
            </w:r>
          </w:p>
        </w:tc>
        <w:tc>
          <w:tcPr>
            <w:tcW w:w="865" w:type="dxa"/>
            <w:vAlign w:val="center"/>
          </w:tcPr>
          <w:p w14:paraId="65CADA4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4D7DC9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391CA7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773" w:type="dxa"/>
            <w:vAlign w:val="center"/>
          </w:tcPr>
          <w:p w14:paraId="18F3186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4411C6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基础对象类型</w:t>
            </w:r>
          </w:p>
        </w:tc>
        <w:tc>
          <w:tcPr>
            <w:tcW w:w="831" w:type="dxa"/>
            <w:vAlign w:val="center"/>
          </w:tcPr>
          <w:p w14:paraId="2BD1CC4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4F72E6C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207CE67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A18521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a)支持用户的创建、删除、修改； b)支持角色的创建、删除、修改； c)支持存储过程的创建、删除、修改； d)支持表操作功能； e)支持自增序列； f)支持主键约束、唯一性约束、检查约束和联合主键约束； g)支持游标功能； h)支持视图的创建、删除、修改； i)支持数值计算函数、字符处理函数、日期时间值函数、间隔函数、类型转换函数、位运算函数、聚合函数、格式化、系统信息等常用函数</w:t>
            </w:r>
          </w:p>
        </w:tc>
        <w:tc>
          <w:tcPr>
            <w:tcW w:w="865" w:type="dxa"/>
            <w:vAlign w:val="center"/>
          </w:tcPr>
          <w:p w14:paraId="2CEE29D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C16B7A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66A47B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773" w:type="dxa"/>
            <w:vAlign w:val="center"/>
          </w:tcPr>
          <w:p w14:paraId="0A32D43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6EF169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基础表分区管理</w:t>
            </w:r>
          </w:p>
        </w:tc>
        <w:tc>
          <w:tcPr>
            <w:tcW w:w="831" w:type="dxa"/>
            <w:vAlign w:val="center"/>
          </w:tcPr>
          <w:p w14:paraId="6A43905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5289B1D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1D16C2E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18302F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a)哈希分区方式； b)范围分区方式； c)列表分区方式</w:t>
            </w:r>
          </w:p>
        </w:tc>
        <w:tc>
          <w:tcPr>
            <w:tcW w:w="865" w:type="dxa"/>
            <w:vAlign w:val="center"/>
          </w:tcPr>
          <w:p w14:paraId="0B14EC0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5AE68B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65FBA0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773" w:type="dxa"/>
            <w:vAlign w:val="center"/>
          </w:tcPr>
          <w:p w14:paraId="7159FC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25AC07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对象变更</w:t>
            </w:r>
          </w:p>
        </w:tc>
        <w:tc>
          <w:tcPr>
            <w:tcW w:w="831" w:type="dxa"/>
            <w:vAlign w:val="center"/>
          </w:tcPr>
          <w:p w14:paraId="326D39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61BE58C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6EAFA9A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DF82F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a)支持数据库的创建、删除、更新以及数据库属性的查询； b)支持在线变更表结构、索引； c)支持数据的增加、删除、修改和查询</w:t>
            </w:r>
          </w:p>
        </w:tc>
        <w:tc>
          <w:tcPr>
            <w:tcW w:w="865" w:type="dxa"/>
            <w:vAlign w:val="center"/>
          </w:tcPr>
          <w:p w14:paraId="08A86C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9656B7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5485773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773" w:type="dxa"/>
            <w:vAlign w:val="center"/>
          </w:tcPr>
          <w:p w14:paraId="2E5EACE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3BC632D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事务基础特性</w:t>
            </w:r>
          </w:p>
        </w:tc>
        <w:tc>
          <w:tcPr>
            <w:tcW w:w="831" w:type="dxa"/>
            <w:vAlign w:val="center"/>
          </w:tcPr>
          <w:p w14:paraId="7B59C4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56E6FCD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592BC2E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B71A43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支持事务的ACID</w:t>
            </w:r>
          </w:p>
        </w:tc>
        <w:tc>
          <w:tcPr>
            <w:tcW w:w="865" w:type="dxa"/>
            <w:vAlign w:val="center"/>
          </w:tcPr>
          <w:p w14:paraId="490F95C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B8BECC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45D7774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773" w:type="dxa"/>
            <w:vAlign w:val="center"/>
          </w:tcPr>
          <w:p w14:paraId="235BBB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21D71E6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运行时统计信息基础功能</w:t>
            </w:r>
          </w:p>
        </w:tc>
        <w:tc>
          <w:tcPr>
            <w:tcW w:w="831" w:type="dxa"/>
            <w:vAlign w:val="center"/>
          </w:tcPr>
          <w:p w14:paraId="71234C2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6A52219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350B389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5D8C3F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a）数据库慢SQL统计： 1）支持统计SQL语句； 2）支持统计用户名； 3）支持统计数据库名； 4）支持统计执行时长； b）数据库性能状态统计： 1）支持统计每秒事务数和查询数； 2）支持统计SQL平均响应时间； 3）支持统计高频SQL。</w:t>
            </w:r>
          </w:p>
        </w:tc>
        <w:tc>
          <w:tcPr>
            <w:tcW w:w="865" w:type="dxa"/>
            <w:vAlign w:val="center"/>
          </w:tcPr>
          <w:p w14:paraId="73CE536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AEE4E7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265301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773" w:type="dxa"/>
            <w:vAlign w:val="center"/>
          </w:tcPr>
          <w:p w14:paraId="2EFBC21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4873C2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运行时统计信息增强功能</w:t>
            </w:r>
          </w:p>
        </w:tc>
        <w:tc>
          <w:tcPr>
            <w:tcW w:w="831" w:type="dxa"/>
            <w:vAlign w:val="center"/>
          </w:tcPr>
          <w:p w14:paraId="300106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136870C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7A1A405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FE9CF2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a)支持统计集群节点CPU使用情况； b)支持统计集群节点内存使用情况； c)支持统计集群节点磁盘使用情况； d)支持统计集群节点网络使用情况</w:t>
            </w:r>
          </w:p>
        </w:tc>
        <w:tc>
          <w:tcPr>
            <w:tcW w:w="865" w:type="dxa"/>
            <w:vAlign w:val="center"/>
          </w:tcPr>
          <w:p w14:paraId="0E002B6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23324B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2DEDD9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773" w:type="dxa"/>
            <w:vAlign w:val="center"/>
          </w:tcPr>
          <w:p w14:paraId="0FEB29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507D72E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报警</w:t>
            </w:r>
          </w:p>
        </w:tc>
        <w:tc>
          <w:tcPr>
            <w:tcW w:w="831" w:type="dxa"/>
            <w:vAlign w:val="center"/>
          </w:tcPr>
          <w:p w14:paraId="2E8D03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31099EB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4C25F9A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25DF29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a)厂商提供通知管理员的方法或工具； b)支持设置报警基线，数据库运行中遇到重要事件、异常事件和状态、超过报警阈值等情况时，通知管理员； c)提供报警API； d)报警发生时，支持报警信息的实时展示</w:t>
            </w:r>
          </w:p>
        </w:tc>
        <w:tc>
          <w:tcPr>
            <w:tcW w:w="865" w:type="dxa"/>
            <w:vAlign w:val="center"/>
          </w:tcPr>
          <w:p w14:paraId="79067A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A2B3AE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0F8217E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773" w:type="dxa"/>
            <w:vAlign w:val="center"/>
          </w:tcPr>
          <w:p w14:paraId="68E1DB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2B99E3B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数据迁移</w:t>
            </w:r>
          </w:p>
        </w:tc>
        <w:tc>
          <w:tcPr>
            <w:tcW w:w="831" w:type="dxa"/>
            <w:vAlign w:val="center"/>
          </w:tcPr>
          <w:p w14:paraId="346902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2899C56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1413839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BBED1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a)提供元数据、数据库、数据库对象、表数据快速迁移的功能； b)支持数据迁移工具实现同构或异构数据库之间的数据迁移； c)支持全量数据迁移、增量数据持续同步等迁移模式； d)在数据迁移过程中具备应对传输异常的能力，保障数据迁移的稳定性、连续性和一致性； e)支持存量数据的一次性迁移和增量数据库的持续同步； f)支持多种不同类型的源数据库和目标数据库之间的数据迁移</w:t>
            </w:r>
          </w:p>
        </w:tc>
        <w:tc>
          <w:tcPr>
            <w:tcW w:w="865" w:type="dxa"/>
            <w:vAlign w:val="center"/>
          </w:tcPr>
          <w:p w14:paraId="486B72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DD0F66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67ECCC1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773" w:type="dxa"/>
            <w:vAlign w:val="center"/>
          </w:tcPr>
          <w:p w14:paraId="5F1FD6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7DDDD2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数据比对基础功能</w:t>
            </w:r>
          </w:p>
        </w:tc>
        <w:tc>
          <w:tcPr>
            <w:tcW w:w="831" w:type="dxa"/>
            <w:vAlign w:val="center"/>
          </w:tcPr>
          <w:p w14:paraId="5FB964C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6F51A2A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6B7063F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E1C64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对源数据库和目标数据库之间的数据进行比对，支持数据一致性，并提供一致性比对报告</w:t>
            </w:r>
          </w:p>
        </w:tc>
        <w:tc>
          <w:tcPr>
            <w:tcW w:w="865" w:type="dxa"/>
            <w:vAlign w:val="center"/>
          </w:tcPr>
          <w:p w14:paraId="42E5214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8B046B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02C6CAE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773" w:type="dxa"/>
            <w:vAlign w:val="center"/>
          </w:tcPr>
          <w:p w14:paraId="656E682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19C984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数据备份</w:t>
            </w:r>
          </w:p>
        </w:tc>
        <w:tc>
          <w:tcPr>
            <w:tcW w:w="831" w:type="dxa"/>
            <w:vAlign w:val="center"/>
          </w:tcPr>
          <w:p w14:paraId="5312C6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42ADA52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2888D21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137AE9C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a)运行状态下支持对数据库进行全库备份； b)运行状态下支持对数据库进行部分备份； c)运行状态下支持对数据库进行增量备份</w:t>
            </w:r>
          </w:p>
        </w:tc>
        <w:tc>
          <w:tcPr>
            <w:tcW w:w="865" w:type="dxa"/>
            <w:vAlign w:val="center"/>
          </w:tcPr>
          <w:p w14:paraId="18B0C76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8D161B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443472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773" w:type="dxa"/>
            <w:vAlign w:val="center"/>
          </w:tcPr>
          <w:p w14:paraId="3BD92A3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30CD22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多种存储媒体备份、还原</w:t>
            </w:r>
          </w:p>
        </w:tc>
        <w:tc>
          <w:tcPr>
            <w:tcW w:w="831" w:type="dxa"/>
            <w:vAlign w:val="center"/>
          </w:tcPr>
          <w:p w14:paraId="3647B9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231B7D5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237F9A7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5CA26AC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支持多种备份存储媒体，支持多种存储媒体的部分、完整数据库数据还原处理能力</w:t>
            </w:r>
          </w:p>
        </w:tc>
        <w:tc>
          <w:tcPr>
            <w:tcW w:w="865" w:type="dxa"/>
            <w:vAlign w:val="center"/>
          </w:tcPr>
          <w:p w14:paraId="0873261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019FBC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64459D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773" w:type="dxa"/>
            <w:vAlign w:val="center"/>
          </w:tcPr>
          <w:p w14:paraId="21F33AA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3FFD16B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备份还原的一致性校验</w:t>
            </w:r>
          </w:p>
        </w:tc>
        <w:tc>
          <w:tcPr>
            <w:tcW w:w="831" w:type="dxa"/>
            <w:vAlign w:val="center"/>
          </w:tcPr>
          <w:p w14:paraId="604CEC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317ACEF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5447ACB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F5499D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提供数据库备份数据一致性校验的命令或工具</w:t>
            </w:r>
          </w:p>
        </w:tc>
        <w:tc>
          <w:tcPr>
            <w:tcW w:w="865" w:type="dxa"/>
            <w:vAlign w:val="center"/>
          </w:tcPr>
          <w:p w14:paraId="5008A2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852036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4F678F1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773" w:type="dxa"/>
            <w:vAlign w:val="center"/>
          </w:tcPr>
          <w:p w14:paraId="01BCBA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4C4DEF6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数据库开发调试工具</w:t>
            </w:r>
          </w:p>
        </w:tc>
        <w:tc>
          <w:tcPr>
            <w:tcW w:w="831" w:type="dxa"/>
            <w:vAlign w:val="center"/>
          </w:tcPr>
          <w:p w14:paraId="49A0AF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7E13FCC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2499BD2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09F116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a)具备图形化功能，提高易用性； b)具备导入、编辑、保存、执行SQL语句和SQL脚本功能； c)具备复制、编辑现有数据库对象功能； d)具备关键词显示标记、动态语法提示的SQL编辑器功能</w:t>
            </w:r>
          </w:p>
        </w:tc>
        <w:tc>
          <w:tcPr>
            <w:tcW w:w="865" w:type="dxa"/>
            <w:vAlign w:val="center"/>
          </w:tcPr>
          <w:p w14:paraId="68A9A5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D4C373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7BD5DD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773" w:type="dxa"/>
            <w:vAlign w:val="center"/>
          </w:tcPr>
          <w:p w14:paraId="1C5947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5EC393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用户、角色管理工具</w:t>
            </w:r>
          </w:p>
        </w:tc>
        <w:tc>
          <w:tcPr>
            <w:tcW w:w="831" w:type="dxa"/>
            <w:vAlign w:val="center"/>
          </w:tcPr>
          <w:p w14:paraId="4573746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39944B5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3D86BED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8E0B0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a)支持创建、修改、删除用户的功能； b)提供定义用户的功能； c)支持创建、修改、删除角色的功能，且提供用户自定义角色的功能</w:t>
            </w:r>
          </w:p>
        </w:tc>
        <w:tc>
          <w:tcPr>
            <w:tcW w:w="865" w:type="dxa"/>
            <w:vAlign w:val="center"/>
          </w:tcPr>
          <w:p w14:paraId="35E5813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A587F1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29AC529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773" w:type="dxa"/>
            <w:vAlign w:val="center"/>
          </w:tcPr>
          <w:p w14:paraId="2F1110F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7DA899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SQL 执行计划查看工具</w:t>
            </w:r>
          </w:p>
        </w:tc>
        <w:tc>
          <w:tcPr>
            <w:tcW w:w="831" w:type="dxa"/>
            <w:vAlign w:val="center"/>
          </w:tcPr>
          <w:p w14:paraId="742C96E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40421ED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7C0065F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6B316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a)提供与数据库管理系统进行SQL交互的工具，方便运维工作； b)支持查看SQL语句查询执行计划与统计信息</w:t>
            </w:r>
          </w:p>
        </w:tc>
        <w:tc>
          <w:tcPr>
            <w:tcW w:w="865" w:type="dxa"/>
            <w:vAlign w:val="center"/>
          </w:tcPr>
          <w:p w14:paraId="4B3773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452AC3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4E3077B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773" w:type="dxa"/>
            <w:vAlign w:val="center"/>
          </w:tcPr>
          <w:p w14:paraId="6F3B4B8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627C6A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数据库对象工具</w:t>
            </w:r>
          </w:p>
        </w:tc>
        <w:tc>
          <w:tcPr>
            <w:tcW w:w="831" w:type="dxa"/>
            <w:vAlign w:val="center"/>
          </w:tcPr>
          <w:p w14:paraId="5C0B921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1C9DC70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4D414AA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2C9C7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a)支持创建、修改、删除表的功能，支持定义表结构、约束、存储配置管理的功能；b)支持创建、修改、删除索引的功能，支持定义索引结构、类型、存储配置管理的功能； c)支持创建、修改、删除视图的功能，支持视图定义的功能； d)支持创建、修改、删除约束的功能，支持约束定义的功能</w:t>
            </w:r>
          </w:p>
        </w:tc>
        <w:tc>
          <w:tcPr>
            <w:tcW w:w="865" w:type="dxa"/>
            <w:vAlign w:val="center"/>
          </w:tcPr>
          <w:p w14:paraId="1CCFCC4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C828F1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3C5B231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773" w:type="dxa"/>
            <w:vAlign w:val="center"/>
          </w:tcPr>
          <w:p w14:paraId="254AD1B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335347B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导入导出工具</w:t>
            </w:r>
          </w:p>
        </w:tc>
        <w:tc>
          <w:tcPr>
            <w:tcW w:w="831" w:type="dxa"/>
            <w:vAlign w:val="center"/>
          </w:tcPr>
          <w:p w14:paraId="1C3E55F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3073E8B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0965AAE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9E2CE7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a)支持导出不同格式，可以将不同格式数据导入到数据库中； b)支持不同级别和不同数据库对象的导入/导出功能； c)支持从文本文件或者其他上游数据源将数据导入； d)支持SQL脚本进行导入导出</w:t>
            </w:r>
          </w:p>
        </w:tc>
        <w:tc>
          <w:tcPr>
            <w:tcW w:w="865" w:type="dxa"/>
            <w:vAlign w:val="center"/>
          </w:tcPr>
          <w:p w14:paraId="57C8AF5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45CC06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4A4FA7D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773" w:type="dxa"/>
            <w:vAlign w:val="center"/>
          </w:tcPr>
          <w:p w14:paraId="7A1DD6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38EA500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数据库运维工具</w:t>
            </w:r>
          </w:p>
        </w:tc>
        <w:tc>
          <w:tcPr>
            <w:tcW w:w="831" w:type="dxa"/>
            <w:vAlign w:val="center"/>
          </w:tcPr>
          <w:p w14:paraId="7F7D66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27A899D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5FA4703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5903EC3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a)支持数据库、数据库存储对象结构、数据、统计信息更新维护； b)支持数据库创建、数据库修改、数据库删除、数据库模板维护； c)支持数据库任务自动化调度作业管理； d)支持图形化展示数据库管理的各种元数据界面，展示的内容具有层次性，包括模式、非模式数据字典信息</w:t>
            </w:r>
          </w:p>
        </w:tc>
        <w:tc>
          <w:tcPr>
            <w:tcW w:w="865" w:type="dxa"/>
            <w:vAlign w:val="center"/>
          </w:tcPr>
          <w:p w14:paraId="6E4504B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8B2084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748684C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773" w:type="dxa"/>
            <w:vAlign w:val="center"/>
          </w:tcPr>
          <w:p w14:paraId="3C68385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2960D5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图形化的开发工具</w:t>
            </w:r>
          </w:p>
        </w:tc>
        <w:tc>
          <w:tcPr>
            <w:tcW w:w="831" w:type="dxa"/>
            <w:vAlign w:val="center"/>
          </w:tcPr>
          <w:p w14:paraId="0FA6DA6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5320A54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2DF9235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127226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厂商提供图形化的开发工具</w:t>
            </w:r>
          </w:p>
        </w:tc>
        <w:tc>
          <w:tcPr>
            <w:tcW w:w="865" w:type="dxa"/>
            <w:vAlign w:val="center"/>
          </w:tcPr>
          <w:p w14:paraId="13300CD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4273F2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034609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773" w:type="dxa"/>
            <w:vAlign w:val="center"/>
          </w:tcPr>
          <w:p w14:paraId="4C1E23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208BE4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图形化运维工具</w:t>
            </w:r>
          </w:p>
        </w:tc>
        <w:tc>
          <w:tcPr>
            <w:tcW w:w="831" w:type="dxa"/>
            <w:vAlign w:val="center"/>
          </w:tcPr>
          <w:p w14:paraId="58A6B87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196257B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53BF641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49F1E3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厂商提供图形化的运维工具</w:t>
            </w:r>
          </w:p>
        </w:tc>
        <w:tc>
          <w:tcPr>
            <w:tcW w:w="865" w:type="dxa"/>
            <w:vAlign w:val="center"/>
          </w:tcPr>
          <w:p w14:paraId="7B86085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42AC17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3C1D0B9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773" w:type="dxa"/>
            <w:vAlign w:val="center"/>
          </w:tcPr>
          <w:p w14:paraId="6D975D4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073C336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稳定运行</w:t>
            </w:r>
          </w:p>
        </w:tc>
        <w:tc>
          <w:tcPr>
            <w:tcW w:w="831" w:type="dxa"/>
            <w:vAlign w:val="center"/>
          </w:tcPr>
          <w:p w14:paraId="72A444E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527D968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363DF7C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535A283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a)支持连续稳定运行； b)支持数据库管理系统运行风险的报警能力</w:t>
            </w:r>
          </w:p>
        </w:tc>
        <w:tc>
          <w:tcPr>
            <w:tcW w:w="865" w:type="dxa"/>
            <w:vAlign w:val="center"/>
          </w:tcPr>
          <w:p w14:paraId="5C45AEA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E958A9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53536A4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773" w:type="dxa"/>
            <w:vAlign w:val="center"/>
          </w:tcPr>
          <w:p w14:paraId="6FE750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66A800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快速切换</w:t>
            </w:r>
          </w:p>
        </w:tc>
        <w:tc>
          <w:tcPr>
            <w:tcW w:w="831" w:type="dxa"/>
            <w:vAlign w:val="center"/>
          </w:tcPr>
          <w:p w14:paraId="191D563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11584E0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7452648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174FC16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支持快速切换，在主数据库出现故障时，能够快速切换到备用数据库，保障业务正常运行</w:t>
            </w:r>
          </w:p>
        </w:tc>
        <w:tc>
          <w:tcPr>
            <w:tcW w:w="865" w:type="dxa"/>
            <w:vAlign w:val="center"/>
          </w:tcPr>
          <w:p w14:paraId="1EE9B6E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484BBA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4AED413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w:t>
            </w:r>
          </w:p>
        </w:tc>
        <w:tc>
          <w:tcPr>
            <w:tcW w:w="773" w:type="dxa"/>
            <w:vAlign w:val="center"/>
          </w:tcPr>
          <w:p w14:paraId="2D6F62D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3CEBA54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恢复无断点</w:t>
            </w:r>
          </w:p>
        </w:tc>
        <w:tc>
          <w:tcPr>
            <w:tcW w:w="831" w:type="dxa"/>
            <w:vAlign w:val="center"/>
          </w:tcPr>
          <w:p w14:paraId="61ED60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587F694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169108C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C1F37F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支持无断点恢复能力</w:t>
            </w:r>
          </w:p>
        </w:tc>
        <w:tc>
          <w:tcPr>
            <w:tcW w:w="865" w:type="dxa"/>
            <w:vAlign w:val="center"/>
          </w:tcPr>
          <w:p w14:paraId="6BE9C95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96F985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674F3C4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w:t>
            </w:r>
          </w:p>
        </w:tc>
        <w:tc>
          <w:tcPr>
            <w:tcW w:w="773" w:type="dxa"/>
            <w:vAlign w:val="center"/>
          </w:tcPr>
          <w:p w14:paraId="2901DAA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1F8D3D8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主备备份</w:t>
            </w:r>
          </w:p>
        </w:tc>
        <w:tc>
          <w:tcPr>
            <w:tcW w:w="831" w:type="dxa"/>
            <w:vAlign w:val="center"/>
          </w:tcPr>
          <w:p w14:paraId="4B2BB3D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044E223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5F27A19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4CCAA74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a)支持多副本，支持主副本与从副本之间的数据同步，最低时延由生产厂商提供； b)提供数据库复制技术，包括基于日志的备用数据库远程数据库备份技术，并具备数据副本间的复制能力</w:t>
            </w:r>
          </w:p>
        </w:tc>
        <w:tc>
          <w:tcPr>
            <w:tcW w:w="865" w:type="dxa"/>
            <w:vAlign w:val="center"/>
          </w:tcPr>
          <w:p w14:paraId="3697751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1B15F8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07694B2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w:t>
            </w:r>
          </w:p>
        </w:tc>
        <w:tc>
          <w:tcPr>
            <w:tcW w:w="773" w:type="dxa"/>
            <w:vAlign w:val="center"/>
          </w:tcPr>
          <w:p w14:paraId="109DB4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24B357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实例容灾</w:t>
            </w:r>
          </w:p>
        </w:tc>
        <w:tc>
          <w:tcPr>
            <w:tcW w:w="831" w:type="dxa"/>
            <w:vAlign w:val="center"/>
          </w:tcPr>
          <w:p w14:paraId="6391E3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07791CF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0DF75DE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1E86D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a)在任意数据库实例出现故障时，集群内服务正常运行，数据不丢失，集群整体业务可用； b)在实例故障、节点故障等单数据库实例故障时，RPO时间等于0，RTO时间小于30s</w:t>
            </w:r>
          </w:p>
        </w:tc>
        <w:tc>
          <w:tcPr>
            <w:tcW w:w="865" w:type="dxa"/>
            <w:vAlign w:val="center"/>
          </w:tcPr>
          <w:p w14:paraId="01CBE3E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710905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3AB67C7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73" w:type="dxa"/>
            <w:vAlign w:val="center"/>
          </w:tcPr>
          <w:p w14:paraId="2ECA9F1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0D9728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容灾部署</w:t>
            </w:r>
          </w:p>
        </w:tc>
        <w:tc>
          <w:tcPr>
            <w:tcW w:w="831" w:type="dxa"/>
            <w:vAlign w:val="center"/>
          </w:tcPr>
          <w:p w14:paraId="65FFC9B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57C0747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1C04F71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9E70F3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a)提供远程容灾部署与管理功能； b)提供生产中心与备份中心之间的容灾部署与管理功能</w:t>
            </w:r>
          </w:p>
        </w:tc>
        <w:tc>
          <w:tcPr>
            <w:tcW w:w="865" w:type="dxa"/>
            <w:vAlign w:val="center"/>
          </w:tcPr>
          <w:p w14:paraId="0A33B46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45F508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3C2ED65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w:t>
            </w:r>
          </w:p>
        </w:tc>
        <w:tc>
          <w:tcPr>
            <w:tcW w:w="773" w:type="dxa"/>
            <w:vAlign w:val="center"/>
          </w:tcPr>
          <w:p w14:paraId="7F918B8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29119ED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同城容灾</w:t>
            </w:r>
          </w:p>
        </w:tc>
        <w:tc>
          <w:tcPr>
            <w:tcW w:w="831" w:type="dxa"/>
            <w:vAlign w:val="center"/>
          </w:tcPr>
          <w:p w14:paraId="5D275CC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1D310C3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39C4DBB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F2DD53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a)支持同城双中心部署，当主中心故障时，业务切换到备中心； b)由于网络、供电等原因造成的可用区级故障，触发集群计划外停机，在同城多可用区场景下，RPO时间等于0，RTO时间小于1分钟</w:t>
            </w:r>
          </w:p>
        </w:tc>
        <w:tc>
          <w:tcPr>
            <w:tcW w:w="865" w:type="dxa"/>
            <w:vAlign w:val="center"/>
          </w:tcPr>
          <w:p w14:paraId="0B5F64B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18D701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7AEC3BE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773" w:type="dxa"/>
            <w:vAlign w:val="center"/>
          </w:tcPr>
          <w:p w14:paraId="2EDC675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28C12E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服务端编程稳定性</w:t>
            </w:r>
          </w:p>
        </w:tc>
        <w:tc>
          <w:tcPr>
            <w:tcW w:w="831" w:type="dxa"/>
            <w:vAlign w:val="center"/>
          </w:tcPr>
          <w:p w14:paraId="39CE6EA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782AE06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2D542F6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A8579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支持当用户自定义的存储过程、函数运行异常时，数据库稳定运行</w:t>
            </w:r>
          </w:p>
        </w:tc>
        <w:tc>
          <w:tcPr>
            <w:tcW w:w="865" w:type="dxa"/>
            <w:vAlign w:val="center"/>
          </w:tcPr>
          <w:p w14:paraId="48906F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41653B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229790F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773" w:type="dxa"/>
            <w:vAlign w:val="center"/>
          </w:tcPr>
          <w:p w14:paraId="080BEAA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0CB790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网络容错</w:t>
            </w:r>
          </w:p>
        </w:tc>
        <w:tc>
          <w:tcPr>
            <w:tcW w:w="831" w:type="dxa"/>
            <w:vAlign w:val="center"/>
          </w:tcPr>
          <w:p w14:paraId="1D0FF49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1F6CA5B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13EA02E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F3151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网络中断时，保障事务一致性</w:t>
            </w:r>
          </w:p>
        </w:tc>
        <w:tc>
          <w:tcPr>
            <w:tcW w:w="865" w:type="dxa"/>
            <w:vAlign w:val="center"/>
          </w:tcPr>
          <w:p w14:paraId="7DEFB1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E4C21A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585A2C2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w:t>
            </w:r>
          </w:p>
        </w:tc>
        <w:tc>
          <w:tcPr>
            <w:tcW w:w="773" w:type="dxa"/>
            <w:vAlign w:val="center"/>
          </w:tcPr>
          <w:p w14:paraId="3A61A8D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161900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检测报警</w:t>
            </w:r>
          </w:p>
        </w:tc>
        <w:tc>
          <w:tcPr>
            <w:tcW w:w="831" w:type="dxa"/>
            <w:vAlign w:val="center"/>
          </w:tcPr>
          <w:p w14:paraId="169955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2CF020D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375F068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AB583B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a)支持数据库实例启动时错误检测能力；b)支持加载不同文件格式、不同大小数据出现错误时的故障检测和处理能力； c)支持数据库备份执行过程中发生故障时报错或者报警能力； d)支持数据库恢复发生故障时报错或者报警能力</w:t>
            </w:r>
          </w:p>
        </w:tc>
        <w:tc>
          <w:tcPr>
            <w:tcW w:w="865" w:type="dxa"/>
            <w:vAlign w:val="center"/>
          </w:tcPr>
          <w:p w14:paraId="1AE6DC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B22407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38C024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773" w:type="dxa"/>
            <w:vAlign w:val="center"/>
          </w:tcPr>
          <w:p w14:paraId="646E84E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3C0EEDC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故障恢复</w:t>
            </w:r>
          </w:p>
        </w:tc>
        <w:tc>
          <w:tcPr>
            <w:tcW w:w="831" w:type="dxa"/>
            <w:vAlign w:val="center"/>
          </w:tcPr>
          <w:p w14:paraId="2E91878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4D70BB4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5435C4B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0D1953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a)系统故障重启后能正常运行且支持数据一致性； b)支持完全媒体故障恢复的能力；c)提供基于时间点故障恢复功能</w:t>
            </w:r>
          </w:p>
        </w:tc>
        <w:tc>
          <w:tcPr>
            <w:tcW w:w="865" w:type="dxa"/>
            <w:vAlign w:val="center"/>
          </w:tcPr>
          <w:p w14:paraId="1EABEB8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A5E8B7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2F8293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w:t>
            </w:r>
          </w:p>
        </w:tc>
        <w:tc>
          <w:tcPr>
            <w:tcW w:w="773" w:type="dxa"/>
            <w:vAlign w:val="center"/>
          </w:tcPr>
          <w:p w14:paraId="7865B5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1AB7F6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不同级别故障可恢复</w:t>
            </w:r>
          </w:p>
        </w:tc>
        <w:tc>
          <w:tcPr>
            <w:tcW w:w="831" w:type="dxa"/>
            <w:vAlign w:val="center"/>
          </w:tcPr>
          <w:p w14:paraId="7E873A5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189EB5C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2223D40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51CDEB4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支持数据库事务故障、系统故障、存储媒体故障不同级别的可恢复能力</w:t>
            </w:r>
          </w:p>
        </w:tc>
        <w:tc>
          <w:tcPr>
            <w:tcW w:w="865" w:type="dxa"/>
            <w:vAlign w:val="center"/>
          </w:tcPr>
          <w:p w14:paraId="1C3F84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907C8E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06AE3A6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w:t>
            </w:r>
          </w:p>
        </w:tc>
        <w:tc>
          <w:tcPr>
            <w:tcW w:w="773" w:type="dxa"/>
            <w:vAlign w:val="center"/>
          </w:tcPr>
          <w:p w14:paraId="74A5AC9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051A20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云化部署</w:t>
            </w:r>
          </w:p>
        </w:tc>
        <w:tc>
          <w:tcPr>
            <w:tcW w:w="831" w:type="dxa"/>
            <w:vAlign w:val="center"/>
          </w:tcPr>
          <w:p w14:paraId="09CE4D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6693E84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7A54E7E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3A9AAF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支持虚拟化部署或容器化部署等云化部署方式</w:t>
            </w:r>
          </w:p>
        </w:tc>
        <w:tc>
          <w:tcPr>
            <w:tcW w:w="865" w:type="dxa"/>
            <w:vAlign w:val="center"/>
          </w:tcPr>
          <w:p w14:paraId="16007D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3EA3E8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71C7EB2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w:t>
            </w:r>
          </w:p>
        </w:tc>
        <w:tc>
          <w:tcPr>
            <w:tcW w:w="773" w:type="dxa"/>
            <w:vAlign w:val="center"/>
          </w:tcPr>
          <w:p w14:paraId="198A8F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6DB52D9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硬件平台兼容</w:t>
            </w:r>
          </w:p>
        </w:tc>
        <w:tc>
          <w:tcPr>
            <w:tcW w:w="831" w:type="dxa"/>
            <w:vAlign w:val="center"/>
          </w:tcPr>
          <w:p w14:paraId="78CC460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7D3F7C9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3E55652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86FF6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a)同源支持以下至少三种CPU平台架构： 1)ARM； 2)LoongArch； 3)MIPS； 4)SW64； 5)x86； b)支持SMP和NUMA的运行环境</w:t>
            </w:r>
          </w:p>
        </w:tc>
        <w:tc>
          <w:tcPr>
            <w:tcW w:w="865" w:type="dxa"/>
            <w:vAlign w:val="center"/>
          </w:tcPr>
          <w:p w14:paraId="799916B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C63F81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5C935E0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w:t>
            </w:r>
          </w:p>
        </w:tc>
        <w:tc>
          <w:tcPr>
            <w:tcW w:w="773" w:type="dxa"/>
            <w:vAlign w:val="center"/>
          </w:tcPr>
          <w:p w14:paraId="321B48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6F73ABB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基本要求</w:t>
            </w:r>
          </w:p>
        </w:tc>
        <w:tc>
          <w:tcPr>
            <w:tcW w:w="831" w:type="dxa"/>
            <w:vAlign w:val="center"/>
          </w:tcPr>
          <w:p w14:paraId="087B81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187C689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2E4AE0C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13F51E3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符合财政部、工业和信息化部关于印发《数据库政府采购需求标准(2023年版)》的通知中《分布式数据库政府采购需求标准》规定的其他*内容（第105条*基本要求-“数据库应当符合安全可靠测评要求”除外）</w:t>
            </w:r>
          </w:p>
        </w:tc>
        <w:tc>
          <w:tcPr>
            <w:tcW w:w="865" w:type="dxa"/>
            <w:vAlign w:val="center"/>
          </w:tcPr>
          <w:p w14:paraId="6B9C7F6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59CEBF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295B606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773" w:type="dxa"/>
            <w:vAlign w:val="center"/>
          </w:tcPr>
          <w:p w14:paraId="218B6E3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0809DE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ODBC</w:t>
            </w:r>
          </w:p>
        </w:tc>
        <w:tc>
          <w:tcPr>
            <w:tcW w:w="831" w:type="dxa"/>
            <w:vAlign w:val="center"/>
          </w:tcPr>
          <w:p w14:paraId="6B0A6F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32E9D26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00F989A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14E6FD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支持ODBC</w:t>
            </w:r>
          </w:p>
        </w:tc>
        <w:tc>
          <w:tcPr>
            <w:tcW w:w="865" w:type="dxa"/>
            <w:vAlign w:val="center"/>
          </w:tcPr>
          <w:p w14:paraId="5FCC4A0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7FF5A5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00F5AA2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w:t>
            </w:r>
          </w:p>
        </w:tc>
        <w:tc>
          <w:tcPr>
            <w:tcW w:w="773" w:type="dxa"/>
            <w:vAlign w:val="center"/>
          </w:tcPr>
          <w:p w14:paraId="66674D7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27B6C14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JDBC</w:t>
            </w:r>
          </w:p>
        </w:tc>
        <w:tc>
          <w:tcPr>
            <w:tcW w:w="831" w:type="dxa"/>
            <w:vAlign w:val="center"/>
          </w:tcPr>
          <w:p w14:paraId="2EC1ECB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7839FD0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129DC34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410F24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支持JDBC</w:t>
            </w:r>
          </w:p>
        </w:tc>
        <w:tc>
          <w:tcPr>
            <w:tcW w:w="865" w:type="dxa"/>
            <w:vAlign w:val="center"/>
          </w:tcPr>
          <w:p w14:paraId="34EFCF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A7DBEB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1122D3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p>
        </w:tc>
        <w:tc>
          <w:tcPr>
            <w:tcW w:w="773" w:type="dxa"/>
            <w:vAlign w:val="center"/>
          </w:tcPr>
          <w:p w14:paraId="7BBCA6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6C1BD46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交付方式</w:t>
            </w:r>
          </w:p>
        </w:tc>
        <w:tc>
          <w:tcPr>
            <w:tcW w:w="831" w:type="dxa"/>
            <w:vAlign w:val="center"/>
          </w:tcPr>
          <w:p w14:paraId="6F5DA20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36D047B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349C809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CD6D6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以光盘、便携式移动设备、镜像文件、在线下载等交付方式提供产品交付物</w:t>
            </w:r>
          </w:p>
        </w:tc>
        <w:tc>
          <w:tcPr>
            <w:tcW w:w="865" w:type="dxa"/>
            <w:vAlign w:val="center"/>
          </w:tcPr>
          <w:p w14:paraId="5B8ADDB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E3238D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6098C92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w:t>
            </w:r>
          </w:p>
        </w:tc>
        <w:tc>
          <w:tcPr>
            <w:tcW w:w="773" w:type="dxa"/>
            <w:vAlign w:val="center"/>
          </w:tcPr>
          <w:p w14:paraId="3C512FE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352B2EE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漏洞管理</w:t>
            </w:r>
          </w:p>
        </w:tc>
        <w:tc>
          <w:tcPr>
            <w:tcW w:w="831" w:type="dxa"/>
            <w:vAlign w:val="center"/>
          </w:tcPr>
          <w:p w14:paraId="61B0337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7796852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0A5CB5B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F27B8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建立漏洞管理机制，及时通过邮件、网站等方式将安全漏洞告知用户，并提供安全补丁对漏洞进行修复</w:t>
            </w:r>
          </w:p>
        </w:tc>
        <w:tc>
          <w:tcPr>
            <w:tcW w:w="865" w:type="dxa"/>
            <w:vAlign w:val="center"/>
          </w:tcPr>
          <w:p w14:paraId="366F1A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8514D8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6329EB7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w:t>
            </w:r>
          </w:p>
        </w:tc>
        <w:tc>
          <w:tcPr>
            <w:tcW w:w="773" w:type="dxa"/>
            <w:vAlign w:val="center"/>
          </w:tcPr>
          <w:p w14:paraId="2F4276C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126D0B2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身份鉴别及访问控制</w:t>
            </w:r>
          </w:p>
        </w:tc>
        <w:tc>
          <w:tcPr>
            <w:tcW w:w="831" w:type="dxa"/>
            <w:vAlign w:val="center"/>
          </w:tcPr>
          <w:p w14:paraId="46EDD6D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5302ADB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21A727B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17E1C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提供身份鉴别及访问控制，加解密的密码要求符合GM/T0028的相关规定</w:t>
            </w:r>
          </w:p>
        </w:tc>
        <w:tc>
          <w:tcPr>
            <w:tcW w:w="865" w:type="dxa"/>
            <w:vAlign w:val="center"/>
          </w:tcPr>
          <w:p w14:paraId="430178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3FA232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1EA6E2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w:t>
            </w:r>
          </w:p>
        </w:tc>
        <w:tc>
          <w:tcPr>
            <w:tcW w:w="773" w:type="dxa"/>
            <w:vAlign w:val="center"/>
          </w:tcPr>
          <w:p w14:paraId="5F1A88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096" w:type="dxa"/>
            <w:vAlign w:val="center"/>
          </w:tcPr>
          <w:p w14:paraId="701BB97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831" w:type="dxa"/>
            <w:vAlign w:val="center"/>
          </w:tcPr>
          <w:p w14:paraId="6D6CC3D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42" w:type="dxa"/>
            <w:vAlign w:val="center"/>
          </w:tcPr>
          <w:p w14:paraId="1E7AF7D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54" w:type="dxa"/>
            <w:vAlign w:val="center"/>
          </w:tcPr>
          <w:p w14:paraId="7B1CE4B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45F2047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应当符合安全可靠测评要求（通过政府有关部门指定的中国信息安全测评中心和国家保密科技测评中心网站查看安全可靠测评结果）。供应商响应时需提供中国信息安全测评中心或国家保密科技测评中心网站有响应产品通过页面的截图（截图应清晰完整，可多页）</w:t>
            </w:r>
          </w:p>
        </w:tc>
        <w:tc>
          <w:tcPr>
            <w:tcW w:w="865" w:type="dxa"/>
            <w:vAlign w:val="center"/>
          </w:tcPr>
          <w:p w14:paraId="7A3C94C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bl>
    <w:p w14:paraId="0862B38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交货期限：自合同签订之日起30天，采购人和供应商在第二阶段有特殊约定的除外。</w:t>
      </w:r>
    </w:p>
    <w:p w14:paraId="3BF0425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交货的地域范围： 四川省范围内送货上门</w:t>
      </w:r>
    </w:p>
    <w:p w14:paraId="5E7AC51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包装方式及运输：</w:t>
      </w:r>
    </w:p>
    <w:p w14:paraId="5C2DAB9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56016DA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14:paraId="789A7A1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(1)延期服务收费标准:服务期1年，过服务期后，提供延期服务，其收费标准每年不高于投标报价的20%。</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(2)产品维护周期：产品自发布之日起至产品停止功能升级（包含不限于新特性、新硬件支持、问题修复、安全补丁等）之日止≥5年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(3)产品延伸服务周期：产品停止功能升级之日起至产品停止功能维护（包括问题修复、安全补丁等）之日止≥4年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(4)产品延伸安全服务周期：产品功能维护停止之日起至产品停止安全维护（包括中高风险漏洞修复）之日止≥2年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(5)售后服务最小保障期：自销售之日起，产品售后服务周期≥6年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(6)供应链与服务保障基础要求：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a)提供多种形式支持服务，包含电话、电子邮件、远程连接等；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b)提供技术支持服务，支持同城4h、异地12h响应要求，两个工作日解决问题，对于未能解决的问题和故障提供可行的升级方案；</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c)提供培训材料、产品手册、培训视频等培训相关内容；</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d)建立全国技术服务体系和服务团队，符合专业服务体系标准要求，提供原厂中文服务；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e)服务周期内支持版本免费升级；</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f)开源产品对获得的社区源代码进行安全性和知识产权审查与管理；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g)提供数据库参数、慢SQL语句的性能优化指南，包含性能优化的具体措施、技巧、案例及建议等</w:t>
      </w:r>
    </w:p>
    <w:p w14:paraId="7890956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4.最高限价（元）： 100,000.00 ，大写（人民币）： 壹拾万元整</w:t>
      </w:r>
    </w:p>
    <w:p w14:paraId="6269CF3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5.配套的必要耗材、配件报价、约定期限：</w:t>
      </w:r>
    </w:p>
    <w:tbl>
      <w:tblPr>
        <w:tblStyle w:val="2"/>
        <w:tblW w:w="10224" w:type="dxa"/>
        <w:tblInd w:w="-88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fixed"/>
        <w:tblCellMar>
          <w:top w:w="0" w:type="dxa"/>
          <w:left w:w="108" w:type="dxa"/>
          <w:bottom w:w="0" w:type="dxa"/>
          <w:right w:w="108" w:type="dxa"/>
        </w:tblCellMar>
      </w:tblPr>
      <w:tblGrid>
        <w:gridCol w:w="612"/>
        <w:gridCol w:w="750"/>
        <w:gridCol w:w="969"/>
        <w:gridCol w:w="785"/>
        <w:gridCol w:w="3715"/>
        <w:gridCol w:w="969"/>
        <w:gridCol w:w="1004"/>
        <w:gridCol w:w="1420"/>
      </w:tblGrid>
      <w:tr w14:paraId="32C9334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2" w:type="dxa"/>
          </w:tcPr>
          <w:p w14:paraId="0785FAE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50" w:type="dxa"/>
          </w:tcPr>
          <w:p w14:paraId="4D4258B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969" w:type="dxa"/>
          </w:tcPr>
          <w:p w14:paraId="35CCDA9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785" w:type="dxa"/>
          </w:tcPr>
          <w:p w14:paraId="5BF3443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3715" w:type="dxa"/>
          </w:tcPr>
          <w:p w14:paraId="6D9DB1D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配置描述</w:t>
            </w:r>
          </w:p>
        </w:tc>
        <w:tc>
          <w:tcPr>
            <w:tcW w:w="969" w:type="dxa"/>
          </w:tcPr>
          <w:p w14:paraId="04098F9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最高限制单价</w:t>
            </w:r>
          </w:p>
        </w:tc>
        <w:tc>
          <w:tcPr>
            <w:tcW w:w="1004" w:type="dxa"/>
          </w:tcPr>
          <w:p w14:paraId="4AB2D92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约定期限(年)</w:t>
            </w:r>
          </w:p>
        </w:tc>
        <w:tc>
          <w:tcPr>
            <w:tcW w:w="1420" w:type="dxa"/>
          </w:tcPr>
          <w:p w14:paraId="1121A3F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生命周期范围内模拟数量</w:t>
            </w:r>
          </w:p>
        </w:tc>
      </w:tr>
      <w:tr w14:paraId="4442087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12" w:type="dxa"/>
            <w:vAlign w:val="center"/>
          </w:tcPr>
          <w:p w14:paraId="41594827">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50" w:type="dxa"/>
            <w:vAlign w:val="center"/>
          </w:tcPr>
          <w:p w14:paraId="36EF1260">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配套的必要配件</w:t>
            </w:r>
          </w:p>
        </w:tc>
        <w:tc>
          <w:tcPr>
            <w:tcW w:w="969" w:type="dxa"/>
            <w:vAlign w:val="center"/>
          </w:tcPr>
          <w:p w14:paraId="5D2DEF48">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集群</w:t>
            </w:r>
          </w:p>
        </w:tc>
        <w:tc>
          <w:tcPr>
            <w:tcW w:w="785" w:type="dxa"/>
            <w:vAlign w:val="center"/>
          </w:tcPr>
          <w:p w14:paraId="2A39DBBD">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节点</w:t>
            </w:r>
          </w:p>
        </w:tc>
        <w:tc>
          <w:tcPr>
            <w:tcW w:w="3715" w:type="dxa"/>
            <w:vAlign w:val="center"/>
          </w:tcPr>
          <w:p w14:paraId="12D4886B">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1.集群构建 与管理：a) 支持集群的运行环境；b) 支持创建并配置数据库集群；c) 配置信息至少包括日常运维管理、容灾 管理、日志管理、备份管理、监控等；2.数据分布：a) 支持自动数据分布；b) 按照指定规则设置数据分布；3.分布式计 算：支持在分布式节点上的并行计算；4.集群扩展：a) 支持在线扩容、缩容；b) 集群扩容、缩容过程中支持分布式事务 ACID 特性；5.数据重分 布：支持按照数据库集群的节点、状态和负载 的变化，进行动态重分布；6.对应用透 明：当数据分布、分布计算、集群扩展、数据 重分布等变化时，不需要修改应用代码；7.均分负载：支持在集群环境下，事务并行执行。</w:t>
            </w:r>
          </w:p>
        </w:tc>
        <w:tc>
          <w:tcPr>
            <w:tcW w:w="969" w:type="dxa"/>
            <w:vAlign w:val="center"/>
          </w:tcPr>
          <w:p w14:paraId="2F26B982">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50,000.00</w:t>
            </w:r>
          </w:p>
        </w:tc>
        <w:tc>
          <w:tcPr>
            <w:tcW w:w="1004" w:type="dxa"/>
            <w:vAlign w:val="center"/>
          </w:tcPr>
          <w:p w14:paraId="392547C3">
            <w:pPr>
              <w:pStyle w:val="4"/>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20" w:type="dxa"/>
            <w:vAlign w:val="center"/>
          </w:tcPr>
          <w:p w14:paraId="251ED906">
            <w:pPr>
              <w:keepNext w:val="0"/>
              <w:keepLines w:val="0"/>
              <w:pageBreakBefore w:val="0"/>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4"/>
                <w:szCs w:val="24"/>
              </w:rPr>
            </w:pPr>
          </w:p>
        </w:tc>
      </w:tr>
    </w:tbl>
    <w:p w14:paraId="5D1F222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6.量价关系折扣：</w:t>
      </w:r>
    </w:p>
    <w:p w14:paraId="3D8F2C0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是否含有量价关系折扣：否</w:t>
      </w:r>
    </w:p>
    <w:p w14:paraId="23BA161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7.产品升级换代规则：</w:t>
      </w:r>
    </w:p>
    <w:p w14:paraId="440E377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本项目 支持 入围供应商对已入围产品进行升级换代。</w:t>
      </w:r>
    </w:p>
    <w:p w14:paraId="0117BEF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性能不降低、价格不提高的前提下，入围供应商可以用新产品替换原入围产品；在框架协议期限内，每半年进行一次产品升级换代申请审核。注：供应商在提交产品升级换代申请时，须提供产品升级换代承诺函。</w:t>
      </w:r>
    </w:p>
    <w:p w14:paraId="615C8C5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7A0C1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C77B2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38" w:type="dxa"/>
          </w:tcPr>
          <w:p w14:paraId="4855EFE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153" w:type="dxa"/>
          </w:tcPr>
          <w:p w14:paraId="07F2C67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58DD1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CA45B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38" w:type="dxa"/>
          </w:tcPr>
          <w:p w14:paraId="7A85B96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tc>
        <w:tc>
          <w:tcPr>
            <w:tcW w:w="4153" w:type="dxa"/>
          </w:tcPr>
          <w:p w14:paraId="20C3E89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76DCB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52E06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38" w:type="dxa"/>
          </w:tcPr>
          <w:p w14:paraId="0BAFDE8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w:t>
            </w:r>
          </w:p>
        </w:tc>
        <w:tc>
          <w:tcPr>
            <w:tcW w:w="4153" w:type="dxa"/>
          </w:tcPr>
          <w:p w14:paraId="3F29D26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01BEA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FC7B1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38" w:type="dxa"/>
          </w:tcPr>
          <w:p w14:paraId="6683732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具有健全的财务会计制度。</w:t>
            </w:r>
          </w:p>
        </w:tc>
        <w:tc>
          <w:tcPr>
            <w:tcW w:w="4153" w:type="dxa"/>
          </w:tcPr>
          <w:p w14:paraId="6FA7E08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根据自身情况选择提供其中任意一项：（1）可提供（2023年或2024年）任一年度经审计的财务报告（包含审计报告和审计报告中所涉及的财务报表和报表附注）；（2）可提供（2023年或2024年）任一年度供应商财务报表（至少包括资产负债表、利润表、现金流量表）；（3）可提供截至响应文件提交截止日一年内银行出具的资信证明；（4）供应商注册时间截至响应文件提交截止日不足一年的，也可提供在工商管理部门备案的公司章程。</w:t>
            </w:r>
          </w:p>
        </w:tc>
      </w:tr>
      <w:tr w14:paraId="2F369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E457F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38" w:type="dxa"/>
          </w:tcPr>
          <w:p w14:paraId="1FBFB10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tc>
        <w:tc>
          <w:tcPr>
            <w:tcW w:w="4153" w:type="dxa"/>
          </w:tcPr>
          <w:p w14:paraId="0274D1A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020AB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542BE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38" w:type="dxa"/>
          </w:tcPr>
          <w:p w14:paraId="0BD0477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tc>
        <w:tc>
          <w:tcPr>
            <w:tcW w:w="4153" w:type="dxa"/>
          </w:tcPr>
          <w:p w14:paraId="7F4D99F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41AA7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69399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38" w:type="dxa"/>
          </w:tcPr>
          <w:p w14:paraId="47E2764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4153" w:type="dxa"/>
          </w:tcPr>
          <w:p w14:paraId="32D8605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28BB6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B15B6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38" w:type="dxa"/>
          </w:tcPr>
          <w:p w14:paraId="42900BD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法律、行政法规规定的其它条件。</w:t>
            </w:r>
          </w:p>
        </w:tc>
        <w:tc>
          <w:tcPr>
            <w:tcW w:w="4153" w:type="dxa"/>
          </w:tcPr>
          <w:p w14:paraId="1AD039E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6147C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4DEB6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738" w:type="dxa"/>
          </w:tcPr>
          <w:p w14:paraId="1761F07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不存在与单位负责人为同一人或者存在直接控股、管理关系的其他供应商参与同一合同项下的政府采购活动的行为。</w:t>
            </w:r>
          </w:p>
        </w:tc>
        <w:tc>
          <w:tcPr>
            <w:tcW w:w="4153" w:type="dxa"/>
          </w:tcPr>
          <w:p w14:paraId="33EDBCE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65C5D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E840D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738" w:type="dxa"/>
          </w:tcPr>
          <w:p w14:paraId="7DC800A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不属于为本项目提供整体设计、规范编制或者项目管理、监理、检测等服务的供应商。</w:t>
            </w:r>
          </w:p>
        </w:tc>
        <w:tc>
          <w:tcPr>
            <w:tcW w:w="4153" w:type="dxa"/>
          </w:tcPr>
          <w:p w14:paraId="3F08547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6B52C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D7FE1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738" w:type="dxa"/>
          </w:tcPr>
          <w:p w14:paraId="1A2D5BD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生产厂家或者生产厂家唯一授权供应商的证明材料。</w:t>
            </w:r>
          </w:p>
        </w:tc>
        <w:tc>
          <w:tcPr>
            <w:tcW w:w="4153" w:type="dxa"/>
          </w:tcPr>
          <w:p w14:paraId="1DAAF24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如是生产厂家，应当在响应文件中上传响应产品品牌的《商标注册证》的原件扫描件并进行电子签章。具体要求如下：①《商标注册证》中的注册人应与生产厂家名称一致或提供注册人授权生产厂家使用商标许可的证明材料，如因注册人工商登记信息发生变更导致名称不一致的，需提供市场监管部门变更登记的证明材料；②《商标注册证》核定使用商品分类应包括本次响应产品对应分类；③提交响应文件时，《商标注册证》应在有效期内，入围后生产厂家应确保在框架协议生效期间《商标注册证》有效。2) 供应商如是生产厂家唯一授权供应商，应当在响应文件中除提供上述要求的证明材料（加盖生产厂家公章）外，还应提供响应产品品牌的生产厂家出具的唯一授权书扫描件（加盖生产厂家公章）。授权书应当明确授权时间（授权时间至少应包含本次框架协议期限）、产品范围、代理区域（四川省），并承诺在本次封闭式框架协议征集及补充征集期间不更换唯一授权供应商。</w:t>
            </w:r>
          </w:p>
        </w:tc>
      </w:tr>
    </w:tbl>
    <w:p w14:paraId="0497DF3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5D26F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E36A7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738" w:type="dxa"/>
          </w:tcPr>
          <w:p w14:paraId="463EE7A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资格要求名称</w:t>
            </w:r>
          </w:p>
        </w:tc>
        <w:tc>
          <w:tcPr>
            <w:tcW w:w="4153" w:type="dxa"/>
          </w:tcPr>
          <w:p w14:paraId="0FFF6EF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资格要求详细说明</w:t>
            </w:r>
          </w:p>
        </w:tc>
      </w:tr>
      <w:tr w14:paraId="206CE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56981B6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7106CDB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10.入围供应商评审方法：价格优先法</w:t>
      </w:r>
    </w:p>
    <w:p w14:paraId="218B6B9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11.入围供应商淘汰率：</w:t>
      </w:r>
    </w:p>
    <w:p w14:paraId="606DEB6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本项目征集入围供应商 ，淘汰比例为 20.00%，淘汰供应商按照向上取整进行取整，且至少淘汰 1家供应商。</w:t>
      </w:r>
    </w:p>
    <w:p w14:paraId="30F0A50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12.分包的评审条款：</w:t>
      </w:r>
    </w:p>
    <w:p w14:paraId="1A239F8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w:t>
      </w:r>
    </w:p>
    <w:p w14:paraId="62612EF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是指对满足采购需求且响应报价不超过最高限制单价的货物，按照响应报价从低到高排序。评审委员会根据本项目（采购包）征集文件规定的淘汰率或者入围供应商数量上限，确定入围供应商名单。具体流程如下：</w:t>
      </w:r>
    </w:p>
    <w:p w14:paraId="7B04A0F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1）评审委员会按淘汰率计算得出淘汰供应商数量，即淘汰供应商数量=有效报价供应商数量*淘汰率。计算出的淘汰供应商数量存在小数的，按照向上取整的原则，确定需要淘汰供应商的数量；</w:t>
      </w:r>
    </w:p>
    <w:p w14:paraId="4CFE3EA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2）基于按淘汰率计算得出的淘汰供应商数量，根据入围供应商数量上限，确定还需淘汰供应商的数量，最终确定淘汰供应商的总数；</w:t>
      </w:r>
    </w:p>
    <w:p w14:paraId="1ACC777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3）根据最终确定淘汰供应商总数，按评审排序进行淘汰后，确定入围名单。如在排名并列的供应商中仍需淘汰一定数量供应商的，则在并列供应商中通过随机抽取确定相应数量入围供应商后，剩余供应商淘汰；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3"/>
        <w:gridCol w:w="2415"/>
        <w:gridCol w:w="936"/>
        <w:gridCol w:w="3448"/>
      </w:tblGrid>
      <w:tr w14:paraId="13265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26AA7F0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423" w:type="dxa"/>
          </w:tcPr>
          <w:p w14:paraId="538CC3B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评审因素</w:t>
            </w:r>
          </w:p>
        </w:tc>
        <w:tc>
          <w:tcPr>
            <w:tcW w:w="692" w:type="dxa"/>
          </w:tcPr>
          <w:p w14:paraId="1820799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扣除比例%</w:t>
            </w:r>
          </w:p>
        </w:tc>
        <w:tc>
          <w:tcPr>
            <w:tcW w:w="3461" w:type="dxa"/>
          </w:tcPr>
          <w:p w14:paraId="47D119F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评审标准</w:t>
            </w:r>
          </w:p>
        </w:tc>
      </w:tr>
      <w:tr w14:paraId="0CBB0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67B7F4C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23" w:type="dxa"/>
          </w:tcPr>
          <w:p w14:paraId="75E0924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692" w:type="dxa"/>
          </w:tcPr>
          <w:p w14:paraId="47E06760">
            <w:pPr>
              <w:pStyle w:val="4"/>
              <w:keepNext w:val="0"/>
              <w:keepLines w:val="0"/>
              <w:pageBreakBefore w:val="0"/>
              <w:kinsoku/>
              <w:wordWrap/>
              <w:overflowPunct/>
              <w:topLinePunct w:val="0"/>
              <w:autoSpaceDE/>
              <w:autoSpaceDN/>
              <w:bidi w:val="0"/>
              <w:adjustRightInd/>
              <w:snapToGrid/>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3461" w:type="dxa"/>
          </w:tcPr>
          <w:p w14:paraId="5A2D619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对提供的全部货物制造商属于小型和微型企业的投标人的投标报价给予相应百分比的扣除，用扣除后的价格参与评审。残疾人福利性单位视同小型、微型企业，享受同等价格扣除，但同时属于残疾人福利性单位和小微企业的，不重复价格扣除。</w:t>
            </w:r>
          </w:p>
        </w:tc>
      </w:tr>
    </w:tbl>
    <w:p w14:paraId="69DC4D2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13.价格权重：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15DB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8EBDF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权重项编号</w:t>
            </w:r>
          </w:p>
        </w:tc>
        <w:tc>
          <w:tcPr>
            <w:tcW w:w="2769" w:type="dxa"/>
          </w:tcPr>
          <w:p w14:paraId="06FA38B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w:t>
            </w:r>
          </w:p>
        </w:tc>
        <w:tc>
          <w:tcPr>
            <w:tcW w:w="2769" w:type="dxa"/>
          </w:tcPr>
          <w:p w14:paraId="525409F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权重值</w:t>
            </w:r>
          </w:p>
        </w:tc>
      </w:tr>
      <w:tr w14:paraId="3BEF4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923AA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69" w:type="dxa"/>
          </w:tcPr>
          <w:p w14:paraId="2CB848D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标的价格</w:t>
            </w:r>
          </w:p>
        </w:tc>
        <w:tc>
          <w:tcPr>
            <w:tcW w:w="2769" w:type="dxa"/>
          </w:tcPr>
          <w:p w14:paraId="01E7329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w:t>
            </w:r>
          </w:p>
        </w:tc>
      </w:tr>
      <w:tr w14:paraId="67735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E79EA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69" w:type="dxa"/>
          </w:tcPr>
          <w:p w14:paraId="65B140E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配件价格</w:t>
            </w:r>
          </w:p>
        </w:tc>
        <w:tc>
          <w:tcPr>
            <w:tcW w:w="2769" w:type="dxa"/>
          </w:tcPr>
          <w:p w14:paraId="05B73B4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0.00%</w:t>
            </w:r>
          </w:p>
        </w:tc>
      </w:tr>
    </w:tbl>
    <w:p w14:paraId="3E79B27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14.第二阶段成交供应商的方式：直接选定/二次竞价</w:t>
      </w:r>
    </w:p>
    <w:p w14:paraId="0FAD6A7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单次采购20万元以下（不含20万）的采用直接选定或者二次竞价，20万元以上（含20万）的采用二次竞价。</w:t>
      </w:r>
    </w:p>
    <w:p w14:paraId="699C34D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15.资金支付方式、时间和条件：</w:t>
      </w:r>
    </w:p>
    <w:p w14:paraId="2CD5F24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支付方式：一次性付款或分期付款</w:t>
      </w:r>
    </w:p>
    <w:p w14:paraId="5077C55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 支付时间和条件：对于满足合同约定支付条件的，采购人应当自收到发票后10个工作日内将资金支付到合同约定的供应商账户。采购人和供应商在第二阶段有特殊约定的除外。</w:t>
      </w:r>
    </w:p>
    <w:p w14:paraId="143C9F9D">
      <w:pPr>
        <w:pStyle w:val="4"/>
        <w:keepNext w:val="0"/>
        <w:keepLines w:val="0"/>
        <w:pageBreakBefore w:val="0"/>
        <w:kinsoku/>
        <w:wordWrap/>
        <w:overflowPunct/>
        <w:topLinePunct w:val="0"/>
        <w:autoSpaceDE/>
        <w:autoSpaceDN/>
        <w:bidi w:val="0"/>
        <w:adjustRightInd/>
        <w:snapToGrid/>
        <w:ind w:firstLine="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（二）分包名称：包2</w:t>
      </w:r>
    </w:p>
    <w:p w14:paraId="313DAF6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1.采购标的：数据库管理系统</w:t>
      </w:r>
    </w:p>
    <w:p w14:paraId="78FEB4C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2.需求明细：</w:t>
      </w:r>
    </w:p>
    <w:p w14:paraId="43D38A6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1）标的名称：集中式数据库</w:t>
      </w:r>
    </w:p>
    <w:p w14:paraId="4BF127E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2）计量单位：套</w:t>
      </w:r>
    </w:p>
    <w:p w14:paraId="5F543AA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3）是否强制采购节能产品： 否</w:t>
      </w:r>
    </w:p>
    <w:p w14:paraId="6ECB50D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4）是否优先采购节能环保产品： 否</w:t>
      </w:r>
    </w:p>
    <w:p w14:paraId="5B7FEF1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5）是否采购进口产品： 否</w:t>
      </w:r>
    </w:p>
    <w:p w14:paraId="66B6942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6）标的物所属行业：软件和信息技术服务业</w:t>
      </w:r>
    </w:p>
    <w:p w14:paraId="590ADA6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3.拟采购标的的技术要求：</w:t>
      </w:r>
    </w:p>
    <w:tbl>
      <w:tblPr>
        <w:tblStyle w:val="2"/>
        <w:tblW w:w="10396" w:type="dxa"/>
        <w:tblInd w:w="-96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34"/>
        <w:gridCol w:w="762"/>
        <w:gridCol w:w="1731"/>
        <w:gridCol w:w="830"/>
        <w:gridCol w:w="739"/>
        <w:gridCol w:w="796"/>
        <w:gridCol w:w="3762"/>
        <w:gridCol w:w="1142"/>
      </w:tblGrid>
      <w:tr w14:paraId="4964192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7C04935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62" w:type="dxa"/>
            <w:vAlign w:val="center"/>
          </w:tcPr>
          <w:p w14:paraId="4A1286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c>
          <w:tcPr>
            <w:tcW w:w="1731" w:type="dxa"/>
            <w:vAlign w:val="center"/>
          </w:tcPr>
          <w:p w14:paraId="047E787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tc>
        <w:tc>
          <w:tcPr>
            <w:tcW w:w="830" w:type="dxa"/>
            <w:vAlign w:val="center"/>
          </w:tcPr>
          <w:p w14:paraId="3121687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739" w:type="dxa"/>
            <w:vAlign w:val="center"/>
          </w:tcPr>
          <w:p w14:paraId="4B0638A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参数符号</w:t>
            </w:r>
          </w:p>
        </w:tc>
        <w:tc>
          <w:tcPr>
            <w:tcW w:w="796" w:type="dxa"/>
            <w:vAlign w:val="center"/>
          </w:tcPr>
          <w:p w14:paraId="7AB657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参数值规则</w:t>
            </w:r>
          </w:p>
        </w:tc>
        <w:tc>
          <w:tcPr>
            <w:tcW w:w="3762" w:type="dxa"/>
            <w:vAlign w:val="center"/>
          </w:tcPr>
          <w:p w14:paraId="75894E8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w:t>
            </w:r>
          </w:p>
        </w:tc>
        <w:tc>
          <w:tcPr>
            <w:tcW w:w="1142" w:type="dxa"/>
            <w:vAlign w:val="center"/>
          </w:tcPr>
          <w:p w14:paraId="6D9CC1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参数值偏离规则</w:t>
            </w:r>
          </w:p>
        </w:tc>
      </w:tr>
      <w:tr w14:paraId="571F9A2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1898E4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62" w:type="dxa"/>
            <w:vAlign w:val="center"/>
          </w:tcPr>
          <w:p w14:paraId="734508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458194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日志</w:t>
            </w:r>
          </w:p>
        </w:tc>
        <w:tc>
          <w:tcPr>
            <w:tcW w:w="830" w:type="dxa"/>
            <w:vAlign w:val="center"/>
          </w:tcPr>
          <w:p w14:paraId="26D25B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070350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1C2B3DD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32E35F7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a)具备对各类事件进行日志记录的功能，可通过日志查看操作内容、执行过程和结果； b)具备提示和警告功能，提示或警告数据库结构修改、数据库运行配置修改等重要操作； c)日志完整正确，并且提供可读文本的形式； d)支持中文日志</w:t>
            </w:r>
          </w:p>
        </w:tc>
        <w:tc>
          <w:tcPr>
            <w:tcW w:w="1142" w:type="dxa"/>
            <w:vAlign w:val="center"/>
          </w:tcPr>
          <w:p w14:paraId="67362EE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524A96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26A8E5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62" w:type="dxa"/>
            <w:vAlign w:val="center"/>
          </w:tcPr>
          <w:p w14:paraId="61E866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34C1088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数据库安装</w:t>
            </w:r>
          </w:p>
        </w:tc>
        <w:tc>
          <w:tcPr>
            <w:tcW w:w="830" w:type="dxa"/>
            <w:vAlign w:val="center"/>
          </w:tcPr>
          <w:p w14:paraId="1B2C65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3B51BF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316E62C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152992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a)支持命令行或图形化的安装； b)支持命令行或图形化的可配置安装能力； c)依据安装环境提供相应的初始化参数配置值； d)提供图形化软件组件管理向导工具</w:t>
            </w:r>
          </w:p>
        </w:tc>
        <w:tc>
          <w:tcPr>
            <w:tcW w:w="1142" w:type="dxa"/>
            <w:vAlign w:val="center"/>
          </w:tcPr>
          <w:p w14:paraId="6C81D26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028C45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2DB9C4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62" w:type="dxa"/>
            <w:vAlign w:val="center"/>
          </w:tcPr>
          <w:p w14:paraId="3F6C04E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49508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数据库重启</w:t>
            </w:r>
          </w:p>
        </w:tc>
        <w:tc>
          <w:tcPr>
            <w:tcW w:w="830" w:type="dxa"/>
            <w:vAlign w:val="center"/>
          </w:tcPr>
          <w:p w14:paraId="547FCF6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07AC5C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0D2145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29A56DA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a)支持命令行或图形化的方式关闭和启动服务； b)关闭服务后，再启动服务，服务正常</w:t>
            </w:r>
          </w:p>
        </w:tc>
        <w:tc>
          <w:tcPr>
            <w:tcW w:w="1142" w:type="dxa"/>
            <w:vAlign w:val="center"/>
          </w:tcPr>
          <w:p w14:paraId="52EFD69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23C4F4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0A30E8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62" w:type="dxa"/>
            <w:vAlign w:val="center"/>
          </w:tcPr>
          <w:p w14:paraId="598E0BC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059778E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安装配置日志</w:t>
            </w:r>
          </w:p>
        </w:tc>
        <w:tc>
          <w:tcPr>
            <w:tcW w:w="830" w:type="dxa"/>
            <w:vAlign w:val="center"/>
          </w:tcPr>
          <w:p w14:paraId="50CE9DE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FD3395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2F40D9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5070ACC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a)提供软件安装的日志记录功能； b)记录的软件安装信息完整正确； c)提供安装配置操作的日志记录功能； d)记录的配置操作信息完整正确</w:t>
            </w:r>
          </w:p>
        </w:tc>
        <w:tc>
          <w:tcPr>
            <w:tcW w:w="1142" w:type="dxa"/>
            <w:vAlign w:val="center"/>
          </w:tcPr>
          <w:p w14:paraId="335D15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B6C82D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45E224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62" w:type="dxa"/>
            <w:vAlign w:val="center"/>
          </w:tcPr>
          <w:p w14:paraId="1B2DFB0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D58BD8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升级维护</w:t>
            </w:r>
          </w:p>
        </w:tc>
        <w:tc>
          <w:tcPr>
            <w:tcW w:w="830" w:type="dxa"/>
            <w:vAlign w:val="center"/>
          </w:tcPr>
          <w:p w14:paraId="7F46426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6B5ECC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187059E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01A9053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a)支持版本升级，保证版本间功能和数据的兼容性； b)厂商提供当前版本与历史版本的差异说明文档，包含新版本对软件和硬件的支持情况。</w:t>
            </w:r>
          </w:p>
        </w:tc>
        <w:tc>
          <w:tcPr>
            <w:tcW w:w="1142" w:type="dxa"/>
            <w:vAlign w:val="center"/>
          </w:tcPr>
          <w:p w14:paraId="22BAD14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DAE980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65F834D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62" w:type="dxa"/>
            <w:vAlign w:val="center"/>
          </w:tcPr>
          <w:p w14:paraId="63047F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29D581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参数配置</w:t>
            </w:r>
          </w:p>
        </w:tc>
        <w:tc>
          <w:tcPr>
            <w:tcW w:w="830" w:type="dxa"/>
            <w:vAlign w:val="center"/>
          </w:tcPr>
          <w:p w14:paraId="212664B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C40054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10A0A41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2D01D96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a)依据工作负载和运行环境，提供配置参数修改的能力； b)修改数据库配置参数后，配置参数立即生效或数据库重新启动生效，立即生效的配置参数和需要数据库重新启动方可生效的配置参数应在相关文档中明确</w:t>
            </w:r>
          </w:p>
        </w:tc>
        <w:tc>
          <w:tcPr>
            <w:tcW w:w="1142" w:type="dxa"/>
            <w:vAlign w:val="center"/>
          </w:tcPr>
          <w:p w14:paraId="01A8B97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15F48C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5F4CB8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62" w:type="dxa"/>
            <w:vAlign w:val="center"/>
          </w:tcPr>
          <w:p w14:paraId="6A6850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181F4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基础数据类型</w:t>
            </w:r>
          </w:p>
        </w:tc>
        <w:tc>
          <w:tcPr>
            <w:tcW w:w="830" w:type="dxa"/>
            <w:vAlign w:val="center"/>
          </w:tcPr>
          <w:p w14:paraId="7BAD51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2FA687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31B11A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5F05CA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a)支持数值类型； b)支持字符类型； c)支持二进制类型； d)支持日期和时间类型； e)支持布尔类型； f)支持（大）文本类型； g)支持大对象类型</w:t>
            </w:r>
          </w:p>
        </w:tc>
        <w:tc>
          <w:tcPr>
            <w:tcW w:w="1142" w:type="dxa"/>
            <w:vAlign w:val="center"/>
          </w:tcPr>
          <w:p w14:paraId="0A154FB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625732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52DB0AC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62" w:type="dxa"/>
            <w:vAlign w:val="center"/>
          </w:tcPr>
          <w:p w14:paraId="01E98A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126049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SQL功能-数据存储基础功能</w:t>
            </w:r>
          </w:p>
        </w:tc>
        <w:tc>
          <w:tcPr>
            <w:tcW w:w="830" w:type="dxa"/>
            <w:vAlign w:val="center"/>
          </w:tcPr>
          <w:p w14:paraId="1B97551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D84FC1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978CA5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12AF0D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支持基础数据类型</w:t>
            </w:r>
          </w:p>
        </w:tc>
        <w:tc>
          <w:tcPr>
            <w:tcW w:w="1142" w:type="dxa"/>
            <w:vAlign w:val="center"/>
          </w:tcPr>
          <w:p w14:paraId="76F9E06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99ED34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250A528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62" w:type="dxa"/>
            <w:vAlign w:val="center"/>
          </w:tcPr>
          <w:p w14:paraId="2D109A6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26D5C5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SQL功能-数据检索基础功 能</w:t>
            </w:r>
          </w:p>
        </w:tc>
        <w:tc>
          <w:tcPr>
            <w:tcW w:w="830" w:type="dxa"/>
            <w:vAlign w:val="center"/>
          </w:tcPr>
          <w:p w14:paraId="3A23B57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908DB9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36763EB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45A2F5A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支持基础数据类型</w:t>
            </w:r>
          </w:p>
        </w:tc>
        <w:tc>
          <w:tcPr>
            <w:tcW w:w="1142" w:type="dxa"/>
            <w:vAlign w:val="center"/>
          </w:tcPr>
          <w:p w14:paraId="2B430F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169041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3C2FCF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762" w:type="dxa"/>
            <w:vAlign w:val="center"/>
          </w:tcPr>
          <w:p w14:paraId="2657BBD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7D81829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核心SQL能力</w:t>
            </w:r>
          </w:p>
        </w:tc>
        <w:tc>
          <w:tcPr>
            <w:tcW w:w="830" w:type="dxa"/>
            <w:vAlign w:val="center"/>
          </w:tcPr>
          <w:p w14:paraId="046EC98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4F5D0B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6C8785F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588D2A2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a)支持左外连接； b)支持右外连接； c)支持内连接； d)支持全连接</w:t>
            </w:r>
          </w:p>
        </w:tc>
        <w:tc>
          <w:tcPr>
            <w:tcW w:w="1142" w:type="dxa"/>
            <w:vAlign w:val="center"/>
          </w:tcPr>
          <w:p w14:paraId="58E87E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E58E06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0C6B3E8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762" w:type="dxa"/>
            <w:vAlign w:val="center"/>
          </w:tcPr>
          <w:p w14:paraId="01D3267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062EE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字符集</w:t>
            </w:r>
          </w:p>
        </w:tc>
        <w:tc>
          <w:tcPr>
            <w:tcW w:w="830" w:type="dxa"/>
            <w:vAlign w:val="center"/>
          </w:tcPr>
          <w:p w14:paraId="28AC1F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708350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5C2ABA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627C1BE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中文字符集符合GB18030的要求</w:t>
            </w:r>
          </w:p>
        </w:tc>
        <w:tc>
          <w:tcPr>
            <w:tcW w:w="1142" w:type="dxa"/>
            <w:vAlign w:val="center"/>
          </w:tcPr>
          <w:p w14:paraId="532706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4135ED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13A1D6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762" w:type="dxa"/>
            <w:vAlign w:val="center"/>
          </w:tcPr>
          <w:p w14:paraId="712CE93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A6FF3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常用操作符</w:t>
            </w:r>
          </w:p>
        </w:tc>
        <w:tc>
          <w:tcPr>
            <w:tcW w:w="830" w:type="dxa"/>
            <w:vAlign w:val="center"/>
          </w:tcPr>
          <w:p w14:paraId="37D5251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79516A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08A9CC8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745F6A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a)支持逻辑操作符及相关运算； b)支持比较操作符及相关运算； c)支持算术运算符及相关运算</w:t>
            </w:r>
          </w:p>
        </w:tc>
        <w:tc>
          <w:tcPr>
            <w:tcW w:w="1142" w:type="dxa"/>
            <w:vAlign w:val="center"/>
          </w:tcPr>
          <w:p w14:paraId="59321B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FBC47F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0D8D92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762" w:type="dxa"/>
            <w:vAlign w:val="center"/>
          </w:tcPr>
          <w:p w14:paraId="334671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042A64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条件表达式</w:t>
            </w:r>
          </w:p>
        </w:tc>
        <w:tc>
          <w:tcPr>
            <w:tcW w:w="830" w:type="dxa"/>
            <w:vAlign w:val="center"/>
          </w:tcPr>
          <w:p w14:paraId="3016D7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80201B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3D30C1F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38259BC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a)支持对比条件表达式； b)支持逻辑条件表达式； c)支持空值条件表达式； d)支持等于条件表达式； e)支持模式匹配条件表达式； f)支持区间条件表达式； g)支持IN条件表达式； h)支持存在条件表达式； i)支持以上条件表达式的复合表达式</w:t>
            </w:r>
          </w:p>
        </w:tc>
        <w:tc>
          <w:tcPr>
            <w:tcW w:w="1142" w:type="dxa"/>
            <w:vAlign w:val="center"/>
          </w:tcPr>
          <w:p w14:paraId="22BA643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35DE23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70DC96C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762" w:type="dxa"/>
            <w:vAlign w:val="center"/>
          </w:tcPr>
          <w:p w14:paraId="2E23965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7E2AA0F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SQL 执行计划</w:t>
            </w:r>
          </w:p>
        </w:tc>
        <w:tc>
          <w:tcPr>
            <w:tcW w:w="830" w:type="dxa"/>
            <w:vAlign w:val="center"/>
          </w:tcPr>
          <w:p w14:paraId="2FFC6A4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CD8AF0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064837C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6ADA9C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支持SQL计划，使SQL按照指定的语句执行，并实现预期结果</w:t>
            </w:r>
          </w:p>
        </w:tc>
        <w:tc>
          <w:tcPr>
            <w:tcW w:w="1142" w:type="dxa"/>
            <w:vAlign w:val="center"/>
          </w:tcPr>
          <w:p w14:paraId="6CAD2A3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D7EDF2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3544151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762" w:type="dxa"/>
            <w:vAlign w:val="center"/>
          </w:tcPr>
          <w:p w14:paraId="1DF516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1320F95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基础对象类型</w:t>
            </w:r>
          </w:p>
        </w:tc>
        <w:tc>
          <w:tcPr>
            <w:tcW w:w="830" w:type="dxa"/>
            <w:vAlign w:val="center"/>
          </w:tcPr>
          <w:p w14:paraId="002D1F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984877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2D4DD9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6107EE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a)支持用户的创建、删除、修改； b)支持角色的创建、删除、修改； c)支持存储过程的创建、删除、修改； d)支持表操作功能； e)支持自增序列； f)支持主键约束、唯一性约束、检查约束和联合主键约束； g)支持游标功能； h)支持视图的创建、删除、修改； i)支持数值计算函数、字符处理函数、日期时间值函数、间隔函数、类型转换函数、位运算函数、聚合函数、格式化、系统信息等常用函数</w:t>
            </w:r>
          </w:p>
        </w:tc>
        <w:tc>
          <w:tcPr>
            <w:tcW w:w="1142" w:type="dxa"/>
            <w:vAlign w:val="center"/>
          </w:tcPr>
          <w:p w14:paraId="698A5D4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696F29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098375A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762" w:type="dxa"/>
            <w:vAlign w:val="center"/>
          </w:tcPr>
          <w:p w14:paraId="1DCD80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2ABAEF0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基础表分区管理</w:t>
            </w:r>
          </w:p>
        </w:tc>
        <w:tc>
          <w:tcPr>
            <w:tcW w:w="830" w:type="dxa"/>
            <w:vAlign w:val="center"/>
          </w:tcPr>
          <w:p w14:paraId="16DEA84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FDAE9B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0D5B444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35943B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a)哈希分区方式； b)范围分区方式； c)列表分区方式</w:t>
            </w:r>
          </w:p>
        </w:tc>
        <w:tc>
          <w:tcPr>
            <w:tcW w:w="1142" w:type="dxa"/>
            <w:vAlign w:val="center"/>
          </w:tcPr>
          <w:p w14:paraId="30CF6BC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9476AD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12F979F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762" w:type="dxa"/>
            <w:vAlign w:val="center"/>
          </w:tcPr>
          <w:p w14:paraId="25CAD61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46CDD86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对象变更</w:t>
            </w:r>
          </w:p>
        </w:tc>
        <w:tc>
          <w:tcPr>
            <w:tcW w:w="830" w:type="dxa"/>
            <w:vAlign w:val="center"/>
          </w:tcPr>
          <w:p w14:paraId="1FAD7E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D3032F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9B3D2A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1C7D0A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a)支持数据库的创建、删除、更新以及数据库属性的查询； b)支持在线变更表结构、索引； c)支持数据的增加、删除、修改和查询</w:t>
            </w:r>
          </w:p>
        </w:tc>
        <w:tc>
          <w:tcPr>
            <w:tcW w:w="1142" w:type="dxa"/>
            <w:vAlign w:val="center"/>
          </w:tcPr>
          <w:p w14:paraId="38221A7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2176D2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246482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762" w:type="dxa"/>
            <w:vAlign w:val="center"/>
          </w:tcPr>
          <w:p w14:paraId="7B0A5A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0456C0E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事务基础特性</w:t>
            </w:r>
          </w:p>
        </w:tc>
        <w:tc>
          <w:tcPr>
            <w:tcW w:w="830" w:type="dxa"/>
            <w:vAlign w:val="center"/>
          </w:tcPr>
          <w:p w14:paraId="5179056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63644A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6E23979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64958B4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支持事务的ACID</w:t>
            </w:r>
          </w:p>
        </w:tc>
        <w:tc>
          <w:tcPr>
            <w:tcW w:w="1142" w:type="dxa"/>
            <w:vAlign w:val="center"/>
          </w:tcPr>
          <w:p w14:paraId="5D5A0C1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4A06AC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3DB424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762" w:type="dxa"/>
            <w:vAlign w:val="center"/>
          </w:tcPr>
          <w:p w14:paraId="4E1590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7BAC74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运行时统计信息基础功能</w:t>
            </w:r>
          </w:p>
        </w:tc>
        <w:tc>
          <w:tcPr>
            <w:tcW w:w="830" w:type="dxa"/>
            <w:vAlign w:val="center"/>
          </w:tcPr>
          <w:p w14:paraId="7B438D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2373E3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469343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716B61B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a）数据库慢SQL统计： 1）支持统计SQL语句； 2）支持统计用户名； 3）支持统计数据库名； 4）支持统计执行时长； b）数据库性能状态统计： 1）支持统计每秒事务数和查询数； 2）支持统计SQL平均响应时间； 3）支持统计高频SQL。</w:t>
            </w:r>
          </w:p>
        </w:tc>
        <w:tc>
          <w:tcPr>
            <w:tcW w:w="1142" w:type="dxa"/>
            <w:vAlign w:val="center"/>
          </w:tcPr>
          <w:p w14:paraId="0D80763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68C5E8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6564210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762" w:type="dxa"/>
            <w:vAlign w:val="center"/>
          </w:tcPr>
          <w:p w14:paraId="254E3C8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23AB1B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报警</w:t>
            </w:r>
          </w:p>
        </w:tc>
        <w:tc>
          <w:tcPr>
            <w:tcW w:w="830" w:type="dxa"/>
            <w:vAlign w:val="center"/>
          </w:tcPr>
          <w:p w14:paraId="1F2893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F432D8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0D71619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438EC23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a)厂商提供通知管理员的方法或工具； b)支持设置报警基线，数据库运行中遇到重要事件、异常事件和状态、超过报警阈值等情况时，通知管理员； c)提供报警API； d)报警发生时，支持报警信息的实时展示</w:t>
            </w:r>
          </w:p>
        </w:tc>
        <w:tc>
          <w:tcPr>
            <w:tcW w:w="1142" w:type="dxa"/>
            <w:vAlign w:val="center"/>
          </w:tcPr>
          <w:p w14:paraId="112F40A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6A0813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6236611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762" w:type="dxa"/>
            <w:vAlign w:val="center"/>
          </w:tcPr>
          <w:p w14:paraId="115740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734C25F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数据迁移</w:t>
            </w:r>
          </w:p>
        </w:tc>
        <w:tc>
          <w:tcPr>
            <w:tcW w:w="830" w:type="dxa"/>
            <w:vAlign w:val="center"/>
          </w:tcPr>
          <w:p w14:paraId="79B631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D364B0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B387DF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65F9C47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a)提供元数据、数据库、数据库对象、表数据快速迁移的功能； b)支持数据迁移工具实现同构或异构数据库之间的数据迁移； c)支持全量数据迁移、增量数据持续同步等迁移模式； d)在数据迁移过程中具备应对传输异常的能力，保障数据迁移的稳定性、连续性和一致性； e)支持存量数据的一次性迁移和增量数据库的持续同步； f)支持多种不同类型的源数据库和目标数据库之间的数据迁移</w:t>
            </w:r>
          </w:p>
        </w:tc>
        <w:tc>
          <w:tcPr>
            <w:tcW w:w="1142" w:type="dxa"/>
            <w:vAlign w:val="center"/>
          </w:tcPr>
          <w:p w14:paraId="684F93D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A2E5A8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262540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762" w:type="dxa"/>
            <w:vAlign w:val="center"/>
          </w:tcPr>
          <w:p w14:paraId="776666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630B9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数据比对基础功能</w:t>
            </w:r>
          </w:p>
        </w:tc>
        <w:tc>
          <w:tcPr>
            <w:tcW w:w="830" w:type="dxa"/>
            <w:vAlign w:val="center"/>
          </w:tcPr>
          <w:p w14:paraId="7FA7D4B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63C098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4927CF1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4B21FA5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对源数据库和目标数据库之间的数据进行比对，支持数据一致性，并提供一致性比对报告</w:t>
            </w:r>
          </w:p>
        </w:tc>
        <w:tc>
          <w:tcPr>
            <w:tcW w:w="1142" w:type="dxa"/>
            <w:vAlign w:val="center"/>
          </w:tcPr>
          <w:p w14:paraId="15D7ED1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BB0C3D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0B8D94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762" w:type="dxa"/>
            <w:vAlign w:val="center"/>
          </w:tcPr>
          <w:p w14:paraId="1E09C9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43CA54C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数据备份</w:t>
            </w:r>
          </w:p>
        </w:tc>
        <w:tc>
          <w:tcPr>
            <w:tcW w:w="830" w:type="dxa"/>
            <w:vAlign w:val="center"/>
          </w:tcPr>
          <w:p w14:paraId="2F138A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FCDD80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329D797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3644BB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a)运行状态下支持对数据库进行全库备份； b)运行状态下支持对数据库进行部分备份； c)运行状态下支持对数据库进行增量备份</w:t>
            </w:r>
          </w:p>
        </w:tc>
        <w:tc>
          <w:tcPr>
            <w:tcW w:w="1142" w:type="dxa"/>
            <w:vAlign w:val="center"/>
          </w:tcPr>
          <w:p w14:paraId="2A92590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D6A9F9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3FAB4D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762" w:type="dxa"/>
            <w:vAlign w:val="center"/>
          </w:tcPr>
          <w:p w14:paraId="28D1098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74C9E5B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多种存储媒体备份、还原</w:t>
            </w:r>
          </w:p>
        </w:tc>
        <w:tc>
          <w:tcPr>
            <w:tcW w:w="830" w:type="dxa"/>
            <w:vAlign w:val="center"/>
          </w:tcPr>
          <w:p w14:paraId="75C696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6656BC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1944BE2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6D9BB5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支持多种备份存储媒体，支持多种存储媒体的部分、完整数据库数据还原处理能力</w:t>
            </w:r>
          </w:p>
        </w:tc>
        <w:tc>
          <w:tcPr>
            <w:tcW w:w="1142" w:type="dxa"/>
            <w:vAlign w:val="center"/>
          </w:tcPr>
          <w:p w14:paraId="2D754AE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591D0D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2D3B1D6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762" w:type="dxa"/>
            <w:vAlign w:val="center"/>
          </w:tcPr>
          <w:p w14:paraId="6EED32A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10746F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备份还原的一致性校验</w:t>
            </w:r>
          </w:p>
        </w:tc>
        <w:tc>
          <w:tcPr>
            <w:tcW w:w="830" w:type="dxa"/>
            <w:vAlign w:val="center"/>
          </w:tcPr>
          <w:p w14:paraId="301045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914B4B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4C9BA19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09AF0E1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提供数据库备份数据一致性校验的命令或工具</w:t>
            </w:r>
          </w:p>
        </w:tc>
        <w:tc>
          <w:tcPr>
            <w:tcW w:w="1142" w:type="dxa"/>
            <w:vAlign w:val="center"/>
          </w:tcPr>
          <w:p w14:paraId="7B69A5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555235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68DCAF9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762" w:type="dxa"/>
            <w:vAlign w:val="center"/>
          </w:tcPr>
          <w:p w14:paraId="037E68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2EEFAA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集群构建与管理</w:t>
            </w:r>
          </w:p>
        </w:tc>
        <w:tc>
          <w:tcPr>
            <w:tcW w:w="830" w:type="dxa"/>
            <w:vAlign w:val="center"/>
          </w:tcPr>
          <w:p w14:paraId="277B496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B8CC9D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0DAABFB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1DA164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a)支持集群的运行环境； b)支持创建并配置数据库集群； c)配置信息至少包括日常运维管理、容灾管理、日志管理、备份管理、监控等。</w:t>
            </w:r>
          </w:p>
        </w:tc>
        <w:tc>
          <w:tcPr>
            <w:tcW w:w="1142" w:type="dxa"/>
            <w:vAlign w:val="center"/>
          </w:tcPr>
          <w:p w14:paraId="52A957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FAFF54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33DBE9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762" w:type="dxa"/>
            <w:vAlign w:val="center"/>
          </w:tcPr>
          <w:p w14:paraId="05E5664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444166A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数据库开发调试工具</w:t>
            </w:r>
          </w:p>
        </w:tc>
        <w:tc>
          <w:tcPr>
            <w:tcW w:w="830" w:type="dxa"/>
            <w:vAlign w:val="center"/>
          </w:tcPr>
          <w:p w14:paraId="39015C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E3F133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4BEF060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238075A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a)具备图形化功能，提高易用性； b)具备导入、编辑、保存、执行SQL语句和SQL脚本功能； c)具备复制、编辑现有数据库对象功能； d)具备关键词显示标记、动态语法提示的SQL编辑器功能</w:t>
            </w:r>
          </w:p>
        </w:tc>
        <w:tc>
          <w:tcPr>
            <w:tcW w:w="1142" w:type="dxa"/>
            <w:vAlign w:val="center"/>
          </w:tcPr>
          <w:p w14:paraId="18EB51F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4C9BF5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5D26823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762" w:type="dxa"/>
            <w:vAlign w:val="center"/>
          </w:tcPr>
          <w:p w14:paraId="5175DD6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DCB650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用户、角色管理工具</w:t>
            </w:r>
          </w:p>
        </w:tc>
        <w:tc>
          <w:tcPr>
            <w:tcW w:w="830" w:type="dxa"/>
            <w:vAlign w:val="center"/>
          </w:tcPr>
          <w:p w14:paraId="2FBFD61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99A2DE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AF4C2D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16C60E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a)支持创建、修改、删除用户的功能； b)提供定义用户的功能； c)支持创建、修改、删除角色的功能，且提供用户自定义角色的功能</w:t>
            </w:r>
          </w:p>
        </w:tc>
        <w:tc>
          <w:tcPr>
            <w:tcW w:w="1142" w:type="dxa"/>
            <w:vAlign w:val="center"/>
          </w:tcPr>
          <w:p w14:paraId="09C5FCF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AFBD17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267E241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762" w:type="dxa"/>
            <w:vAlign w:val="center"/>
          </w:tcPr>
          <w:p w14:paraId="2CA4F3B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148CF5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SQL 执行计划查看工具</w:t>
            </w:r>
          </w:p>
        </w:tc>
        <w:tc>
          <w:tcPr>
            <w:tcW w:w="830" w:type="dxa"/>
            <w:vAlign w:val="center"/>
          </w:tcPr>
          <w:p w14:paraId="363F7B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31BA61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04C4068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7EF441E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a)提供与数据库管理系统进行SQL交互的工具，方便运维工作； b)支持查看SQL语句查询执行计划与统计信息</w:t>
            </w:r>
          </w:p>
        </w:tc>
        <w:tc>
          <w:tcPr>
            <w:tcW w:w="1142" w:type="dxa"/>
            <w:vAlign w:val="center"/>
          </w:tcPr>
          <w:p w14:paraId="0AA95E5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9BE8C1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2A8BE8C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762" w:type="dxa"/>
            <w:vAlign w:val="center"/>
          </w:tcPr>
          <w:p w14:paraId="3A167F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1F9A4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数据库对象工具</w:t>
            </w:r>
          </w:p>
        </w:tc>
        <w:tc>
          <w:tcPr>
            <w:tcW w:w="830" w:type="dxa"/>
            <w:vAlign w:val="center"/>
          </w:tcPr>
          <w:p w14:paraId="349C07A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88ED0B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982AAF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323913A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a)支持创建、修改、删除表的功能，支持定义表结构、约束、存储配置管理的功能；b)支持创建、修改、删除索引的功能，支持定义索引结构、类型、存储配置管理的功能； c)支持创建、修改、删除视图的功能，支持视图定义的功能； d)支持创建、修改、删除约束的功能，支持约束定义的功能</w:t>
            </w:r>
          </w:p>
        </w:tc>
        <w:tc>
          <w:tcPr>
            <w:tcW w:w="1142" w:type="dxa"/>
            <w:vAlign w:val="center"/>
          </w:tcPr>
          <w:p w14:paraId="39C10CF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2E7F6B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7B5FD53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762" w:type="dxa"/>
            <w:vAlign w:val="center"/>
          </w:tcPr>
          <w:p w14:paraId="6265B9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252F43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导入导出工具</w:t>
            </w:r>
          </w:p>
        </w:tc>
        <w:tc>
          <w:tcPr>
            <w:tcW w:w="830" w:type="dxa"/>
            <w:vAlign w:val="center"/>
          </w:tcPr>
          <w:p w14:paraId="31F849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4374BF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0EE35EE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2CAF644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a)支持导出不同格式，可以将不同格式数据导入到数据库中； b)支持不同级别和不同数据库对象的导入/导出功能； c)支持从文本文件或者其他上游数据源将数据导入； d)支持SQL脚本进行导入导出</w:t>
            </w:r>
          </w:p>
        </w:tc>
        <w:tc>
          <w:tcPr>
            <w:tcW w:w="1142" w:type="dxa"/>
            <w:vAlign w:val="center"/>
          </w:tcPr>
          <w:p w14:paraId="1383241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7E7B3E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177825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762" w:type="dxa"/>
            <w:vAlign w:val="center"/>
          </w:tcPr>
          <w:p w14:paraId="5A807CA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22F0FDF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数据库运维工具</w:t>
            </w:r>
          </w:p>
        </w:tc>
        <w:tc>
          <w:tcPr>
            <w:tcW w:w="830" w:type="dxa"/>
            <w:vAlign w:val="center"/>
          </w:tcPr>
          <w:p w14:paraId="4A3D9F1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B4C4C6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79330A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47CDD6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a)支持数据库、数据库存储对象结构、数据、统计信息更新维护； b)支持数据库创建、数据库修改、数据库删除、数据库模板维护； c)支持数据库任务自动化调度作业管理； d)支持图形化展示数据库管理的各种元数据界面，展示的内容具有层次性，包括模式、非模式数据字典信息</w:t>
            </w:r>
          </w:p>
        </w:tc>
        <w:tc>
          <w:tcPr>
            <w:tcW w:w="1142" w:type="dxa"/>
            <w:vAlign w:val="center"/>
          </w:tcPr>
          <w:p w14:paraId="1E181BC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333071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5B2EF0C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762" w:type="dxa"/>
            <w:vAlign w:val="center"/>
          </w:tcPr>
          <w:p w14:paraId="3A2C81C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7326BA0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图形化的开发工具</w:t>
            </w:r>
          </w:p>
        </w:tc>
        <w:tc>
          <w:tcPr>
            <w:tcW w:w="830" w:type="dxa"/>
            <w:vAlign w:val="center"/>
          </w:tcPr>
          <w:p w14:paraId="5A7E8B6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328E11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188B942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6D6EC31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厂商提供图形化的开发工具</w:t>
            </w:r>
          </w:p>
        </w:tc>
        <w:tc>
          <w:tcPr>
            <w:tcW w:w="1142" w:type="dxa"/>
            <w:vAlign w:val="center"/>
          </w:tcPr>
          <w:p w14:paraId="2313E2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8812F2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12C7812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762" w:type="dxa"/>
            <w:vAlign w:val="center"/>
          </w:tcPr>
          <w:p w14:paraId="4AC6BF5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5E4FA51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图形化运维工具</w:t>
            </w:r>
          </w:p>
        </w:tc>
        <w:tc>
          <w:tcPr>
            <w:tcW w:w="830" w:type="dxa"/>
            <w:vAlign w:val="center"/>
          </w:tcPr>
          <w:p w14:paraId="50578B4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DBF6F5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1805312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72029E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厂商提供图形化的运维工具</w:t>
            </w:r>
          </w:p>
        </w:tc>
        <w:tc>
          <w:tcPr>
            <w:tcW w:w="1142" w:type="dxa"/>
            <w:vAlign w:val="center"/>
          </w:tcPr>
          <w:p w14:paraId="392F9D0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6FFAF2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100209E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762" w:type="dxa"/>
            <w:vAlign w:val="center"/>
          </w:tcPr>
          <w:p w14:paraId="267B038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526354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稳定运行</w:t>
            </w:r>
          </w:p>
        </w:tc>
        <w:tc>
          <w:tcPr>
            <w:tcW w:w="830" w:type="dxa"/>
            <w:vAlign w:val="center"/>
          </w:tcPr>
          <w:p w14:paraId="4EE93E2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F6DB5E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5A8F1B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5DEBF43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a)支持连续稳定运行； b)支持数据库管理系统运行风险的报警能力</w:t>
            </w:r>
          </w:p>
        </w:tc>
        <w:tc>
          <w:tcPr>
            <w:tcW w:w="1142" w:type="dxa"/>
            <w:vAlign w:val="center"/>
          </w:tcPr>
          <w:p w14:paraId="73474A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ADCD5A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52B7175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762" w:type="dxa"/>
            <w:vAlign w:val="center"/>
          </w:tcPr>
          <w:p w14:paraId="5D6D9E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426FA4E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快速切换</w:t>
            </w:r>
          </w:p>
        </w:tc>
        <w:tc>
          <w:tcPr>
            <w:tcW w:w="830" w:type="dxa"/>
            <w:vAlign w:val="center"/>
          </w:tcPr>
          <w:p w14:paraId="3920390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12CF1A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1EEFF72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51475B5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支持快速切换，在主数据库出现故障时，能够快速切换到备用数据库，保障业务正常运行</w:t>
            </w:r>
          </w:p>
        </w:tc>
        <w:tc>
          <w:tcPr>
            <w:tcW w:w="1142" w:type="dxa"/>
            <w:vAlign w:val="center"/>
          </w:tcPr>
          <w:p w14:paraId="53EC13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9C10F6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325C69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w:t>
            </w:r>
          </w:p>
        </w:tc>
        <w:tc>
          <w:tcPr>
            <w:tcW w:w="762" w:type="dxa"/>
            <w:vAlign w:val="center"/>
          </w:tcPr>
          <w:p w14:paraId="7E0C6A7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7F478EB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恢复无断点</w:t>
            </w:r>
          </w:p>
        </w:tc>
        <w:tc>
          <w:tcPr>
            <w:tcW w:w="830" w:type="dxa"/>
            <w:vAlign w:val="center"/>
          </w:tcPr>
          <w:p w14:paraId="0A5C0AA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6289E0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6FD4387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5D3A83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支持无断点恢复能力</w:t>
            </w:r>
          </w:p>
        </w:tc>
        <w:tc>
          <w:tcPr>
            <w:tcW w:w="1142" w:type="dxa"/>
            <w:vAlign w:val="center"/>
          </w:tcPr>
          <w:p w14:paraId="547547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C02736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462D222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w:t>
            </w:r>
          </w:p>
        </w:tc>
        <w:tc>
          <w:tcPr>
            <w:tcW w:w="762" w:type="dxa"/>
            <w:vAlign w:val="center"/>
          </w:tcPr>
          <w:p w14:paraId="6A8206C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A2C44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主备备份</w:t>
            </w:r>
          </w:p>
        </w:tc>
        <w:tc>
          <w:tcPr>
            <w:tcW w:w="830" w:type="dxa"/>
            <w:vAlign w:val="center"/>
          </w:tcPr>
          <w:p w14:paraId="52BB5F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6D1D1F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4FE1A6F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5C692F8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a)支持多副本，支持主副本与从副本之间的数据同步，最低时延由生产厂商提供； b)提供数据库复制技术，包括基于日志的备用数据库远程数据库备份技术，并具备数据副本间的复制能力</w:t>
            </w:r>
          </w:p>
        </w:tc>
        <w:tc>
          <w:tcPr>
            <w:tcW w:w="1142" w:type="dxa"/>
            <w:vAlign w:val="center"/>
          </w:tcPr>
          <w:p w14:paraId="5D399E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802450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31BFA80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w:t>
            </w:r>
          </w:p>
        </w:tc>
        <w:tc>
          <w:tcPr>
            <w:tcW w:w="762" w:type="dxa"/>
            <w:vAlign w:val="center"/>
          </w:tcPr>
          <w:p w14:paraId="34EE4D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55A861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实例容灾</w:t>
            </w:r>
          </w:p>
        </w:tc>
        <w:tc>
          <w:tcPr>
            <w:tcW w:w="830" w:type="dxa"/>
            <w:vAlign w:val="center"/>
          </w:tcPr>
          <w:p w14:paraId="229A518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927E55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6275AA2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538F4E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a)在任意数据库实例出现故障时，集群内服务正常运行，数据不丢失，集群整体业务可用； b)在实例故障、节点故障等单数据库实例故障时，RPO时间等于0，RTO时间小于30s</w:t>
            </w:r>
          </w:p>
        </w:tc>
        <w:tc>
          <w:tcPr>
            <w:tcW w:w="1142" w:type="dxa"/>
            <w:vAlign w:val="center"/>
          </w:tcPr>
          <w:p w14:paraId="1581D35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2C5C24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2418DA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62" w:type="dxa"/>
            <w:vAlign w:val="center"/>
          </w:tcPr>
          <w:p w14:paraId="3D6B69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EE302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容灾部署</w:t>
            </w:r>
          </w:p>
        </w:tc>
        <w:tc>
          <w:tcPr>
            <w:tcW w:w="830" w:type="dxa"/>
            <w:vAlign w:val="center"/>
          </w:tcPr>
          <w:p w14:paraId="62AD2D9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A941AC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454C6AE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27445F3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a)提供远程容灾部署与管理功能； b)提供生产中心与备份中心之间的容灾部署与管理功能</w:t>
            </w:r>
          </w:p>
        </w:tc>
        <w:tc>
          <w:tcPr>
            <w:tcW w:w="1142" w:type="dxa"/>
            <w:vAlign w:val="center"/>
          </w:tcPr>
          <w:p w14:paraId="1CB44AC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36349D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072433B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w:t>
            </w:r>
          </w:p>
        </w:tc>
        <w:tc>
          <w:tcPr>
            <w:tcW w:w="762" w:type="dxa"/>
            <w:vAlign w:val="center"/>
          </w:tcPr>
          <w:p w14:paraId="229ACE1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2B0F9F6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同城容灾</w:t>
            </w:r>
          </w:p>
        </w:tc>
        <w:tc>
          <w:tcPr>
            <w:tcW w:w="830" w:type="dxa"/>
            <w:vAlign w:val="center"/>
          </w:tcPr>
          <w:p w14:paraId="07E286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57314C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F94896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37CE6F3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a)支持同城双中心部署，当主中心故障时，业务切换到备中心； b)由于网络、供电等原因造成的可用区级故障，触发集群计划外停机，在同城多可用区场景下，RPO时间等于0，RTO时间小于1分钟</w:t>
            </w:r>
          </w:p>
        </w:tc>
        <w:tc>
          <w:tcPr>
            <w:tcW w:w="1142" w:type="dxa"/>
            <w:vAlign w:val="center"/>
          </w:tcPr>
          <w:p w14:paraId="5B6222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62A27B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6E8615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762" w:type="dxa"/>
            <w:vAlign w:val="center"/>
          </w:tcPr>
          <w:p w14:paraId="53FA9A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09A87BA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服务端编程稳定性</w:t>
            </w:r>
          </w:p>
        </w:tc>
        <w:tc>
          <w:tcPr>
            <w:tcW w:w="830" w:type="dxa"/>
            <w:vAlign w:val="center"/>
          </w:tcPr>
          <w:p w14:paraId="556C3F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225114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31EAD8D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00298E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支持当用户自定义的存储过程、函数运行异常时，数据库稳定运行</w:t>
            </w:r>
          </w:p>
        </w:tc>
        <w:tc>
          <w:tcPr>
            <w:tcW w:w="1142" w:type="dxa"/>
            <w:vAlign w:val="center"/>
          </w:tcPr>
          <w:p w14:paraId="0A0BB61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F715DA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76DD45B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762" w:type="dxa"/>
            <w:vAlign w:val="center"/>
          </w:tcPr>
          <w:p w14:paraId="4CF4320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37D144E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网络容错</w:t>
            </w:r>
          </w:p>
        </w:tc>
        <w:tc>
          <w:tcPr>
            <w:tcW w:w="830" w:type="dxa"/>
            <w:vAlign w:val="center"/>
          </w:tcPr>
          <w:p w14:paraId="74EB33A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5402CD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0B42988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79E211F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网络中断时，保障事务一致性</w:t>
            </w:r>
          </w:p>
        </w:tc>
        <w:tc>
          <w:tcPr>
            <w:tcW w:w="1142" w:type="dxa"/>
            <w:vAlign w:val="center"/>
          </w:tcPr>
          <w:p w14:paraId="2F0B15B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D705B1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2C56D60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w:t>
            </w:r>
          </w:p>
        </w:tc>
        <w:tc>
          <w:tcPr>
            <w:tcW w:w="762" w:type="dxa"/>
            <w:vAlign w:val="center"/>
          </w:tcPr>
          <w:p w14:paraId="41E6265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39BCAB8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检测报警</w:t>
            </w:r>
          </w:p>
        </w:tc>
        <w:tc>
          <w:tcPr>
            <w:tcW w:w="830" w:type="dxa"/>
            <w:vAlign w:val="center"/>
          </w:tcPr>
          <w:p w14:paraId="16B0453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A98A96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481F6DB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379DE5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a)支持数据库实例启动时错误检测能力；b)支持加载不同文件格式、不同大小数据出现错误时的故障检测和处理能力； c)支持数据库备份执行过程中发生故障时报错或者报警能力； d)支持数据库恢复发生故障时报错或者报警能力</w:t>
            </w:r>
          </w:p>
        </w:tc>
        <w:tc>
          <w:tcPr>
            <w:tcW w:w="1142" w:type="dxa"/>
            <w:vAlign w:val="center"/>
          </w:tcPr>
          <w:p w14:paraId="53608E6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28458D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417688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762" w:type="dxa"/>
            <w:vAlign w:val="center"/>
          </w:tcPr>
          <w:p w14:paraId="379D200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6D0AE6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故障恢复</w:t>
            </w:r>
          </w:p>
        </w:tc>
        <w:tc>
          <w:tcPr>
            <w:tcW w:w="830" w:type="dxa"/>
            <w:vAlign w:val="center"/>
          </w:tcPr>
          <w:p w14:paraId="495389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0F73E6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598C61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7B9A5A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a)系统故障重启后能正常运行且支持数据一致性； b)支持完全媒体故障恢复的能力；c)提供基于时间点故障恢复功能</w:t>
            </w:r>
          </w:p>
        </w:tc>
        <w:tc>
          <w:tcPr>
            <w:tcW w:w="1142" w:type="dxa"/>
            <w:vAlign w:val="center"/>
          </w:tcPr>
          <w:p w14:paraId="0C72239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EBD45B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64CFA8B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w:t>
            </w:r>
          </w:p>
        </w:tc>
        <w:tc>
          <w:tcPr>
            <w:tcW w:w="762" w:type="dxa"/>
            <w:vAlign w:val="center"/>
          </w:tcPr>
          <w:p w14:paraId="10529A6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05F5A0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不同级别故障可恢复</w:t>
            </w:r>
          </w:p>
        </w:tc>
        <w:tc>
          <w:tcPr>
            <w:tcW w:w="830" w:type="dxa"/>
            <w:vAlign w:val="center"/>
          </w:tcPr>
          <w:p w14:paraId="6580028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90CA89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60C4553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4DF78DA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支持数据库事务故障、系统故障、存储媒体故障不同级别的可恢复能力</w:t>
            </w:r>
          </w:p>
        </w:tc>
        <w:tc>
          <w:tcPr>
            <w:tcW w:w="1142" w:type="dxa"/>
            <w:vAlign w:val="center"/>
          </w:tcPr>
          <w:p w14:paraId="2D41060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C3D0F9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3AEF2B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w:t>
            </w:r>
          </w:p>
        </w:tc>
        <w:tc>
          <w:tcPr>
            <w:tcW w:w="762" w:type="dxa"/>
            <w:vAlign w:val="center"/>
          </w:tcPr>
          <w:p w14:paraId="702F97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2ADDD36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硬件平台兼容</w:t>
            </w:r>
          </w:p>
        </w:tc>
        <w:tc>
          <w:tcPr>
            <w:tcW w:w="830" w:type="dxa"/>
            <w:vAlign w:val="center"/>
          </w:tcPr>
          <w:p w14:paraId="312C86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A7D60C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59A4A4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7ABA33A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a)同源支持以下至少三种CPU平台架构： 1)ARM； 2)LoongArch； 3)MIPS； 4)SW64； 5)x86； b)支持SMP和NUMA的运行环境</w:t>
            </w:r>
          </w:p>
        </w:tc>
        <w:tc>
          <w:tcPr>
            <w:tcW w:w="1142" w:type="dxa"/>
            <w:vAlign w:val="center"/>
          </w:tcPr>
          <w:p w14:paraId="15FAE8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64A758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62B11E0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w:t>
            </w:r>
          </w:p>
        </w:tc>
        <w:tc>
          <w:tcPr>
            <w:tcW w:w="762" w:type="dxa"/>
            <w:vAlign w:val="center"/>
          </w:tcPr>
          <w:p w14:paraId="4EDFA9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F33D5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基本要求</w:t>
            </w:r>
          </w:p>
        </w:tc>
        <w:tc>
          <w:tcPr>
            <w:tcW w:w="830" w:type="dxa"/>
            <w:vAlign w:val="center"/>
          </w:tcPr>
          <w:p w14:paraId="0C04D9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57519C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49A2131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1182791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符合财政部、工业和信息化部关于印发《数据库政府采购需求标准(2023年版)》的通知中《集中式数据库政府采购需求标准》规定的其他*内容（第100条*基本要求-“数据库应当符合安全可靠测评要求”除外）</w:t>
            </w:r>
          </w:p>
        </w:tc>
        <w:tc>
          <w:tcPr>
            <w:tcW w:w="1142" w:type="dxa"/>
            <w:vAlign w:val="center"/>
          </w:tcPr>
          <w:p w14:paraId="37A2585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3FE67E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08EDC19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w:t>
            </w:r>
          </w:p>
        </w:tc>
        <w:tc>
          <w:tcPr>
            <w:tcW w:w="762" w:type="dxa"/>
            <w:vAlign w:val="center"/>
          </w:tcPr>
          <w:p w14:paraId="274141A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289A99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ODBC</w:t>
            </w:r>
          </w:p>
        </w:tc>
        <w:tc>
          <w:tcPr>
            <w:tcW w:w="830" w:type="dxa"/>
            <w:vAlign w:val="center"/>
          </w:tcPr>
          <w:p w14:paraId="70A1B06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2037AD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C0E65B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6CF493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支持ODBC</w:t>
            </w:r>
          </w:p>
        </w:tc>
        <w:tc>
          <w:tcPr>
            <w:tcW w:w="1142" w:type="dxa"/>
            <w:vAlign w:val="center"/>
          </w:tcPr>
          <w:p w14:paraId="468C815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926ED9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52A2217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762" w:type="dxa"/>
            <w:vAlign w:val="center"/>
          </w:tcPr>
          <w:p w14:paraId="208654A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3A2EAF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JDBC</w:t>
            </w:r>
          </w:p>
        </w:tc>
        <w:tc>
          <w:tcPr>
            <w:tcW w:w="830" w:type="dxa"/>
            <w:vAlign w:val="center"/>
          </w:tcPr>
          <w:p w14:paraId="72A6CD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F46C0C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1D9801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2FF908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支持JDBC</w:t>
            </w:r>
          </w:p>
        </w:tc>
        <w:tc>
          <w:tcPr>
            <w:tcW w:w="1142" w:type="dxa"/>
            <w:vAlign w:val="center"/>
          </w:tcPr>
          <w:p w14:paraId="7C2E3C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CEA08B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44BC721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w:t>
            </w:r>
          </w:p>
        </w:tc>
        <w:tc>
          <w:tcPr>
            <w:tcW w:w="762" w:type="dxa"/>
            <w:vAlign w:val="center"/>
          </w:tcPr>
          <w:p w14:paraId="17DEFA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156E44F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交付方式</w:t>
            </w:r>
          </w:p>
        </w:tc>
        <w:tc>
          <w:tcPr>
            <w:tcW w:w="830" w:type="dxa"/>
            <w:vAlign w:val="center"/>
          </w:tcPr>
          <w:p w14:paraId="72AD0D3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913E42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40E79EB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2B94F3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以光盘、便携式移动设备、镜像文件、在线下载等交付方式提供产品交付物</w:t>
            </w:r>
          </w:p>
        </w:tc>
        <w:tc>
          <w:tcPr>
            <w:tcW w:w="1142" w:type="dxa"/>
            <w:vAlign w:val="center"/>
          </w:tcPr>
          <w:p w14:paraId="2EB1E4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0C767A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282DC3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p>
        </w:tc>
        <w:tc>
          <w:tcPr>
            <w:tcW w:w="762" w:type="dxa"/>
            <w:vAlign w:val="center"/>
          </w:tcPr>
          <w:p w14:paraId="1A82240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65DB1A7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漏洞管理</w:t>
            </w:r>
          </w:p>
        </w:tc>
        <w:tc>
          <w:tcPr>
            <w:tcW w:w="830" w:type="dxa"/>
            <w:vAlign w:val="center"/>
          </w:tcPr>
          <w:p w14:paraId="39E84F0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597F17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948169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5079919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建立漏洞管理机制，及时通过邮件、网站等方式将安全漏洞告知用户，并提供安全补丁对漏洞进行修复</w:t>
            </w:r>
          </w:p>
        </w:tc>
        <w:tc>
          <w:tcPr>
            <w:tcW w:w="1142" w:type="dxa"/>
            <w:vAlign w:val="center"/>
          </w:tcPr>
          <w:p w14:paraId="2265343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293DAD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6D66FED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w:t>
            </w:r>
          </w:p>
        </w:tc>
        <w:tc>
          <w:tcPr>
            <w:tcW w:w="762" w:type="dxa"/>
            <w:vAlign w:val="center"/>
          </w:tcPr>
          <w:p w14:paraId="1D3F451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13B86DD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身份鉴别及访问控制</w:t>
            </w:r>
          </w:p>
        </w:tc>
        <w:tc>
          <w:tcPr>
            <w:tcW w:w="830" w:type="dxa"/>
            <w:vAlign w:val="center"/>
          </w:tcPr>
          <w:p w14:paraId="56823FE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CF191A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4549E47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03BEACA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提供身份鉴别及访问控制，加解密的密码要求符合GM/T0028的相关规定</w:t>
            </w:r>
          </w:p>
        </w:tc>
        <w:tc>
          <w:tcPr>
            <w:tcW w:w="1142" w:type="dxa"/>
            <w:vAlign w:val="center"/>
          </w:tcPr>
          <w:p w14:paraId="03A2E6F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CEAD49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34" w:type="dxa"/>
            <w:vAlign w:val="center"/>
          </w:tcPr>
          <w:p w14:paraId="1C5C83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w:t>
            </w:r>
          </w:p>
        </w:tc>
        <w:tc>
          <w:tcPr>
            <w:tcW w:w="762" w:type="dxa"/>
            <w:vAlign w:val="center"/>
          </w:tcPr>
          <w:p w14:paraId="1389AD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731" w:type="dxa"/>
            <w:vAlign w:val="center"/>
          </w:tcPr>
          <w:p w14:paraId="1C72173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830" w:type="dxa"/>
            <w:vAlign w:val="center"/>
          </w:tcPr>
          <w:p w14:paraId="43951E8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F24614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70B5B8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62" w:type="dxa"/>
            <w:vAlign w:val="center"/>
          </w:tcPr>
          <w:p w14:paraId="09CD05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应当符合安全可靠测评要求（通过政府有关部门指定的中国信息安全测评中心和国家保密科技测评中心网站查看安全可靠测评结果）。供应商响应时需提供中国信息安全测评中心或国家保密科技测评中心网站有响应产品通过页面的截图（截图应清晰完整，可多页）</w:t>
            </w:r>
          </w:p>
        </w:tc>
        <w:tc>
          <w:tcPr>
            <w:tcW w:w="1142" w:type="dxa"/>
            <w:vAlign w:val="center"/>
          </w:tcPr>
          <w:p w14:paraId="44E9178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bl>
    <w:p w14:paraId="72F3947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交货期限：自合同签订之日起30天，采购人和供应商在第二阶段有特殊约定的除外。</w:t>
      </w:r>
    </w:p>
    <w:p w14:paraId="62D8287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交货的地域范围： 四川省范围内送货上门</w:t>
      </w:r>
    </w:p>
    <w:p w14:paraId="68413BD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包装方式及运输：</w:t>
      </w:r>
    </w:p>
    <w:p w14:paraId="3D25DFE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113524C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14:paraId="259D31D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（1）延期服务收费标准:服务期1年，过服务期后，提供延期服务，其收费标准每年不高于投标报价的20%。</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（2）产品维护周期：产品自发布之日起至产品停止功能升级（包含不限于新特性、新硬件支持、问题修复、安全补丁等）之日止≥5年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（3）产品延伸服务周期：产品停止功能升级之日起至产品停止功能维护（包括问题修复、安全补丁等）之日止≥4年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（4）产品延伸安全服务周期：产品功能维护停止之日起至产品停止安全维护（包括中高风险漏洞修复）之日止≥2年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（5）售后服务最小保障期：自销售之日起，产品售后服务周期≥6年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（6）供应链与服务保障基础要求：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a)提供多种形式支持服务，包含电话、电子邮件、远程连接等；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b)提供技术支持服务，支持同城4h、异地12h响应要求，两个工作日解决问题，对于未能解决的问题和故障提供可行的升级方案；</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c)提供培训材料、产品手册、培训视频等培训相关内容；</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d)建立全国技术服务体系和服务团队，符合专业服务体系标准要求，提供原厂中文服务；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e)服务周期内支持版本免费升级；</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f)开源产品对获得的社区源代码进行安全性和知识产权审查与管理；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g)提供数据库参数、慢SQL语句的性能优化指南，包含性能优化的具体措施、技巧、案例及建议等</w:t>
      </w:r>
    </w:p>
    <w:p w14:paraId="37FFD5A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4.最高限价（元）： 100,000.00 ，大写（人民币）： 壹拾万元整</w:t>
      </w:r>
    </w:p>
    <w:p w14:paraId="25F3C14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5.配套的必要耗材、配件报价、约定期限：</w:t>
      </w:r>
    </w:p>
    <w:p w14:paraId="18774AC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0D17E42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6.量价关系折扣：</w:t>
      </w:r>
    </w:p>
    <w:p w14:paraId="6ABFF0C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是否含有量价关系折扣：否</w:t>
      </w:r>
    </w:p>
    <w:p w14:paraId="37246AC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7.产品升级换代规则：</w:t>
      </w:r>
    </w:p>
    <w:p w14:paraId="5BB8991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本项目 支持 入围供应商对已入围产品进行升级换代。</w:t>
      </w:r>
    </w:p>
    <w:p w14:paraId="52CCAD1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性能不降低、价格不提高的前提下，入围供应商可以用新产品替换原入围产品；在框架协议期限内，每半年进行一次产品升级换代申请审核。注：供应商在提交产品升级换代申请时，须提供产品升级换代承诺函。</w:t>
      </w:r>
    </w:p>
    <w:p w14:paraId="3508CA2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2DEF6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DDD54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38" w:type="dxa"/>
          </w:tcPr>
          <w:p w14:paraId="27A9D56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153" w:type="dxa"/>
          </w:tcPr>
          <w:p w14:paraId="1495C22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3B64B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32C68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38" w:type="dxa"/>
          </w:tcPr>
          <w:p w14:paraId="4163C75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tc>
        <w:tc>
          <w:tcPr>
            <w:tcW w:w="4153" w:type="dxa"/>
          </w:tcPr>
          <w:p w14:paraId="2BB874F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6EB93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CD547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38" w:type="dxa"/>
          </w:tcPr>
          <w:p w14:paraId="19EFC6B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w:t>
            </w:r>
          </w:p>
        </w:tc>
        <w:tc>
          <w:tcPr>
            <w:tcW w:w="4153" w:type="dxa"/>
          </w:tcPr>
          <w:p w14:paraId="17BF8E0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1B9AC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7169B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38" w:type="dxa"/>
          </w:tcPr>
          <w:p w14:paraId="350DAFC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具有健全的财务会计制度。</w:t>
            </w:r>
          </w:p>
        </w:tc>
        <w:tc>
          <w:tcPr>
            <w:tcW w:w="4153" w:type="dxa"/>
          </w:tcPr>
          <w:p w14:paraId="010F5BE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根据自身情况选择提供其中任意一项：（1）可提供（2023年或2024年）任一年度经审计的财务报告（包含审计报告和审计报告中所涉及的财务报表和报表附注）；（2）可提供（2023年或2024年）任一年度供应商财务报表（至少包括资产负债表、利润表、现金流量表）；（3）可提供截至响应文件提交截止日一年内银行出具的资信证明；（4）供应商注册时间截至响应文件提交截止日不足一年的，也可提供在工商管理部门备案的公司章程。</w:t>
            </w:r>
          </w:p>
        </w:tc>
      </w:tr>
      <w:tr w14:paraId="5C23A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39D52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38" w:type="dxa"/>
          </w:tcPr>
          <w:p w14:paraId="72FD73B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tc>
        <w:tc>
          <w:tcPr>
            <w:tcW w:w="4153" w:type="dxa"/>
          </w:tcPr>
          <w:p w14:paraId="1AD2C7C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0122E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359EB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38" w:type="dxa"/>
          </w:tcPr>
          <w:p w14:paraId="3769486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tc>
        <w:tc>
          <w:tcPr>
            <w:tcW w:w="4153" w:type="dxa"/>
          </w:tcPr>
          <w:p w14:paraId="497ED86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41EBC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FBF1B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38" w:type="dxa"/>
          </w:tcPr>
          <w:p w14:paraId="26C465F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4153" w:type="dxa"/>
          </w:tcPr>
          <w:p w14:paraId="759FF07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06D7C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FF681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38" w:type="dxa"/>
          </w:tcPr>
          <w:p w14:paraId="3D8F452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法律、行政法规规定的其它条件。</w:t>
            </w:r>
          </w:p>
        </w:tc>
        <w:tc>
          <w:tcPr>
            <w:tcW w:w="4153" w:type="dxa"/>
          </w:tcPr>
          <w:p w14:paraId="6540F2B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69231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07112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738" w:type="dxa"/>
          </w:tcPr>
          <w:p w14:paraId="48AE46B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不存在与单位负责人为同一人或者存在直接控股、管理关系的其他供应商参与同一合同项下的政府采购活动的行为。</w:t>
            </w:r>
          </w:p>
        </w:tc>
        <w:tc>
          <w:tcPr>
            <w:tcW w:w="4153" w:type="dxa"/>
          </w:tcPr>
          <w:p w14:paraId="3F2E7B5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69617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512A3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738" w:type="dxa"/>
          </w:tcPr>
          <w:p w14:paraId="7BC9884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不属于为本项目提供整体设计、规范编制或者项目管理、监理、检测等服务的供应商。</w:t>
            </w:r>
          </w:p>
        </w:tc>
        <w:tc>
          <w:tcPr>
            <w:tcW w:w="4153" w:type="dxa"/>
          </w:tcPr>
          <w:p w14:paraId="259D715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2CE9D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1395A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738" w:type="dxa"/>
          </w:tcPr>
          <w:p w14:paraId="0331756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生产厂家或者生产厂家唯一授权供应商的证明材料。</w:t>
            </w:r>
          </w:p>
        </w:tc>
        <w:tc>
          <w:tcPr>
            <w:tcW w:w="4153" w:type="dxa"/>
          </w:tcPr>
          <w:p w14:paraId="799ADB1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如是生产厂家，应当在响应文件中上传响应产品品牌的《商标注册证》的原件扫描件并进行电子签章。具体要求如下：①《商标注册证》中的注册人应与生产厂家名称一致或提供注册人授权生产厂家使用商标许可的证明材料，如因注册人工商登记信息发生变更导致名称不一致的，需提供市场监管部门变更登记的证明材料；②《商标注册证》核定使用商品分类应包括本次响应产品对应分类；③提交响应文件时，《商标注册证》应在有效期内，入围后生产厂家应确保在框架协议生效期间《商标注册证》有效。2) 供应商如是生产厂家唯一授权供应商，应当在响应文件中除提供上述要求的证明材料（加盖生产厂家公章）外，还应提供响应产品品牌的生产厂家出具的唯一授权书扫描件（加盖生产厂家公章）。授权书应当明确授权时间（授权时间至少应包含本次框架协议期限）、产品范围、代理区域（四川省），并承诺在本次封闭式框架协议征集及补充征集期间不更换唯一授权供应商。</w:t>
            </w:r>
          </w:p>
        </w:tc>
      </w:tr>
    </w:tbl>
    <w:p w14:paraId="58B3CE4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719ED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34B0A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738" w:type="dxa"/>
          </w:tcPr>
          <w:p w14:paraId="73D9FB4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资格要求名称</w:t>
            </w:r>
          </w:p>
        </w:tc>
        <w:tc>
          <w:tcPr>
            <w:tcW w:w="4153" w:type="dxa"/>
          </w:tcPr>
          <w:p w14:paraId="0054543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资格要求详细说明</w:t>
            </w:r>
          </w:p>
        </w:tc>
      </w:tr>
      <w:tr w14:paraId="41A7A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1DD80BD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378CE49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10.入围供应商评审方法：价格优先法</w:t>
      </w:r>
    </w:p>
    <w:p w14:paraId="1560B9F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11.入围供应商淘汰率：</w:t>
      </w:r>
    </w:p>
    <w:p w14:paraId="0A6B59D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本项目征集入围供应商 ，淘汰比例为 20.00%，淘汰供应商按照向上取整进行取整，且至少淘汰 1家供应商。</w:t>
      </w:r>
    </w:p>
    <w:p w14:paraId="194C446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12.分包的评审条款：</w:t>
      </w:r>
    </w:p>
    <w:p w14:paraId="74CF076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w:t>
      </w:r>
    </w:p>
    <w:p w14:paraId="0CE5323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是指对满足采购需求且响应报价不超过最高限制单价的货物，按照响应报价从低到高排序。评审委员会根据本项目（采购包）征集文件规定的淘汰率或者入围供应商数量上限，确定入围供应商名单。具体流程如下：</w:t>
      </w:r>
    </w:p>
    <w:p w14:paraId="47038D1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1）评审委员会按淘汰率计算得出淘汰供应商数量，即淘汰供应商数量=有效报价供应商数量*淘汰率。计算出的淘汰供应商数量存在小数的，按照向上取整的原则，确定需要淘汰供应商的数量；</w:t>
      </w:r>
    </w:p>
    <w:p w14:paraId="6AFFD44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2）基于按淘汰率计算得出的淘汰供应商数量，根据入围供应商数量上限，确定还需淘汰供应商的数量，最终确定淘汰供应商的总数；</w:t>
      </w:r>
    </w:p>
    <w:p w14:paraId="4489BFF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3）根据最终确定淘汰供应商总数，按评审排序进行淘汰后，确定入围名单。如在排名并列的供应商中仍需淘汰一定数量供应商的，则在并列供应商中通过随机抽取确定相应数量入围供应商后，剩余供应商淘汰；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3"/>
        <w:gridCol w:w="2415"/>
        <w:gridCol w:w="936"/>
        <w:gridCol w:w="3448"/>
      </w:tblGrid>
      <w:tr w14:paraId="0FB36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444653E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423" w:type="dxa"/>
          </w:tcPr>
          <w:p w14:paraId="48D0DCD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评审因素</w:t>
            </w:r>
          </w:p>
        </w:tc>
        <w:tc>
          <w:tcPr>
            <w:tcW w:w="692" w:type="dxa"/>
          </w:tcPr>
          <w:p w14:paraId="251BF25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扣除比例%</w:t>
            </w:r>
          </w:p>
        </w:tc>
        <w:tc>
          <w:tcPr>
            <w:tcW w:w="3461" w:type="dxa"/>
          </w:tcPr>
          <w:p w14:paraId="4322C54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评审标准</w:t>
            </w:r>
          </w:p>
        </w:tc>
      </w:tr>
      <w:tr w14:paraId="515B9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1A80279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23" w:type="dxa"/>
          </w:tcPr>
          <w:p w14:paraId="3E3B734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692" w:type="dxa"/>
          </w:tcPr>
          <w:p w14:paraId="02757298">
            <w:pPr>
              <w:pStyle w:val="4"/>
              <w:keepNext w:val="0"/>
              <w:keepLines w:val="0"/>
              <w:pageBreakBefore w:val="0"/>
              <w:kinsoku/>
              <w:wordWrap/>
              <w:overflowPunct/>
              <w:topLinePunct w:val="0"/>
              <w:autoSpaceDE/>
              <w:autoSpaceDN/>
              <w:bidi w:val="0"/>
              <w:adjustRightInd/>
              <w:snapToGrid/>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3461" w:type="dxa"/>
          </w:tcPr>
          <w:p w14:paraId="0855DD5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对提供的全部货物制造商属于小型和微型企业的投标人的投标报价给予相应百分比的扣除，用扣除后的价格参与评审。残疾人福利性单位视同小型、微型企业，享受同等价格扣除，但同时属于残疾人福利性单位和小微企业的，不重复价格扣除。</w:t>
            </w:r>
          </w:p>
        </w:tc>
      </w:tr>
    </w:tbl>
    <w:p w14:paraId="58A510D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13.价格权重：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5707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F8E9A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权重项编号</w:t>
            </w:r>
          </w:p>
        </w:tc>
        <w:tc>
          <w:tcPr>
            <w:tcW w:w="2769" w:type="dxa"/>
          </w:tcPr>
          <w:p w14:paraId="2DB9714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w:t>
            </w:r>
          </w:p>
        </w:tc>
        <w:tc>
          <w:tcPr>
            <w:tcW w:w="2769" w:type="dxa"/>
          </w:tcPr>
          <w:p w14:paraId="1174C4E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权重值</w:t>
            </w:r>
          </w:p>
        </w:tc>
      </w:tr>
      <w:tr w14:paraId="60D90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C83A6C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69" w:type="dxa"/>
          </w:tcPr>
          <w:p w14:paraId="76AFF0D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标的价格</w:t>
            </w:r>
          </w:p>
        </w:tc>
        <w:tc>
          <w:tcPr>
            <w:tcW w:w="2769" w:type="dxa"/>
          </w:tcPr>
          <w:p w14:paraId="6CB8E03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w:t>
            </w:r>
          </w:p>
        </w:tc>
      </w:tr>
    </w:tbl>
    <w:p w14:paraId="4A3B4C8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14.第二阶段成交供应商的方式：直接选定/二次竞价</w:t>
      </w:r>
    </w:p>
    <w:p w14:paraId="0B7ED00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单次采购20万元以下（不含20万）的采用直接选定或者二次竞价，20万元以上（含20万）的采用二次竞价。</w:t>
      </w:r>
    </w:p>
    <w:p w14:paraId="59E4058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15.资金支付方式、时间和条件：</w:t>
      </w:r>
    </w:p>
    <w:p w14:paraId="702DDBE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支付方式：一次性付款或分期付款</w:t>
      </w:r>
    </w:p>
    <w:p w14:paraId="1FD004B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 支付时间和条件：对于满足合同约定支付条件的，采购人应当自收到发票后10个工作日内将资金支付到合同约定的供应商账户。采购人和供应商在第二阶段有特殊约定的除外。</w:t>
      </w:r>
    </w:p>
    <w:p w14:paraId="7AE3C4D7">
      <w:pPr>
        <w:pStyle w:val="4"/>
        <w:keepNext w:val="0"/>
        <w:keepLines w:val="0"/>
        <w:pageBreakBefore w:val="0"/>
        <w:kinsoku/>
        <w:wordWrap/>
        <w:overflowPunct/>
        <w:topLinePunct w:val="0"/>
        <w:autoSpaceDE/>
        <w:autoSpaceDN/>
        <w:bidi w:val="0"/>
        <w:adjustRightInd/>
        <w:snapToGrid/>
        <w:ind w:firstLine="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（三）分包名称：包3</w:t>
      </w:r>
    </w:p>
    <w:p w14:paraId="729E56B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1.采购标的：中间件</w:t>
      </w:r>
    </w:p>
    <w:p w14:paraId="3EDD0A6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2.需求明细：</w:t>
      </w:r>
    </w:p>
    <w:p w14:paraId="01281AE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1）标的名称：应用中间件</w:t>
      </w:r>
    </w:p>
    <w:p w14:paraId="09A639E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2）计量单位：套</w:t>
      </w:r>
    </w:p>
    <w:p w14:paraId="79FE6F7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3）是否强制采购节能产品： 否</w:t>
      </w:r>
    </w:p>
    <w:p w14:paraId="40F6026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4）是否优先采购节能环保产品： 否</w:t>
      </w:r>
    </w:p>
    <w:p w14:paraId="0A377CE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5）是否采购进口产品： 否</w:t>
      </w:r>
    </w:p>
    <w:p w14:paraId="126D819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6）标的物所属行业：软件和信息技术服务业</w:t>
      </w:r>
    </w:p>
    <w:p w14:paraId="6F918B3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3.拟采购标的的技术要求：</w:t>
      </w:r>
    </w:p>
    <w:tbl>
      <w:tblPr>
        <w:tblStyle w:val="2"/>
        <w:tblW w:w="10408" w:type="dxa"/>
        <w:tblInd w:w="-1030"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70"/>
        <w:gridCol w:w="830"/>
        <w:gridCol w:w="2447"/>
        <w:gridCol w:w="900"/>
        <w:gridCol w:w="750"/>
        <w:gridCol w:w="761"/>
        <w:gridCol w:w="2873"/>
        <w:gridCol w:w="1177"/>
      </w:tblGrid>
      <w:tr w14:paraId="386D141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59ED962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30" w:type="dxa"/>
            <w:vAlign w:val="center"/>
          </w:tcPr>
          <w:p w14:paraId="0B1A7F4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c>
          <w:tcPr>
            <w:tcW w:w="2447" w:type="dxa"/>
            <w:vAlign w:val="center"/>
          </w:tcPr>
          <w:p w14:paraId="1F5666F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tc>
        <w:tc>
          <w:tcPr>
            <w:tcW w:w="900" w:type="dxa"/>
            <w:vAlign w:val="center"/>
          </w:tcPr>
          <w:p w14:paraId="1D4B095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750" w:type="dxa"/>
            <w:vAlign w:val="center"/>
          </w:tcPr>
          <w:p w14:paraId="2EA6A4F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参数符号</w:t>
            </w:r>
          </w:p>
        </w:tc>
        <w:tc>
          <w:tcPr>
            <w:tcW w:w="761" w:type="dxa"/>
            <w:vAlign w:val="center"/>
          </w:tcPr>
          <w:p w14:paraId="6510AC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参数值规则</w:t>
            </w:r>
          </w:p>
        </w:tc>
        <w:tc>
          <w:tcPr>
            <w:tcW w:w="2873" w:type="dxa"/>
            <w:vAlign w:val="center"/>
          </w:tcPr>
          <w:p w14:paraId="528FDBC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w:t>
            </w:r>
          </w:p>
        </w:tc>
        <w:tc>
          <w:tcPr>
            <w:tcW w:w="1177" w:type="dxa"/>
            <w:vAlign w:val="center"/>
          </w:tcPr>
          <w:p w14:paraId="626B4C1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参数值偏离规则</w:t>
            </w:r>
          </w:p>
        </w:tc>
      </w:tr>
      <w:tr w14:paraId="4428C8E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3E6F12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30" w:type="dxa"/>
            <w:vAlign w:val="center"/>
          </w:tcPr>
          <w:p w14:paraId="1718AA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功能</w:t>
            </w:r>
          </w:p>
        </w:tc>
        <w:tc>
          <w:tcPr>
            <w:tcW w:w="2447" w:type="dxa"/>
            <w:vAlign w:val="center"/>
          </w:tcPr>
          <w:p w14:paraId="12905B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分类</w:t>
            </w:r>
          </w:p>
        </w:tc>
        <w:tc>
          <w:tcPr>
            <w:tcW w:w="900" w:type="dxa"/>
            <w:vAlign w:val="center"/>
          </w:tcPr>
          <w:p w14:paraId="44DA820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5E2B0D2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4EE7CC4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373C0E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应用中间件</w:t>
            </w:r>
          </w:p>
        </w:tc>
        <w:tc>
          <w:tcPr>
            <w:tcW w:w="1177" w:type="dxa"/>
            <w:vAlign w:val="center"/>
          </w:tcPr>
          <w:p w14:paraId="5F6D20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F30601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3930B6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30" w:type="dxa"/>
            <w:vAlign w:val="center"/>
          </w:tcPr>
          <w:p w14:paraId="248ACA4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5FD8E5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集群的集中管理</w:t>
            </w:r>
          </w:p>
        </w:tc>
        <w:tc>
          <w:tcPr>
            <w:tcW w:w="900" w:type="dxa"/>
            <w:vAlign w:val="center"/>
          </w:tcPr>
          <w:p w14:paraId="753D857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7EAFCD6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2B5B320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3249582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177" w:type="dxa"/>
            <w:vAlign w:val="center"/>
          </w:tcPr>
          <w:p w14:paraId="211727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EB64C8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2BC25CE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30" w:type="dxa"/>
            <w:vAlign w:val="center"/>
          </w:tcPr>
          <w:p w14:paraId="3F4C28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29331A4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Session复制技术</w:t>
            </w:r>
          </w:p>
        </w:tc>
        <w:tc>
          <w:tcPr>
            <w:tcW w:w="900" w:type="dxa"/>
            <w:vAlign w:val="center"/>
          </w:tcPr>
          <w:p w14:paraId="04A6907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3392CE1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483E675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0EA653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支持配对复制和全复制</w:t>
            </w:r>
          </w:p>
        </w:tc>
        <w:tc>
          <w:tcPr>
            <w:tcW w:w="1177" w:type="dxa"/>
            <w:vAlign w:val="center"/>
          </w:tcPr>
          <w:p w14:paraId="35750D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4734AC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7E91E9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30" w:type="dxa"/>
            <w:vAlign w:val="center"/>
          </w:tcPr>
          <w:p w14:paraId="6B0CD0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55862A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禁用SSLv2,SSLv3有漏洞的安全协议</w:t>
            </w:r>
          </w:p>
        </w:tc>
        <w:tc>
          <w:tcPr>
            <w:tcW w:w="900" w:type="dxa"/>
            <w:vAlign w:val="center"/>
          </w:tcPr>
          <w:p w14:paraId="2D80C68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36EF3A7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305DB4D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5870B09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177" w:type="dxa"/>
            <w:vAlign w:val="center"/>
          </w:tcPr>
          <w:p w14:paraId="383C6FB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247954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57AADD7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30" w:type="dxa"/>
            <w:vAlign w:val="center"/>
          </w:tcPr>
          <w:p w14:paraId="14EFA1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2CA7A36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防止XSS攻击功能</w:t>
            </w:r>
          </w:p>
        </w:tc>
        <w:tc>
          <w:tcPr>
            <w:tcW w:w="900" w:type="dxa"/>
            <w:vAlign w:val="center"/>
          </w:tcPr>
          <w:p w14:paraId="5E06708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0969B5B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1E61117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3F681B3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177" w:type="dxa"/>
            <w:vAlign w:val="center"/>
          </w:tcPr>
          <w:p w14:paraId="72480C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D432D7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490200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830" w:type="dxa"/>
            <w:vAlign w:val="center"/>
          </w:tcPr>
          <w:p w14:paraId="03DA21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45B2643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访问过滤配置功能</w:t>
            </w:r>
          </w:p>
        </w:tc>
        <w:tc>
          <w:tcPr>
            <w:tcW w:w="900" w:type="dxa"/>
            <w:vAlign w:val="center"/>
          </w:tcPr>
          <w:p w14:paraId="7974580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27831B6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54502D1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7C39A4C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177" w:type="dxa"/>
            <w:vAlign w:val="center"/>
          </w:tcPr>
          <w:p w14:paraId="562E45F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09926C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6061703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830" w:type="dxa"/>
            <w:vAlign w:val="center"/>
          </w:tcPr>
          <w:p w14:paraId="66F1EC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451713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内置原生的负载均衡器</w:t>
            </w:r>
          </w:p>
        </w:tc>
        <w:tc>
          <w:tcPr>
            <w:tcW w:w="900" w:type="dxa"/>
            <w:vAlign w:val="center"/>
          </w:tcPr>
          <w:p w14:paraId="4B2D3A8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19C7B6F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35272DD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09FD72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177" w:type="dxa"/>
            <w:vAlign w:val="center"/>
          </w:tcPr>
          <w:p w14:paraId="7C2046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B865A2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74B94A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830" w:type="dxa"/>
            <w:vAlign w:val="center"/>
          </w:tcPr>
          <w:p w14:paraId="78D0BD5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52A629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通讯协议</w:t>
            </w:r>
          </w:p>
        </w:tc>
        <w:tc>
          <w:tcPr>
            <w:tcW w:w="900" w:type="dxa"/>
            <w:vAlign w:val="center"/>
          </w:tcPr>
          <w:p w14:paraId="6123CD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2D25ABA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5B57FAC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0E8FB7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支持HTTP2.0协议</w:t>
            </w:r>
          </w:p>
        </w:tc>
        <w:tc>
          <w:tcPr>
            <w:tcW w:w="1177" w:type="dxa"/>
            <w:vAlign w:val="center"/>
          </w:tcPr>
          <w:p w14:paraId="0E1FD66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B893A4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0679FFD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830" w:type="dxa"/>
            <w:vAlign w:val="center"/>
          </w:tcPr>
          <w:p w14:paraId="59D79F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396317D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JMS功能</w:t>
            </w:r>
          </w:p>
        </w:tc>
        <w:tc>
          <w:tcPr>
            <w:tcW w:w="900" w:type="dxa"/>
            <w:vAlign w:val="center"/>
          </w:tcPr>
          <w:p w14:paraId="5B3FF1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4C59DC3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367EB0D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7CE5A1B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支持将第三方消息中间件作为消息服务代理</w:t>
            </w:r>
          </w:p>
        </w:tc>
        <w:tc>
          <w:tcPr>
            <w:tcW w:w="1177" w:type="dxa"/>
            <w:vAlign w:val="center"/>
          </w:tcPr>
          <w:p w14:paraId="21AFA6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3C370E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137EE8B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830" w:type="dxa"/>
            <w:vAlign w:val="center"/>
          </w:tcPr>
          <w:p w14:paraId="1C0D6DE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1BFE19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数据库支持</w:t>
            </w:r>
          </w:p>
        </w:tc>
        <w:tc>
          <w:tcPr>
            <w:tcW w:w="900" w:type="dxa"/>
            <w:vAlign w:val="center"/>
          </w:tcPr>
          <w:p w14:paraId="64CF9C0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48F4F62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7B9D0A3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1F250BC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支持多种主流数据库系统</w:t>
            </w:r>
          </w:p>
        </w:tc>
        <w:tc>
          <w:tcPr>
            <w:tcW w:w="1177" w:type="dxa"/>
            <w:vAlign w:val="center"/>
          </w:tcPr>
          <w:p w14:paraId="588C53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1ED619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00A3C0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830" w:type="dxa"/>
            <w:vAlign w:val="center"/>
          </w:tcPr>
          <w:p w14:paraId="10B37C0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5FA5D86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容器功能</w:t>
            </w:r>
          </w:p>
        </w:tc>
        <w:tc>
          <w:tcPr>
            <w:tcW w:w="900" w:type="dxa"/>
            <w:vAlign w:val="center"/>
          </w:tcPr>
          <w:p w14:paraId="54FD4DB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4FF4D9C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4F09648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29B1B96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提供完整的 Web 容器、EJB 容器、EJB 实例池、JDBC 连接池和 Web Service支持</w:t>
            </w:r>
          </w:p>
        </w:tc>
        <w:tc>
          <w:tcPr>
            <w:tcW w:w="1177" w:type="dxa"/>
            <w:vAlign w:val="center"/>
          </w:tcPr>
          <w:p w14:paraId="5E15C0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A0E172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54EFDC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830" w:type="dxa"/>
            <w:vAlign w:val="center"/>
          </w:tcPr>
          <w:p w14:paraId="7684F2B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4293BE2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标准规范</w:t>
            </w:r>
          </w:p>
        </w:tc>
        <w:tc>
          <w:tcPr>
            <w:tcW w:w="900" w:type="dxa"/>
            <w:vAlign w:val="center"/>
          </w:tcPr>
          <w:p w14:paraId="5B6DF43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46EC17C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6C35872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12BC247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支持并通过JavaEE8.0以上认证，并向下兼容</w:t>
            </w:r>
          </w:p>
        </w:tc>
        <w:tc>
          <w:tcPr>
            <w:tcW w:w="1177" w:type="dxa"/>
            <w:vAlign w:val="center"/>
          </w:tcPr>
          <w:p w14:paraId="027A7A9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42A19A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210BD0C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830" w:type="dxa"/>
            <w:vAlign w:val="center"/>
          </w:tcPr>
          <w:p w14:paraId="61E230A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64C9734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支持提供C、C++、C#、java、WINAPI等任一种接口以满足开发需要</w:t>
            </w:r>
          </w:p>
        </w:tc>
        <w:tc>
          <w:tcPr>
            <w:tcW w:w="900" w:type="dxa"/>
            <w:vAlign w:val="center"/>
          </w:tcPr>
          <w:p w14:paraId="7C9BBF1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7D455CD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413D0DE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6C438FB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177" w:type="dxa"/>
            <w:vAlign w:val="center"/>
          </w:tcPr>
          <w:p w14:paraId="3D8E12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64D00C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34149EB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830" w:type="dxa"/>
            <w:vAlign w:val="center"/>
          </w:tcPr>
          <w:p w14:paraId="75EABA5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59B701E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日志功能：提供完整的日志功能，通过日志可以查看系统的运行情况，并可以排除系统中出现的错误</w:t>
            </w:r>
          </w:p>
        </w:tc>
        <w:tc>
          <w:tcPr>
            <w:tcW w:w="900" w:type="dxa"/>
            <w:vAlign w:val="center"/>
          </w:tcPr>
          <w:p w14:paraId="7E426ED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4F231FF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7A973F2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28BA1C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177" w:type="dxa"/>
            <w:vAlign w:val="center"/>
          </w:tcPr>
          <w:p w14:paraId="2414AF7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6BF503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58BB3FD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830" w:type="dxa"/>
            <w:vAlign w:val="center"/>
          </w:tcPr>
          <w:p w14:paraId="3202A21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19F633A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远程管理</w:t>
            </w:r>
          </w:p>
        </w:tc>
        <w:tc>
          <w:tcPr>
            <w:tcW w:w="900" w:type="dxa"/>
            <w:vAlign w:val="center"/>
          </w:tcPr>
          <w:p w14:paraId="29638DF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22A6CA3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4F61E0E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6DADD7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支持具备标准的B/S模式管理控制台，可对远程的应用服务器环境进行应用部署、管理维护和监控</w:t>
            </w:r>
          </w:p>
        </w:tc>
        <w:tc>
          <w:tcPr>
            <w:tcW w:w="1177" w:type="dxa"/>
            <w:vAlign w:val="center"/>
          </w:tcPr>
          <w:p w14:paraId="57099BA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EF0617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0D580F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830" w:type="dxa"/>
            <w:vAlign w:val="center"/>
          </w:tcPr>
          <w:p w14:paraId="7C91104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792C869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支持快速部署到容器云环境</w:t>
            </w:r>
          </w:p>
        </w:tc>
        <w:tc>
          <w:tcPr>
            <w:tcW w:w="900" w:type="dxa"/>
            <w:vAlign w:val="center"/>
          </w:tcPr>
          <w:p w14:paraId="7B6DAFB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0180D1D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7D6F577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0A72F1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177" w:type="dxa"/>
            <w:vAlign w:val="center"/>
          </w:tcPr>
          <w:p w14:paraId="5B4DBCE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2C9327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164E976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830" w:type="dxa"/>
            <w:vAlign w:val="center"/>
          </w:tcPr>
          <w:p w14:paraId="07ACB80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1C4A62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中文手册</w:t>
            </w:r>
          </w:p>
        </w:tc>
        <w:tc>
          <w:tcPr>
            <w:tcW w:w="900" w:type="dxa"/>
            <w:vAlign w:val="center"/>
          </w:tcPr>
          <w:p w14:paraId="0C9C58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00E0B7C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3B476C9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2C2C57D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供应商供货时应提供完整的中文产品说明、使用手册、维护手册等使用、开发、运维过程中的必要文件，应有随安装产品版本的对应电子版，不得以网上在线资料、开源资料代替。</w:t>
            </w:r>
          </w:p>
        </w:tc>
        <w:tc>
          <w:tcPr>
            <w:tcW w:w="1177" w:type="dxa"/>
            <w:vAlign w:val="center"/>
          </w:tcPr>
          <w:p w14:paraId="5E9F29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050DB8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51D51AE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830" w:type="dxa"/>
            <w:vAlign w:val="center"/>
          </w:tcPr>
          <w:p w14:paraId="3DDDBBE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340609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集群功能</w:t>
            </w:r>
          </w:p>
        </w:tc>
        <w:tc>
          <w:tcPr>
            <w:tcW w:w="900" w:type="dxa"/>
            <w:vAlign w:val="center"/>
          </w:tcPr>
          <w:p w14:paraId="1469E5E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4924A7E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731D40F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6E387E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177" w:type="dxa"/>
            <w:vAlign w:val="center"/>
          </w:tcPr>
          <w:p w14:paraId="1590048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3CCD4C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3BF845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830" w:type="dxa"/>
            <w:vAlign w:val="center"/>
          </w:tcPr>
          <w:p w14:paraId="03D60EE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112EA77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安全架构</w:t>
            </w:r>
          </w:p>
        </w:tc>
        <w:tc>
          <w:tcPr>
            <w:tcW w:w="900" w:type="dxa"/>
            <w:vAlign w:val="center"/>
          </w:tcPr>
          <w:p w14:paraId="75F090D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7ABE958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6B36264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2E33AC4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177" w:type="dxa"/>
            <w:vAlign w:val="center"/>
          </w:tcPr>
          <w:p w14:paraId="7D609B0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E02247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6A592E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830" w:type="dxa"/>
            <w:vAlign w:val="center"/>
          </w:tcPr>
          <w:p w14:paraId="5275EF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5CEE27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扩展能力</w:t>
            </w:r>
          </w:p>
        </w:tc>
        <w:tc>
          <w:tcPr>
            <w:tcW w:w="900" w:type="dxa"/>
            <w:vAlign w:val="center"/>
          </w:tcPr>
          <w:p w14:paraId="1B203B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7168297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2D6BCC8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7614BD8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177" w:type="dxa"/>
            <w:vAlign w:val="center"/>
          </w:tcPr>
          <w:p w14:paraId="7C3FF9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7FE0A8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414F364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830" w:type="dxa"/>
            <w:vAlign w:val="center"/>
          </w:tcPr>
          <w:p w14:paraId="73F849F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334FFC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提供监控接口功能</w:t>
            </w:r>
          </w:p>
        </w:tc>
        <w:tc>
          <w:tcPr>
            <w:tcW w:w="900" w:type="dxa"/>
            <w:vAlign w:val="center"/>
          </w:tcPr>
          <w:p w14:paraId="1D13FF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2084AA7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5AF6354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511294A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177" w:type="dxa"/>
            <w:vAlign w:val="center"/>
          </w:tcPr>
          <w:p w14:paraId="00E8C0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85E642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578AF87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830" w:type="dxa"/>
            <w:vAlign w:val="center"/>
          </w:tcPr>
          <w:p w14:paraId="1DAF734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24E377B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应支持通过安全可靠测评的CPU芯片、操作系统、数据库</w:t>
            </w:r>
          </w:p>
        </w:tc>
        <w:tc>
          <w:tcPr>
            <w:tcW w:w="900" w:type="dxa"/>
            <w:vAlign w:val="center"/>
          </w:tcPr>
          <w:p w14:paraId="1CB49E9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55EFD3B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0B9801D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19C14E7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177" w:type="dxa"/>
            <w:vAlign w:val="center"/>
          </w:tcPr>
          <w:p w14:paraId="484346F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8BDCD4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6A0804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830" w:type="dxa"/>
            <w:vAlign w:val="center"/>
          </w:tcPr>
          <w:p w14:paraId="709567B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12A01CA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提供监控管理接口功能</w:t>
            </w:r>
          </w:p>
        </w:tc>
        <w:tc>
          <w:tcPr>
            <w:tcW w:w="900" w:type="dxa"/>
            <w:vAlign w:val="center"/>
          </w:tcPr>
          <w:p w14:paraId="1C238A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62190F4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4C55FD8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4E231E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177" w:type="dxa"/>
            <w:vAlign w:val="center"/>
          </w:tcPr>
          <w:p w14:paraId="5BC685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F3AFB3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14:paraId="0523A9E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830" w:type="dxa"/>
            <w:vAlign w:val="center"/>
          </w:tcPr>
          <w:p w14:paraId="3AD5060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447" w:type="dxa"/>
            <w:vAlign w:val="center"/>
          </w:tcPr>
          <w:p w14:paraId="47F106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支持主流的Unix、Linux等操作系统</w:t>
            </w:r>
          </w:p>
        </w:tc>
        <w:tc>
          <w:tcPr>
            <w:tcW w:w="900" w:type="dxa"/>
            <w:vAlign w:val="center"/>
          </w:tcPr>
          <w:p w14:paraId="1B5F8C5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50" w:type="dxa"/>
            <w:vAlign w:val="center"/>
          </w:tcPr>
          <w:p w14:paraId="5479D83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61" w:type="dxa"/>
            <w:vAlign w:val="center"/>
          </w:tcPr>
          <w:p w14:paraId="0AE4325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873" w:type="dxa"/>
            <w:vAlign w:val="center"/>
          </w:tcPr>
          <w:p w14:paraId="3A26379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177" w:type="dxa"/>
            <w:vAlign w:val="center"/>
          </w:tcPr>
          <w:p w14:paraId="35C769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bl>
    <w:p w14:paraId="0884FBE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交货期限：自合同签订之日起30天，采购人和供应商在第二阶段有特殊约定的除外。</w:t>
      </w:r>
    </w:p>
    <w:p w14:paraId="146DB35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交货的地域范围： 四川省范围内送货上门</w:t>
      </w:r>
    </w:p>
    <w:p w14:paraId="154F019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包装方式及运输：</w:t>
      </w:r>
    </w:p>
    <w:p w14:paraId="59B3603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71D1065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14:paraId="044984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（1）服务标准:服务期3年，在服务期内提供升级包，遇严重安全问题应在官网公开漏洞及修复包，主动联系客户,承诺所有升级服务。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延期服务收费标准:过服务期后，提供延期服务，其收费标准每年不高于投标报价的20%。其中包含一次的上门服务,所涉及的上门服务费用包含在本次报价中。若第一次上门服务未能有效解决问题，针对同类问题需再次上门服务，则不再支付上门服务费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（3）技术支持:根据用户需求，提供7*24小时技术专员电话、邮件、上门、远程维保服务。</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（4）服务人员素质:上门服务人员均具有二年以上所投软件同类产品维护经验。</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（5）培训:根据用户需要提供所投产品的安装、维护等技术培训。并提供相应培训的电子文档。</w:t>
      </w:r>
    </w:p>
    <w:p w14:paraId="336EACE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4.最高限价（元）： 40,000.00 ，大写（人民币）： 肆万元整</w:t>
      </w:r>
    </w:p>
    <w:p w14:paraId="3C9B63B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5.配套的必要耗材、配件报价、约定期限：</w:t>
      </w:r>
    </w:p>
    <w:p w14:paraId="20B56D6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0EC7EF6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6.量价关系折扣：</w:t>
      </w:r>
    </w:p>
    <w:p w14:paraId="189AD13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是否含有量价关系折扣：否</w:t>
      </w:r>
    </w:p>
    <w:p w14:paraId="0CE24D0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7.产品升级换代规则：</w:t>
      </w:r>
    </w:p>
    <w:p w14:paraId="2C36CEB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本项目 支持 入围供应商对已入围产品进行升级换代。</w:t>
      </w:r>
    </w:p>
    <w:p w14:paraId="065F162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性能不降低、价格不提高的前提下，入围供应商可以用新产品替换原入围产品；在框架协议期限内，每半年进行一次产品升级换代申请审核。注：供应商在提交产品升级换代申请时，须提供产品升级换代承诺函。</w:t>
      </w:r>
    </w:p>
    <w:p w14:paraId="209F584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147CC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0F064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38" w:type="dxa"/>
          </w:tcPr>
          <w:p w14:paraId="33AA988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153" w:type="dxa"/>
          </w:tcPr>
          <w:p w14:paraId="03A07DC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337E5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2F284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38" w:type="dxa"/>
          </w:tcPr>
          <w:p w14:paraId="13A1161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tc>
        <w:tc>
          <w:tcPr>
            <w:tcW w:w="4153" w:type="dxa"/>
          </w:tcPr>
          <w:p w14:paraId="622DB7D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5C485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89767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38" w:type="dxa"/>
          </w:tcPr>
          <w:p w14:paraId="6F803DA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w:t>
            </w:r>
          </w:p>
        </w:tc>
        <w:tc>
          <w:tcPr>
            <w:tcW w:w="4153" w:type="dxa"/>
          </w:tcPr>
          <w:p w14:paraId="3CFBBE3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1B3EE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22DCA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38" w:type="dxa"/>
          </w:tcPr>
          <w:p w14:paraId="627AFB1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具有健全的财务会计制度。</w:t>
            </w:r>
          </w:p>
        </w:tc>
        <w:tc>
          <w:tcPr>
            <w:tcW w:w="4153" w:type="dxa"/>
          </w:tcPr>
          <w:p w14:paraId="1DFF580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根据自身情况选择提供其中任意一项：（1）可提供（2023年或2024年）任一年度经审计的财务报告（包含审计报告和审计报告中所涉及的财务报表和报表附注）；（2）可提供（2023年或2024年）任一年度供应商财务报表（至少包括资产负债表、利润表、现金流量表）；（3）可提供截至响应文件提交截止日一年内银行出具的资信证明；（4）供应商注册时间截至响应文件提交截止日不足一年的，也可提供在工商管理部门备案的公司章程。</w:t>
            </w:r>
          </w:p>
        </w:tc>
      </w:tr>
      <w:tr w14:paraId="00DE4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CE7AC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38" w:type="dxa"/>
          </w:tcPr>
          <w:p w14:paraId="3F3582E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tc>
        <w:tc>
          <w:tcPr>
            <w:tcW w:w="4153" w:type="dxa"/>
          </w:tcPr>
          <w:p w14:paraId="2B01FFE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1BE6A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A9F7E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38" w:type="dxa"/>
          </w:tcPr>
          <w:p w14:paraId="3FDF38B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tc>
        <w:tc>
          <w:tcPr>
            <w:tcW w:w="4153" w:type="dxa"/>
          </w:tcPr>
          <w:p w14:paraId="05D3E7A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724D4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6367C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38" w:type="dxa"/>
          </w:tcPr>
          <w:p w14:paraId="2F48B70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4153" w:type="dxa"/>
          </w:tcPr>
          <w:p w14:paraId="1DF5758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0B877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0BA61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38" w:type="dxa"/>
          </w:tcPr>
          <w:p w14:paraId="6F9F428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法律、行政法规规定的其它条件。</w:t>
            </w:r>
          </w:p>
        </w:tc>
        <w:tc>
          <w:tcPr>
            <w:tcW w:w="4153" w:type="dxa"/>
          </w:tcPr>
          <w:p w14:paraId="54D32AF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1D8F8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DA23C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738" w:type="dxa"/>
          </w:tcPr>
          <w:p w14:paraId="1A1DE33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不存在与单位负责人为同一人或者存在直接控股、管理关系的其他供应商参与同一合同项下的政府采购活动的行为。</w:t>
            </w:r>
          </w:p>
        </w:tc>
        <w:tc>
          <w:tcPr>
            <w:tcW w:w="4153" w:type="dxa"/>
          </w:tcPr>
          <w:p w14:paraId="0FDC967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1C69D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AC3B3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738" w:type="dxa"/>
          </w:tcPr>
          <w:p w14:paraId="7971518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不属于为本项目提供整体设计、规范编制或者项目管理、监理、检测等服务的供应商。</w:t>
            </w:r>
          </w:p>
        </w:tc>
        <w:tc>
          <w:tcPr>
            <w:tcW w:w="4153" w:type="dxa"/>
          </w:tcPr>
          <w:p w14:paraId="469CD87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04630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D004D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738" w:type="dxa"/>
          </w:tcPr>
          <w:p w14:paraId="3B2FEF3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生产厂家或者生产厂家唯一授权供应商的证明材料。</w:t>
            </w:r>
          </w:p>
        </w:tc>
        <w:tc>
          <w:tcPr>
            <w:tcW w:w="4153" w:type="dxa"/>
          </w:tcPr>
          <w:p w14:paraId="3E0E9A2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如是生产厂家，应当在响应文件中上传响应产品品牌的《商标注册证》的原件扫描件并进行电子签章。具体要求如下：①《商标注册证》中的注册人应与生产厂家名称一致或提供注册人授权生产厂家使用商标许可的证明材料，如因注册人工商登记信息发生变更导致名称不一致的，需提供市场监管部门变更登记的证明材料；②《商标注册证》核定使用商品分类应包括本次响应产品对应分类；③提交响应文件时，《商标注册证》应在有效期内，入围后生产厂家应确保在框架协议生效期间《商标注册证》有效。2) 供应商如是生产厂家唯一授权供应商，应当在响应文件中除提供上述要求的证明材料（加盖生产厂家公章）外，还应提供响应产品品牌的生产厂家出具的唯一授权书扫描件（加盖生产厂家公章）。授权书应当明确授权时间（授权时间至少应包含本次框架协议期限）、产品范围、代理区域（四川省），并承诺在本次封闭式框架协议征集及补充征集期间不更换唯一授权供应商。</w:t>
            </w:r>
          </w:p>
        </w:tc>
      </w:tr>
    </w:tbl>
    <w:p w14:paraId="23496C0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372673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6E69FC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738" w:type="dxa"/>
          </w:tcPr>
          <w:p w14:paraId="2800111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资格要求名称</w:t>
            </w:r>
          </w:p>
        </w:tc>
        <w:tc>
          <w:tcPr>
            <w:tcW w:w="4153" w:type="dxa"/>
          </w:tcPr>
          <w:p w14:paraId="1C9E22E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资格要求详细说明</w:t>
            </w:r>
          </w:p>
        </w:tc>
      </w:tr>
      <w:tr w14:paraId="798CC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216828F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768A31D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10.入围供应商评审方法：价格优先法</w:t>
      </w:r>
    </w:p>
    <w:p w14:paraId="3D88A54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11.入围供应商淘汰率：</w:t>
      </w:r>
    </w:p>
    <w:p w14:paraId="18FF7E4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本项目征集入围供应商 ，淘汰比例为 20.00%，淘汰供应商按照向上取整进行取整，且至少淘汰 1家供应商。</w:t>
      </w:r>
    </w:p>
    <w:p w14:paraId="78058F5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12.分包的评审条款：</w:t>
      </w:r>
    </w:p>
    <w:p w14:paraId="6AF9B1C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w:t>
      </w:r>
    </w:p>
    <w:p w14:paraId="45DD12C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是指对满足采购需求且响应报价不超过最高限制单价的货物，按照响应报价从低到高排序。评审委员会根据本项目（采购包）征集文件规定的淘汰率或者入围供应商数量上限，确定入围供应商名单。具体流程如下：</w:t>
      </w:r>
    </w:p>
    <w:p w14:paraId="3A02E91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1）评审委员会按淘汰率计算得出淘汰供应商数量，即淘汰供应商数量=有效报价供应商数量*淘汰率。计算出的淘汰供应商数量存在小数的，按照向上取整的原则，确定需要淘汰供应商的数量；</w:t>
      </w:r>
    </w:p>
    <w:p w14:paraId="10CA072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2）基于按淘汰率计算得出的淘汰供应商数量，根据入围供应商数量上限，确定还需淘汰供应商的数量，最终确定淘汰供应商的总数；</w:t>
      </w:r>
    </w:p>
    <w:p w14:paraId="761F692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3）根据最终确定淘汰供应商总数，按评审排序进行淘汰后，确定入围名单。如在排名并列的供应商中仍需淘汰一定数量供应商的，则在并列供应商中通过随机抽取确定相应数量入围供应商后，剩余供应商淘汰；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3"/>
        <w:gridCol w:w="2415"/>
        <w:gridCol w:w="936"/>
        <w:gridCol w:w="3448"/>
      </w:tblGrid>
      <w:tr w14:paraId="28CCC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3F0B653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423" w:type="dxa"/>
          </w:tcPr>
          <w:p w14:paraId="4BB2B3E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评审因素</w:t>
            </w:r>
          </w:p>
        </w:tc>
        <w:tc>
          <w:tcPr>
            <w:tcW w:w="692" w:type="dxa"/>
          </w:tcPr>
          <w:p w14:paraId="3862882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扣除比例%</w:t>
            </w:r>
          </w:p>
        </w:tc>
        <w:tc>
          <w:tcPr>
            <w:tcW w:w="3461" w:type="dxa"/>
          </w:tcPr>
          <w:p w14:paraId="71FD9DC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评审标准</w:t>
            </w:r>
          </w:p>
        </w:tc>
      </w:tr>
      <w:tr w14:paraId="0CAD1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0D14B09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23" w:type="dxa"/>
          </w:tcPr>
          <w:p w14:paraId="1900B8C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692" w:type="dxa"/>
          </w:tcPr>
          <w:p w14:paraId="383984AC">
            <w:pPr>
              <w:pStyle w:val="4"/>
              <w:keepNext w:val="0"/>
              <w:keepLines w:val="0"/>
              <w:pageBreakBefore w:val="0"/>
              <w:kinsoku/>
              <w:wordWrap/>
              <w:overflowPunct/>
              <w:topLinePunct w:val="0"/>
              <w:autoSpaceDE/>
              <w:autoSpaceDN/>
              <w:bidi w:val="0"/>
              <w:adjustRightInd/>
              <w:snapToGrid/>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3461" w:type="dxa"/>
          </w:tcPr>
          <w:p w14:paraId="06B1A05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对提供的全部货物制造商属于小型和微型企业的投标人的投标报价给予相应百分比的扣除，用扣除后的价格参与评审。残疾人福利性单位视同小型、微型企业，享受同等价格扣除，但同时属于残疾人福利性单位和小微企业的，不重复价格扣除。</w:t>
            </w:r>
          </w:p>
        </w:tc>
      </w:tr>
    </w:tbl>
    <w:p w14:paraId="3F4096E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13.价格权重：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2AEB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A06546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权重项编号</w:t>
            </w:r>
          </w:p>
        </w:tc>
        <w:tc>
          <w:tcPr>
            <w:tcW w:w="2769" w:type="dxa"/>
          </w:tcPr>
          <w:p w14:paraId="105C46C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w:t>
            </w:r>
          </w:p>
        </w:tc>
        <w:tc>
          <w:tcPr>
            <w:tcW w:w="2769" w:type="dxa"/>
          </w:tcPr>
          <w:p w14:paraId="7BDC91B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权重值</w:t>
            </w:r>
          </w:p>
        </w:tc>
      </w:tr>
      <w:tr w14:paraId="0A265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ACDA7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69" w:type="dxa"/>
          </w:tcPr>
          <w:p w14:paraId="27B273B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标的价格</w:t>
            </w:r>
          </w:p>
        </w:tc>
        <w:tc>
          <w:tcPr>
            <w:tcW w:w="2769" w:type="dxa"/>
          </w:tcPr>
          <w:p w14:paraId="3AD5E57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w:t>
            </w:r>
          </w:p>
        </w:tc>
      </w:tr>
    </w:tbl>
    <w:p w14:paraId="3A0D3F8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14.第二阶段成交供应商的方式：直接选定/二次竞价</w:t>
      </w:r>
    </w:p>
    <w:p w14:paraId="768F190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单次采购20万元以下（不含20万）的采用直接选定或者二次竞价，20万元以上（含20万）的采用二次竞价。</w:t>
      </w:r>
    </w:p>
    <w:p w14:paraId="11CE624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15.资金支付方式、时间和条件：</w:t>
      </w:r>
    </w:p>
    <w:p w14:paraId="32326EA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支付方式：一次性付款或分期付款</w:t>
      </w:r>
    </w:p>
    <w:p w14:paraId="0DD9A78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 支付时间和条件：对于满足合同约定支付条件的，采购人应当自收到发票后10个工作日内将资金支付到合同约定的供应商账户。采购人和供应商在第二阶段有特殊约定的除外。</w:t>
      </w:r>
    </w:p>
    <w:p w14:paraId="01E044E6">
      <w:pPr>
        <w:pStyle w:val="4"/>
        <w:keepNext w:val="0"/>
        <w:keepLines w:val="0"/>
        <w:pageBreakBefore w:val="0"/>
        <w:kinsoku/>
        <w:wordWrap/>
        <w:overflowPunct/>
        <w:topLinePunct w:val="0"/>
        <w:autoSpaceDE/>
        <w:autoSpaceDN/>
        <w:bidi w:val="0"/>
        <w:adjustRightInd/>
        <w:snapToGrid/>
        <w:ind w:firstLine="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（四）分包名称：包4</w:t>
      </w:r>
    </w:p>
    <w:p w14:paraId="308894A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1.采购标的：中间件</w:t>
      </w:r>
    </w:p>
    <w:p w14:paraId="5BC1CD3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2.需求明细：</w:t>
      </w:r>
    </w:p>
    <w:p w14:paraId="35E327F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1）标的名称：消息中间件</w:t>
      </w:r>
    </w:p>
    <w:p w14:paraId="77941E0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2）计量单位：套</w:t>
      </w:r>
    </w:p>
    <w:p w14:paraId="1A4CD9C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3）是否强制采购节能产品： 否</w:t>
      </w:r>
    </w:p>
    <w:p w14:paraId="2749F8E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4）是否优先采购节能环保产品： 否</w:t>
      </w:r>
    </w:p>
    <w:p w14:paraId="48C0DBE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5）是否采购进口产品： 否</w:t>
      </w:r>
    </w:p>
    <w:p w14:paraId="4F8B35F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6）标的物所属行业：软件和信息技术服务业</w:t>
      </w:r>
    </w:p>
    <w:p w14:paraId="6D5FB75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3.拟采购标的的技术要求：</w:t>
      </w:r>
    </w:p>
    <w:tbl>
      <w:tblPr>
        <w:tblStyle w:val="2"/>
        <w:tblW w:w="10523" w:type="dxa"/>
        <w:tblInd w:w="-972"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fixed"/>
        <w:tblCellMar>
          <w:top w:w="0" w:type="dxa"/>
          <w:left w:w="108" w:type="dxa"/>
          <w:bottom w:w="0" w:type="dxa"/>
          <w:right w:w="108" w:type="dxa"/>
        </w:tblCellMar>
      </w:tblPr>
      <w:tblGrid>
        <w:gridCol w:w="669"/>
        <w:gridCol w:w="727"/>
        <w:gridCol w:w="2966"/>
        <w:gridCol w:w="819"/>
        <w:gridCol w:w="796"/>
        <w:gridCol w:w="877"/>
        <w:gridCol w:w="2631"/>
        <w:gridCol w:w="1038"/>
      </w:tblGrid>
      <w:tr w14:paraId="3DC3627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2B38E9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27" w:type="dxa"/>
            <w:vAlign w:val="center"/>
          </w:tcPr>
          <w:p w14:paraId="446CFE7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c>
          <w:tcPr>
            <w:tcW w:w="2966" w:type="dxa"/>
            <w:vAlign w:val="center"/>
          </w:tcPr>
          <w:p w14:paraId="124D74D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tc>
        <w:tc>
          <w:tcPr>
            <w:tcW w:w="819" w:type="dxa"/>
            <w:vAlign w:val="center"/>
          </w:tcPr>
          <w:p w14:paraId="34C3700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796" w:type="dxa"/>
            <w:vAlign w:val="center"/>
          </w:tcPr>
          <w:p w14:paraId="7B0E79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参数符号</w:t>
            </w:r>
          </w:p>
        </w:tc>
        <w:tc>
          <w:tcPr>
            <w:tcW w:w="877" w:type="dxa"/>
            <w:vAlign w:val="center"/>
          </w:tcPr>
          <w:p w14:paraId="0C59183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参数值规则</w:t>
            </w:r>
          </w:p>
        </w:tc>
        <w:tc>
          <w:tcPr>
            <w:tcW w:w="2631" w:type="dxa"/>
            <w:vAlign w:val="center"/>
          </w:tcPr>
          <w:p w14:paraId="0EC3A1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w:t>
            </w:r>
          </w:p>
        </w:tc>
        <w:tc>
          <w:tcPr>
            <w:tcW w:w="1038" w:type="dxa"/>
            <w:vAlign w:val="center"/>
          </w:tcPr>
          <w:p w14:paraId="7FBFAEC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参数值偏离规则</w:t>
            </w:r>
          </w:p>
        </w:tc>
      </w:tr>
      <w:tr w14:paraId="225C63D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45CBFE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27" w:type="dxa"/>
            <w:vAlign w:val="center"/>
          </w:tcPr>
          <w:p w14:paraId="763E176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功能</w:t>
            </w:r>
          </w:p>
        </w:tc>
        <w:tc>
          <w:tcPr>
            <w:tcW w:w="2966" w:type="dxa"/>
            <w:vAlign w:val="center"/>
          </w:tcPr>
          <w:p w14:paraId="17A274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分类</w:t>
            </w:r>
          </w:p>
        </w:tc>
        <w:tc>
          <w:tcPr>
            <w:tcW w:w="819" w:type="dxa"/>
            <w:vAlign w:val="center"/>
          </w:tcPr>
          <w:p w14:paraId="74E7BF1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6AC2CDA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5FAA063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542739B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消息中间件</w:t>
            </w:r>
          </w:p>
        </w:tc>
        <w:tc>
          <w:tcPr>
            <w:tcW w:w="1038" w:type="dxa"/>
            <w:vAlign w:val="center"/>
          </w:tcPr>
          <w:p w14:paraId="2F356B4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276BA0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2E36F9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27" w:type="dxa"/>
            <w:vAlign w:val="center"/>
          </w:tcPr>
          <w:p w14:paraId="7EC0F2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1E246D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SSL安全通道加密</w:t>
            </w:r>
          </w:p>
        </w:tc>
        <w:tc>
          <w:tcPr>
            <w:tcW w:w="819" w:type="dxa"/>
            <w:vAlign w:val="center"/>
          </w:tcPr>
          <w:p w14:paraId="357434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721C38E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2BBA6E6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3F49B95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637E66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CA9BC0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6247528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27" w:type="dxa"/>
            <w:vAlign w:val="center"/>
          </w:tcPr>
          <w:p w14:paraId="00506B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2CC4663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数据库支持</w:t>
            </w:r>
          </w:p>
        </w:tc>
        <w:tc>
          <w:tcPr>
            <w:tcW w:w="819" w:type="dxa"/>
            <w:vAlign w:val="center"/>
          </w:tcPr>
          <w:p w14:paraId="4B5109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5178D7B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1092715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251D18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支持多种主流数据库系统</w:t>
            </w:r>
          </w:p>
        </w:tc>
        <w:tc>
          <w:tcPr>
            <w:tcW w:w="1038" w:type="dxa"/>
            <w:vAlign w:val="center"/>
          </w:tcPr>
          <w:p w14:paraId="39689BD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0F96A3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212269D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27" w:type="dxa"/>
            <w:vAlign w:val="center"/>
          </w:tcPr>
          <w:p w14:paraId="426996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568A7D5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操作系统：WINDOWS/UNIX/LINUX</w:t>
            </w:r>
          </w:p>
        </w:tc>
        <w:tc>
          <w:tcPr>
            <w:tcW w:w="819" w:type="dxa"/>
            <w:vAlign w:val="center"/>
          </w:tcPr>
          <w:p w14:paraId="6A974B2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0A4EBB8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68BA8D4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7E64EF1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15CE090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70F564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0A17E0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27" w:type="dxa"/>
            <w:vAlign w:val="center"/>
          </w:tcPr>
          <w:p w14:paraId="40A3290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61380AA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是否支持服务节点的集群</w:t>
            </w:r>
          </w:p>
        </w:tc>
        <w:tc>
          <w:tcPr>
            <w:tcW w:w="819" w:type="dxa"/>
            <w:vAlign w:val="center"/>
          </w:tcPr>
          <w:p w14:paraId="0D76EA6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678CABB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0849344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34B51D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2179228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9275AB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39C1429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27" w:type="dxa"/>
            <w:vAlign w:val="center"/>
          </w:tcPr>
          <w:p w14:paraId="2B2DCD5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4D86E51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是否支持队列存储策略管理</w:t>
            </w:r>
          </w:p>
        </w:tc>
        <w:tc>
          <w:tcPr>
            <w:tcW w:w="819" w:type="dxa"/>
            <w:vAlign w:val="center"/>
          </w:tcPr>
          <w:p w14:paraId="4A330AC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3E63868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05B619C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57A77D6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474729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9B762B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10FEA9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27" w:type="dxa"/>
            <w:vAlign w:val="center"/>
          </w:tcPr>
          <w:p w14:paraId="10C742A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129E773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是否支持消息传输过程中消息体加密</w:t>
            </w:r>
          </w:p>
        </w:tc>
        <w:tc>
          <w:tcPr>
            <w:tcW w:w="819" w:type="dxa"/>
            <w:vAlign w:val="center"/>
          </w:tcPr>
          <w:p w14:paraId="0373C06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1823509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163F507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1F9AA0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6123B7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ED1AF8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5579EB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27" w:type="dxa"/>
            <w:vAlign w:val="center"/>
          </w:tcPr>
          <w:p w14:paraId="01C771F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4DEBEFD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是否支持作为J2EE应用服务器的外置JMS扩展服务器</w:t>
            </w:r>
          </w:p>
        </w:tc>
        <w:tc>
          <w:tcPr>
            <w:tcW w:w="819" w:type="dxa"/>
            <w:vAlign w:val="center"/>
          </w:tcPr>
          <w:p w14:paraId="3860C86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75D1D68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11AE7C5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604BF54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501A9C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FB49A2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39620C4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27" w:type="dxa"/>
            <w:vAlign w:val="center"/>
          </w:tcPr>
          <w:p w14:paraId="38A47D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2E5BB2E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是否支持C、C++、C#、JAVA等开发语言接口</w:t>
            </w:r>
          </w:p>
        </w:tc>
        <w:tc>
          <w:tcPr>
            <w:tcW w:w="819" w:type="dxa"/>
            <w:vAlign w:val="center"/>
          </w:tcPr>
          <w:p w14:paraId="4507C1D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0267B4F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7E4ECB2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0CAD2B6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6A30038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E39C73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331AEA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727" w:type="dxa"/>
            <w:vAlign w:val="center"/>
          </w:tcPr>
          <w:p w14:paraId="57E901A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7AEA806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是否支持第三方安全接口</w:t>
            </w:r>
          </w:p>
        </w:tc>
        <w:tc>
          <w:tcPr>
            <w:tcW w:w="819" w:type="dxa"/>
            <w:vAlign w:val="center"/>
          </w:tcPr>
          <w:p w14:paraId="747AF42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504F451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61E099A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0A2146C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099FAE6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3EE402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407740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727" w:type="dxa"/>
            <w:vAlign w:val="center"/>
          </w:tcPr>
          <w:p w14:paraId="5D35DE1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4C495AB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是否支持数据包和文件两种消息的类型</w:t>
            </w:r>
          </w:p>
        </w:tc>
        <w:tc>
          <w:tcPr>
            <w:tcW w:w="819" w:type="dxa"/>
            <w:vAlign w:val="center"/>
          </w:tcPr>
          <w:p w14:paraId="5AE1293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7EF8F3E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5E02EFD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1E9A3E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48AE03F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EC4340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75E9562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727" w:type="dxa"/>
            <w:vAlign w:val="center"/>
          </w:tcPr>
          <w:p w14:paraId="1AED55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13D233A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是否支持流量控制和实时监控进度、平均速率和最大速率</w:t>
            </w:r>
          </w:p>
        </w:tc>
        <w:tc>
          <w:tcPr>
            <w:tcW w:w="819" w:type="dxa"/>
            <w:vAlign w:val="center"/>
          </w:tcPr>
          <w:p w14:paraId="43F3474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45EBF64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4BDDC74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0C77A77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7EB299E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F3E410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65AC728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727" w:type="dxa"/>
            <w:vAlign w:val="center"/>
          </w:tcPr>
          <w:p w14:paraId="1DCA60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6E625E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是否支持消息传输时的断点续传</w:t>
            </w:r>
          </w:p>
        </w:tc>
        <w:tc>
          <w:tcPr>
            <w:tcW w:w="819" w:type="dxa"/>
            <w:vAlign w:val="center"/>
          </w:tcPr>
          <w:p w14:paraId="1456B27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1EB3433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3639328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390ABB6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75D1D7B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DD5579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19FA6B6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727" w:type="dxa"/>
            <w:vAlign w:val="center"/>
          </w:tcPr>
          <w:p w14:paraId="0C0CAE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59E42B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是否支持提供本地事务支持和分布式事务支持</w:t>
            </w:r>
          </w:p>
        </w:tc>
        <w:tc>
          <w:tcPr>
            <w:tcW w:w="819" w:type="dxa"/>
            <w:vAlign w:val="center"/>
          </w:tcPr>
          <w:p w14:paraId="048693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0C034A6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5E84598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1FC838A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768FFF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79B910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6C177E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727" w:type="dxa"/>
            <w:vAlign w:val="center"/>
          </w:tcPr>
          <w:p w14:paraId="031F1E8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64558A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日志功能：提供完整的日志功能，通过日志可以查看系统的运行情况，并可以排除系统中出现的错误</w:t>
            </w:r>
          </w:p>
        </w:tc>
        <w:tc>
          <w:tcPr>
            <w:tcW w:w="819" w:type="dxa"/>
            <w:vAlign w:val="center"/>
          </w:tcPr>
          <w:p w14:paraId="19A96B7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6A2C306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34F118F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4CA06C0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w:t>
            </w:r>
          </w:p>
        </w:tc>
        <w:tc>
          <w:tcPr>
            <w:tcW w:w="1038" w:type="dxa"/>
            <w:vAlign w:val="center"/>
          </w:tcPr>
          <w:p w14:paraId="0C36D0F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B880F4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1B4BDB7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727" w:type="dxa"/>
            <w:vAlign w:val="center"/>
          </w:tcPr>
          <w:p w14:paraId="6791C0F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5372DDE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是否支持提供多种队列和队列的分组管理机制</w:t>
            </w:r>
          </w:p>
        </w:tc>
        <w:tc>
          <w:tcPr>
            <w:tcW w:w="819" w:type="dxa"/>
            <w:vAlign w:val="center"/>
          </w:tcPr>
          <w:p w14:paraId="5F43048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04C9C01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175E0E0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3DF4F5B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52A1CF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9E41DB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6F5A08C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727" w:type="dxa"/>
            <w:vAlign w:val="center"/>
          </w:tcPr>
          <w:p w14:paraId="459DC63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74ED869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是否支持文件传输时自动拆分和组装消息</w:t>
            </w:r>
          </w:p>
        </w:tc>
        <w:tc>
          <w:tcPr>
            <w:tcW w:w="819" w:type="dxa"/>
            <w:vAlign w:val="center"/>
          </w:tcPr>
          <w:p w14:paraId="01A355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2C3F0A6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4F1440B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2EB709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1DF9132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0A84A2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741D2E6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727" w:type="dxa"/>
            <w:vAlign w:val="center"/>
          </w:tcPr>
          <w:p w14:paraId="4F92D75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61398A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是否支持消息可靠传输、持久化存储以及断点续传</w:t>
            </w:r>
          </w:p>
        </w:tc>
        <w:tc>
          <w:tcPr>
            <w:tcW w:w="819" w:type="dxa"/>
            <w:vAlign w:val="center"/>
          </w:tcPr>
          <w:p w14:paraId="36181F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3A1FADD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40496A5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5461D1A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35B199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D52283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471C71E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727" w:type="dxa"/>
            <w:vAlign w:val="center"/>
          </w:tcPr>
          <w:p w14:paraId="3A3C45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4E04EC5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是否支持多种通讯链路和网络环境方式</w:t>
            </w:r>
          </w:p>
        </w:tc>
        <w:tc>
          <w:tcPr>
            <w:tcW w:w="819" w:type="dxa"/>
            <w:vAlign w:val="center"/>
          </w:tcPr>
          <w:p w14:paraId="1E86976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41F4B30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5A157C7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0FF355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2CE4C9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007A39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PrEx>
        <w:tc>
          <w:tcPr>
            <w:tcW w:w="669" w:type="dxa"/>
            <w:vAlign w:val="center"/>
          </w:tcPr>
          <w:p w14:paraId="0F91740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727" w:type="dxa"/>
            <w:vAlign w:val="center"/>
          </w:tcPr>
          <w:p w14:paraId="2E0D964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5E7CFAC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中文手册</w:t>
            </w:r>
          </w:p>
        </w:tc>
        <w:tc>
          <w:tcPr>
            <w:tcW w:w="819" w:type="dxa"/>
            <w:vAlign w:val="center"/>
          </w:tcPr>
          <w:p w14:paraId="786857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53D9CF9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31A8508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700A5F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供应商供货时应提供完整的中文产品说明、使用手册、维护手册等使用、开发、运维过程中的必要文件，应有随安装产品版本的对应电子版，不得以网上在线资料、开源资料代替。</w:t>
            </w:r>
          </w:p>
        </w:tc>
        <w:tc>
          <w:tcPr>
            <w:tcW w:w="1038" w:type="dxa"/>
            <w:vAlign w:val="center"/>
          </w:tcPr>
          <w:p w14:paraId="618396C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2CDEC6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69" w:type="dxa"/>
            <w:vAlign w:val="center"/>
          </w:tcPr>
          <w:p w14:paraId="1259A8C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727" w:type="dxa"/>
            <w:vAlign w:val="center"/>
          </w:tcPr>
          <w:p w14:paraId="7E60B6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2966" w:type="dxa"/>
            <w:vAlign w:val="center"/>
          </w:tcPr>
          <w:p w14:paraId="3927CC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应支持通过安全可靠测评的CPU芯片、操作系统、数据库</w:t>
            </w:r>
          </w:p>
        </w:tc>
        <w:tc>
          <w:tcPr>
            <w:tcW w:w="819" w:type="dxa"/>
            <w:vAlign w:val="center"/>
          </w:tcPr>
          <w:p w14:paraId="49CF8DD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96" w:type="dxa"/>
            <w:vAlign w:val="center"/>
          </w:tcPr>
          <w:p w14:paraId="1A21056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877" w:type="dxa"/>
            <w:vAlign w:val="center"/>
          </w:tcPr>
          <w:p w14:paraId="2AB5752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2631" w:type="dxa"/>
            <w:vAlign w:val="center"/>
          </w:tcPr>
          <w:p w14:paraId="2B4224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w:t>
            </w:r>
          </w:p>
        </w:tc>
        <w:tc>
          <w:tcPr>
            <w:tcW w:w="1038" w:type="dxa"/>
            <w:vAlign w:val="center"/>
          </w:tcPr>
          <w:p w14:paraId="688A090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bl>
    <w:p w14:paraId="11FF818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交货期限：自合同签订之日起30天，采购人和供应商在第二阶段有特殊约定的除外。</w:t>
      </w:r>
    </w:p>
    <w:p w14:paraId="61C9B9A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交货的地域范围： 四川省范围内送货上门</w:t>
      </w:r>
    </w:p>
    <w:p w14:paraId="2EF3224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包装方式及运输：</w:t>
      </w:r>
    </w:p>
    <w:p w14:paraId="42F5DFF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13D031E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14:paraId="3283AFF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（1）服务标准:服务期3年，在服务期内提供升级包，遇严重安全问题应在官网公开漏洞及修复包，主动联系客户, 承诺所有升级服务。</w:t>
      </w:r>
    </w:p>
    <w:p w14:paraId="5D00C3D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延期服务收费标准:过服务期后，提供延期服务，其收费标准每年不高于投标报价的20%。其中包含一次的上门服务,所涉及的上门服务费用包含在本次报价中。若第一次上门服务未能有效解决问题，针对同类问题需再次上门服务，则不再支付上门服务费用。</w:t>
      </w:r>
    </w:p>
    <w:p w14:paraId="5E3D912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（3）技术支持:根据用户需求，提供7*24小时技术专员电话、邮件、上门、远程维保服务。</w:t>
      </w:r>
    </w:p>
    <w:p w14:paraId="1B47B9C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（4）服务人员素质:上门服务人员均具有二年以上所投软件同类产品维护经验。</w:t>
      </w:r>
    </w:p>
    <w:p w14:paraId="239ED12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（5）培训:根据用户需要提供所投产品的安装、维护等技术培训。并提供相应培训的电子文档。</w:t>
      </w:r>
    </w:p>
    <w:p w14:paraId="26BF329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4.最高限价（元）： 30,000.00 ，大写（人民币）： 叁万元整</w:t>
      </w:r>
    </w:p>
    <w:p w14:paraId="6F1B8DF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5.配套的必要耗材、配件报价、约定期限：</w:t>
      </w:r>
    </w:p>
    <w:p w14:paraId="3DFB07D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132A28E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6.量价关系折扣：</w:t>
      </w:r>
    </w:p>
    <w:p w14:paraId="295073E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是否含有量价关系折扣：否</w:t>
      </w:r>
    </w:p>
    <w:p w14:paraId="12CB15E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7.产品升级换代规则：</w:t>
      </w:r>
    </w:p>
    <w:p w14:paraId="199C1CB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本项目 支持 入围供应商对已入围产品进行升级换代。</w:t>
      </w:r>
    </w:p>
    <w:p w14:paraId="1579651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性能不降低、价格不提高的前提下，入围供应商可以用新产品替换原入围产品；在框架协议期限内，每半年进行一次产品升级换代申请审核。注：供应商在提交产品升级换代申请时，须提供产品升级换代承诺函。</w:t>
      </w:r>
    </w:p>
    <w:p w14:paraId="6556538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35029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C3A38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38" w:type="dxa"/>
          </w:tcPr>
          <w:p w14:paraId="615384B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153" w:type="dxa"/>
          </w:tcPr>
          <w:p w14:paraId="3419A66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6C54E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280E4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38" w:type="dxa"/>
          </w:tcPr>
          <w:p w14:paraId="5A4CBB2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tc>
        <w:tc>
          <w:tcPr>
            <w:tcW w:w="4153" w:type="dxa"/>
          </w:tcPr>
          <w:p w14:paraId="1C48339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3E47B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D7D99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38" w:type="dxa"/>
          </w:tcPr>
          <w:p w14:paraId="07E0B5F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w:t>
            </w:r>
          </w:p>
        </w:tc>
        <w:tc>
          <w:tcPr>
            <w:tcW w:w="4153" w:type="dxa"/>
          </w:tcPr>
          <w:p w14:paraId="43B87F9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499D7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60D89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38" w:type="dxa"/>
          </w:tcPr>
          <w:p w14:paraId="06F5C29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具有健全的财务会计制度。</w:t>
            </w:r>
          </w:p>
        </w:tc>
        <w:tc>
          <w:tcPr>
            <w:tcW w:w="4153" w:type="dxa"/>
          </w:tcPr>
          <w:p w14:paraId="725EA6A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根据自身情况选择提供其中任意一项：（1）可提供（2023年或2024年）任一年度经审计的财务报告（包含审计报告和审计报告中所涉及的财务报表和报表附注）；（2）可提供（2023年或2024年）任一年度供应商财务报表（至少包括资产负债表、利润表、现金流量表）；（3）可提供截至响应文件提交截止日一年内银行出具的资信证明；（4）供应商注册时间截至响应文件提交截止日不足一年的，也可提供在工商管理部门备案的公司章程。</w:t>
            </w:r>
          </w:p>
        </w:tc>
      </w:tr>
      <w:tr w14:paraId="2F5A9B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C9CFB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38" w:type="dxa"/>
          </w:tcPr>
          <w:p w14:paraId="4D75969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tc>
        <w:tc>
          <w:tcPr>
            <w:tcW w:w="4153" w:type="dxa"/>
          </w:tcPr>
          <w:p w14:paraId="3716B87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31A11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6640A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38" w:type="dxa"/>
          </w:tcPr>
          <w:p w14:paraId="322579E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tc>
        <w:tc>
          <w:tcPr>
            <w:tcW w:w="4153" w:type="dxa"/>
          </w:tcPr>
          <w:p w14:paraId="5FD87CF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10B66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40C04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38" w:type="dxa"/>
          </w:tcPr>
          <w:p w14:paraId="7365090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4153" w:type="dxa"/>
          </w:tcPr>
          <w:p w14:paraId="3A4DF1C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3754E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33991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38" w:type="dxa"/>
          </w:tcPr>
          <w:p w14:paraId="6AF8A86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法律、行政法规规定的其它条件。</w:t>
            </w:r>
          </w:p>
        </w:tc>
        <w:tc>
          <w:tcPr>
            <w:tcW w:w="4153" w:type="dxa"/>
          </w:tcPr>
          <w:p w14:paraId="518D5B0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2AB5F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40C0B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738" w:type="dxa"/>
          </w:tcPr>
          <w:p w14:paraId="3FE8D01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不存在与单位负责人为同一人或者存在直接控股、管理关系的其他供应商参与同一合同项下的政府采购活动的行为。</w:t>
            </w:r>
          </w:p>
        </w:tc>
        <w:tc>
          <w:tcPr>
            <w:tcW w:w="4153" w:type="dxa"/>
          </w:tcPr>
          <w:p w14:paraId="0D3312A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0DAF6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61387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738" w:type="dxa"/>
          </w:tcPr>
          <w:p w14:paraId="1A82C34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不属于为本项目提供整体设计、规范编制或者项目管理、监理、检测等服务的供应商。</w:t>
            </w:r>
          </w:p>
        </w:tc>
        <w:tc>
          <w:tcPr>
            <w:tcW w:w="4153" w:type="dxa"/>
          </w:tcPr>
          <w:p w14:paraId="0731024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53D1E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2C8D1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738" w:type="dxa"/>
          </w:tcPr>
          <w:p w14:paraId="3694184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生产厂家或者生产厂家唯一授权供应商的证明材料。</w:t>
            </w:r>
          </w:p>
        </w:tc>
        <w:tc>
          <w:tcPr>
            <w:tcW w:w="4153" w:type="dxa"/>
          </w:tcPr>
          <w:p w14:paraId="6687300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如是生产厂家，应当在响应文件中上传响应产品品牌的《商标注册证》的原件扫描件并进行电子签章。具体要求如下：①《商标注册证》中的注册人应与生产厂家名称一致或提供注册人授权生产厂家使用商标许可的证明材料，如因注册人工商登记信息发生变更导致名称不一致的，需提供市场监管部门变更登记的证明材料；②《商标注册证》核定使用商品分类应包括本次响应产品对应分类；③提交响应文件时，《商标注册证》应在有效期内，入围后生产厂家应确保在框架协议生效期间《商标注册证》有效。2) 供应商如是生产厂家唯一授权供应商，应当在响应文件中除提供上述要求的证明材料（加盖生产厂家公章）外，还应提供响应产品品牌的生产厂家出具的唯一授权书扫描件（加盖生产厂家公章）。授权书应当明确授权时间（授权时间至少应包含本次框架协议期限）、产品范围、代理区域（四川省），并承诺在本次封闭式框架协议征集及补充征集期间不更换唯一授权供应商。</w:t>
            </w:r>
          </w:p>
        </w:tc>
      </w:tr>
    </w:tbl>
    <w:p w14:paraId="15CCDA0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52D60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E5A8D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738" w:type="dxa"/>
          </w:tcPr>
          <w:p w14:paraId="2DEA3C6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资格要求名称</w:t>
            </w:r>
          </w:p>
        </w:tc>
        <w:tc>
          <w:tcPr>
            <w:tcW w:w="4153" w:type="dxa"/>
          </w:tcPr>
          <w:p w14:paraId="0E6C9C6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资格要求详细说明</w:t>
            </w:r>
          </w:p>
        </w:tc>
      </w:tr>
      <w:tr w14:paraId="6DE1E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027CD61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2635D16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10.入围供应商评审方法：价格优先法</w:t>
      </w:r>
    </w:p>
    <w:p w14:paraId="1EFDAF1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11.入围供应商淘汰率：</w:t>
      </w:r>
    </w:p>
    <w:p w14:paraId="70A636D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本项目征集入围供应商 ，淘汰比例为 20.00%，淘汰供应商按照向上取整进行取整，且至少淘汰 1家供应商。</w:t>
      </w:r>
    </w:p>
    <w:p w14:paraId="7342FF9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12.分包的评审条款：</w:t>
      </w:r>
    </w:p>
    <w:p w14:paraId="71BBD63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w:t>
      </w:r>
    </w:p>
    <w:p w14:paraId="68B6D94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是指对满足采购需求且响应报价不超过最高限制单价的货物，按照响应报价从低到高排序。评审委员会根据本项目（采购包）征集文件规定的淘汰率或者入围供应商数量上限，确定入围供应商名单。具体流程如下：</w:t>
      </w:r>
    </w:p>
    <w:p w14:paraId="27F34B2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1）评审委员会按淘汰率计算得出淘汰供应商数量，即淘汰供应商数量=有效报价供应商数量*淘汰率。计算出的淘汰供应商数量存在小数的，按照向上取整的原则，确定需要淘汰供应商的数量；</w:t>
      </w:r>
    </w:p>
    <w:p w14:paraId="4F58706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2）基于按淘汰率计算得出的淘汰供应商数量，根据入围供应商数量上限，确定还需淘汰供应商的数量，最终确定淘汰供应商的总数；</w:t>
      </w:r>
    </w:p>
    <w:p w14:paraId="1F10063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3）根据最终确定淘汰供应商总数，按评审排序进行淘汰后，确定入围名单。如在排名并列的供应商中仍需淘汰一定数量供应商的，则在并列供应商中通过随机抽取确定相应数量入围供应商后，剩余供应商淘汰；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3"/>
        <w:gridCol w:w="2415"/>
        <w:gridCol w:w="936"/>
        <w:gridCol w:w="3448"/>
      </w:tblGrid>
      <w:tr w14:paraId="37742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5C24BFF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423" w:type="dxa"/>
          </w:tcPr>
          <w:p w14:paraId="25C9910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评审因素</w:t>
            </w:r>
          </w:p>
        </w:tc>
        <w:tc>
          <w:tcPr>
            <w:tcW w:w="692" w:type="dxa"/>
          </w:tcPr>
          <w:p w14:paraId="27E2106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扣除比例%</w:t>
            </w:r>
          </w:p>
        </w:tc>
        <w:tc>
          <w:tcPr>
            <w:tcW w:w="3461" w:type="dxa"/>
          </w:tcPr>
          <w:p w14:paraId="13F7926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评审标准</w:t>
            </w:r>
          </w:p>
        </w:tc>
      </w:tr>
      <w:tr w14:paraId="1B49A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0ED66AE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23" w:type="dxa"/>
          </w:tcPr>
          <w:p w14:paraId="75F3068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692" w:type="dxa"/>
          </w:tcPr>
          <w:p w14:paraId="02A6F37B">
            <w:pPr>
              <w:pStyle w:val="4"/>
              <w:keepNext w:val="0"/>
              <w:keepLines w:val="0"/>
              <w:pageBreakBefore w:val="0"/>
              <w:kinsoku/>
              <w:wordWrap/>
              <w:overflowPunct/>
              <w:topLinePunct w:val="0"/>
              <w:autoSpaceDE/>
              <w:autoSpaceDN/>
              <w:bidi w:val="0"/>
              <w:adjustRightInd/>
              <w:snapToGrid/>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3461" w:type="dxa"/>
          </w:tcPr>
          <w:p w14:paraId="6C9B525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对提供的全部货物制造商属于小型和微型企业的投标人的投标报价给予相应百分比的扣除，用扣除后的价格参与评审。残疾人福利性单位视同小型、微型企业，享受同等价格扣除，但同时属于残疾人福利性单位和小微企业的，不重复价格扣除。</w:t>
            </w:r>
          </w:p>
        </w:tc>
      </w:tr>
    </w:tbl>
    <w:p w14:paraId="20B4552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13.价格权重：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D439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786AF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权重项编号</w:t>
            </w:r>
          </w:p>
        </w:tc>
        <w:tc>
          <w:tcPr>
            <w:tcW w:w="2769" w:type="dxa"/>
          </w:tcPr>
          <w:p w14:paraId="31C4E45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w:t>
            </w:r>
          </w:p>
        </w:tc>
        <w:tc>
          <w:tcPr>
            <w:tcW w:w="2769" w:type="dxa"/>
          </w:tcPr>
          <w:p w14:paraId="48284E0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权重值</w:t>
            </w:r>
          </w:p>
        </w:tc>
      </w:tr>
      <w:tr w14:paraId="29F0E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44C82A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69" w:type="dxa"/>
          </w:tcPr>
          <w:p w14:paraId="6451723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标的价格</w:t>
            </w:r>
          </w:p>
        </w:tc>
        <w:tc>
          <w:tcPr>
            <w:tcW w:w="2769" w:type="dxa"/>
          </w:tcPr>
          <w:p w14:paraId="1B81BA7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w:t>
            </w:r>
          </w:p>
        </w:tc>
      </w:tr>
    </w:tbl>
    <w:p w14:paraId="42AA741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14.第二阶段成交供应商的方式：直接选定/二次竞价</w:t>
      </w:r>
    </w:p>
    <w:p w14:paraId="68D57D7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单次采购20万元以下（不含20万）的采用直接选定或者二次竞价，20万元以上（含20万）的采用二次竞价。</w:t>
      </w:r>
    </w:p>
    <w:p w14:paraId="47C8848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15.资金支付方式、时间和条件：</w:t>
      </w:r>
    </w:p>
    <w:p w14:paraId="6169E2F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支付方式：一次性付款或分期付款</w:t>
      </w:r>
    </w:p>
    <w:p w14:paraId="08F8F53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 支付时间和条件：对于满足合同约定支付条件的，采购人应当自收到发票后10个工作日内将资金支付到合同约定的供应商账户。采购人和供应商在第二阶段有特殊约定的除外。</w:t>
      </w:r>
    </w:p>
    <w:p w14:paraId="05FAB595">
      <w:pPr>
        <w:pStyle w:val="4"/>
        <w:keepNext w:val="0"/>
        <w:keepLines w:val="0"/>
        <w:pageBreakBefore w:val="0"/>
        <w:kinsoku/>
        <w:wordWrap/>
        <w:overflowPunct/>
        <w:topLinePunct w:val="0"/>
        <w:autoSpaceDE/>
        <w:autoSpaceDN/>
        <w:bidi w:val="0"/>
        <w:adjustRightInd/>
        <w:snapToGrid/>
        <w:ind w:firstLine="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（五）分包名称：包5</w:t>
      </w:r>
    </w:p>
    <w:p w14:paraId="5159C35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1.采购标的：操作系统</w:t>
      </w:r>
    </w:p>
    <w:p w14:paraId="4DEC227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2.需求明细：</w:t>
      </w:r>
    </w:p>
    <w:p w14:paraId="3DAB843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1）标的名称：服务器操作系统</w:t>
      </w:r>
    </w:p>
    <w:p w14:paraId="0AB2129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2）计量单位：套</w:t>
      </w:r>
    </w:p>
    <w:p w14:paraId="1E61A25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3）是否强制采购节能产品： 否</w:t>
      </w:r>
    </w:p>
    <w:p w14:paraId="157F25D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4）是否优先采购节能环保产品： 否</w:t>
      </w:r>
    </w:p>
    <w:p w14:paraId="1C48A6F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5）是否采购进口产品： 否</w:t>
      </w:r>
    </w:p>
    <w:p w14:paraId="04F4E08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6）标的物所属行业：软件和信息技术服务业</w:t>
      </w:r>
    </w:p>
    <w:p w14:paraId="096A56C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3.拟采购标的的技术要求：</w:t>
      </w:r>
    </w:p>
    <w:tbl>
      <w:tblPr>
        <w:tblStyle w:val="2"/>
        <w:tblW w:w="10350" w:type="dxa"/>
        <w:tblInd w:w="-983"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703"/>
        <w:gridCol w:w="774"/>
        <w:gridCol w:w="1361"/>
        <w:gridCol w:w="773"/>
        <w:gridCol w:w="739"/>
        <w:gridCol w:w="1003"/>
        <w:gridCol w:w="3750"/>
        <w:gridCol w:w="1247"/>
      </w:tblGrid>
      <w:tr w14:paraId="16275F6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25CB7E8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74" w:type="dxa"/>
            <w:vAlign w:val="center"/>
          </w:tcPr>
          <w:p w14:paraId="13187E5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c>
          <w:tcPr>
            <w:tcW w:w="1361" w:type="dxa"/>
            <w:vAlign w:val="center"/>
          </w:tcPr>
          <w:p w14:paraId="5F62E10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tc>
        <w:tc>
          <w:tcPr>
            <w:tcW w:w="773" w:type="dxa"/>
            <w:vAlign w:val="center"/>
          </w:tcPr>
          <w:p w14:paraId="24ED15E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739" w:type="dxa"/>
            <w:vAlign w:val="center"/>
          </w:tcPr>
          <w:p w14:paraId="3472F37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参数符号</w:t>
            </w:r>
          </w:p>
        </w:tc>
        <w:tc>
          <w:tcPr>
            <w:tcW w:w="1003" w:type="dxa"/>
            <w:vAlign w:val="center"/>
          </w:tcPr>
          <w:p w14:paraId="372E3CC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参数值规则</w:t>
            </w:r>
          </w:p>
        </w:tc>
        <w:tc>
          <w:tcPr>
            <w:tcW w:w="3750" w:type="dxa"/>
            <w:vAlign w:val="center"/>
          </w:tcPr>
          <w:p w14:paraId="5BB9FFC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w:t>
            </w:r>
          </w:p>
        </w:tc>
        <w:tc>
          <w:tcPr>
            <w:tcW w:w="1247" w:type="dxa"/>
            <w:vAlign w:val="center"/>
          </w:tcPr>
          <w:p w14:paraId="213831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参数值偏离规则</w:t>
            </w:r>
          </w:p>
        </w:tc>
      </w:tr>
      <w:tr w14:paraId="1989FC8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66924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74" w:type="dxa"/>
            <w:vAlign w:val="center"/>
          </w:tcPr>
          <w:p w14:paraId="3944FB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4F34E1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强制访问控制</w:t>
            </w:r>
          </w:p>
        </w:tc>
        <w:tc>
          <w:tcPr>
            <w:tcW w:w="773" w:type="dxa"/>
            <w:vAlign w:val="center"/>
          </w:tcPr>
          <w:p w14:paraId="0FD3FB8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009857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16947AA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3759A1E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操作系统支持对应用程序的访问控制与资源限制，包括对文件、网络等客体的访问控制；支持应用安装控制、应用执行控制。</w:t>
            </w:r>
          </w:p>
        </w:tc>
        <w:tc>
          <w:tcPr>
            <w:tcW w:w="1247" w:type="dxa"/>
            <w:vAlign w:val="center"/>
          </w:tcPr>
          <w:p w14:paraId="7DE11F2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7ED4F5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B887DE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74" w:type="dxa"/>
            <w:vAlign w:val="center"/>
          </w:tcPr>
          <w:p w14:paraId="32F98B2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AA079A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自主访问控制</w:t>
            </w:r>
          </w:p>
        </w:tc>
        <w:tc>
          <w:tcPr>
            <w:tcW w:w="773" w:type="dxa"/>
            <w:vAlign w:val="center"/>
          </w:tcPr>
          <w:p w14:paraId="3B0FF5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5A28E9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13D8679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6590769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允许客体拥有者以普通账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c>
          <w:tcPr>
            <w:tcW w:w="1247" w:type="dxa"/>
            <w:vAlign w:val="center"/>
          </w:tcPr>
          <w:p w14:paraId="73076D0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001B84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6EF6EC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74" w:type="dxa"/>
            <w:vAlign w:val="center"/>
          </w:tcPr>
          <w:p w14:paraId="69ABE7D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690C049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代码无风险</w:t>
            </w:r>
          </w:p>
        </w:tc>
        <w:tc>
          <w:tcPr>
            <w:tcW w:w="773" w:type="dxa"/>
            <w:vAlign w:val="center"/>
          </w:tcPr>
          <w:p w14:paraId="2D13092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DA2220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29B0C93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60CFCAE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操作系统厂商可提供源代码，源代码可供第三方机构审查，开源许可合规，代码知识产权无风险，无恶意安全漏洞或后门，代码可追溯、可重构</w:t>
            </w:r>
          </w:p>
        </w:tc>
        <w:tc>
          <w:tcPr>
            <w:tcW w:w="1247" w:type="dxa"/>
            <w:vAlign w:val="center"/>
          </w:tcPr>
          <w:p w14:paraId="1324BCC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7794E6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4001D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74" w:type="dxa"/>
            <w:vAlign w:val="center"/>
          </w:tcPr>
          <w:p w14:paraId="37D0DA3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D08A1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日志服务管理工具</w:t>
            </w:r>
          </w:p>
        </w:tc>
        <w:tc>
          <w:tcPr>
            <w:tcW w:w="773" w:type="dxa"/>
            <w:vAlign w:val="center"/>
          </w:tcPr>
          <w:p w14:paraId="49F3A8F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6578B7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760345D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CD571A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操作系统支持收集系统日志。</w:t>
            </w:r>
          </w:p>
        </w:tc>
        <w:tc>
          <w:tcPr>
            <w:tcW w:w="1247" w:type="dxa"/>
            <w:vAlign w:val="center"/>
          </w:tcPr>
          <w:p w14:paraId="69CB900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6926D8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679417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74" w:type="dxa"/>
            <w:vAlign w:val="center"/>
          </w:tcPr>
          <w:p w14:paraId="41164B7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123BDE1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备份还原</w:t>
            </w:r>
          </w:p>
        </w:tc>
        <w:tc>
          <w:tcPr>
            <w:tcW w:w="773" w:type="dxa"/>
            <w:vAlign w:val="center"/>
          </w:tcPr>
          <w:p w14:paraId="350DA4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8EAB08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AB9205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6BADE3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操作系统提供备份还原功能，支持生成系统状态快照及恢复系统状态。</w:t>
            </w:r>
          </w:p>
        </w:tc>
        <w:tc>
          <w:tcPr>
            <w:tcW w:w="1247" w:type="dxa"/>
            <w:vAlign w:val="center"/>
          </w:tcPr>
          <w:p w14:paraId="3E0EA13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17C1AE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2DE3C6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74" w:type="dxa"/>
            <w:vAlign w:val="center"/>
          </w:tcPr>
          <w:p w14:paraId="6F8DFA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4B04259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同源兼容多CPU平台架构</w:t>
            </w:r>
          </w:p>
        </w:tc>
        <w:tc>
          <w:tcPr>
            <w:tcW w:w="773" w:type="dxa"/>
            <w:vAlign w:val="center"/>
          </w:tcPr>
          <w:p w14:paraId="34C7957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6B2E43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617CA07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E898F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操作系统支持同源兼容ARM、LoongArch、MIPS、SW64、x86架构的CPU</w:t>
            </w:r>
          </w:p>
        </w:tc>
        <w:tc>
          <w:tcPr>
            <w:tcW w:w="1247" w:type="dxa"/>
            <w:vAlign w:val="center"/>
          </w:tcPr>
          <w:p w14:paraId="1E283F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634264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3B817EB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74" w:type="dxa"/>
            <w:vAlign w:val="center"/>
          </w:tcPr>
          <w:p w14:paraId="0E58B2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16EF4CB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多核支持</w:t>
            </w:r>
          </w:p>
        </w:tc>
        <w:tc>
          <w:tcPr>
            <w:tcW w:w="773" w:type="dxa"/>
            <w:vAlign w:val="center"/>
          </w:tcPr>
          <w:p w14:paraId="6934DA1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9AAAB7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2035232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144AC8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操作系统支持双核及多核处理器，包括核间负载均衡、线程绑定等，并提供接口，通过访问接口获取运行状态和控制多核调度。</w:t>
            </w:r>
          </w:p>
        </w:tc>
        <w:tc>
          <w:tcPr>
            <w:tcW w:w="1247" w:type="dxa"/>
            <w:vAlign w:val="center"/>
          </w:tcPr>
          <w:p w14:paraId="1515875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4419D7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79D9D7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74" w:type="dxa"/>
            <w:vAlign w:val="center"/>
          </w:tcPr>
          <w:p w14:paraId="03075A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5933B15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CPU虚拟化支持</w:t>
            </w:r>
          </w:p>
        </w:tc>
        <w:tc>
          <w:tcPr>
            <w:tcW w:w="773" w:type="dxa"/>
            <w:vAlign w:val="center"/>
          </w:tcPr>
          <w:p w14:paraId="43D34C5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D06A9F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5A3C95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225428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操作系统支持CPU虚拟化技术</w:t>
            </w:r>
          </w:p>
        </w:tc>
        <w:tc>
          <w:tcPr>
            <w:tcW w:w="1247" w:type="dxa"/>
            <w:vAlign w:val="center"/>
          </w:tcPr>
          <w:p w14:paraId="206D83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C675B7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2B3446F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74" w:type="dxa"/>
            <w:vAlign w:val="center"/>
          </w:tcPr>
          <w:p w14:paraId="66D4F95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60DB96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动态调节CPU运行频率</w:t>
            </w:r>
          </w:p>
        </w:tc>
        <w:tc>
          <w:tcPr>
            <w:tcW w:w="773" w:type="dxa"/>
            <w:vAlign w:val="center"/>
          </w:tcPr>
          <w:p w14:paraId="0FF2304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DF9756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67B244F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18E8A26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操作系统根据负载情况，自动调节CPU的运行频率</w:t>
            </w:r>
          </w:p>
        </w:tc>
        <w:tc>
          <w:tcPr>
            <w:tcW w:w="1247" w:type="dxa"/>
            <w:vAlign w:val="center"/>
          </w:tcPr>
          <w:p w14:paraId="747277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1E48E0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E722E1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774" w:type="dxa"/>
            <w:vAlign w:val="center"/>
          </w:tcPr>
          <w:p w14:paraId="614D18F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181EC1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支持CPU内置安全功能</w:t>
            </w:r>
          </w:p>
        </w:tc>
        <w:tc>
          <w:tcPr>
            <w:tcW w:w="773" w:type="dxa"/>
            <w:vAlign w:val="center"/>
          </w:tcPr>
          <w:p w14:paraId="4174B83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822420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52B5C24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32E2C6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操作系统支持CPU硬件密码运算与随机数生成等功能；提供编程接口供应用程序调用；支持通过硬件指令判别临界区冲突；支持调用CPU指令，实现自旋锁。</w:t>
            </w:r>
          </w:p>
        </w:tc>
        <w:tc>
          <w:tcPr>
            <w:tcW w:w="1247" w:type="dxa"/>
            <w:vAlign w:val="center"/>
          </w:tcPr>
          <w:p w14:paraId="6DFA7F7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03E9B5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EB148A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774" w:type="dxa"/>
            <w:vAlign w:val="center"/>
          </w:tcPr>
          <w:p w14:paraId="0030753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2CD636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安装方式</w:t>
            </w:r>
          </w:p>
        </w:tc>
        <w:tc>
          <w:tcPr>
            <w:tcW w:w="773" w:type="dxa"/>
            <w:vAlign w:val="center"/>
          </w:tcPr>
          <w:p w14:paraId="3230E31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976314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7E0F771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323203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操作系统支持光盘安装、USB闪存盘安装、网络安装和无人值守安装。</w:t>
            </w:r>
          </w:p>
        </w:tc>
        <w:tc>
          <w:tcPr>
            <w:tcW w:w="1247" w:type="dxa"/>
            <w:vAlign w:val="center"/>
          </w:tcPr>
          <w:p w14:paraId="641104C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98C034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43ABCA8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774" w:type="dxa"/>
            <w:vAlign w:val="center"/>
          </w:tcPr>
          <w:p w14:paraId="1D0AF40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5BF4598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安装过程配置</w:t>
            </w:r>
          </w:p>
        </w:tc>
        <w:tc>
          <w:tcPr>
            <w:tcW w:w="773" w:type="dxa"/>
            <w:vAlign w:val="center"/>
          </w:tcPr>
          <w:p w14:paraId="050C46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3C885E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5232D1A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35794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c>
          <w:tcPr>
            <w:tcW w:w="1247" w:type="dxa"/>
            <w:vAlign w:val="center"/>
          </w:tcPr>
          <w:p w14:paraId="231361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71F952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45BF06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774" w:type="dxa"/>
            <w:vAlign w:val="center"/>
          </w:tcPr>
          <w:p w14:paraId="6C914C0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6AAFA8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分辨率自适应</w:t>
            </w:r>
          </w:p>
        </w:tc>
        <w:tc>
          <w:tcPr>
            <w:tcW w:w="773" w:type="dxa"/>
            <w:vAlign w:val="center"/>
          </w:tcPr>
          <w:p w14:paraId="0154CF2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619CB5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6D60F8E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850211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操作系统安装完成后应自动适配显示器最佳分辨率(文本模式除外)。</w:t>
            </w:r>
          </w:p>
        </w:tc>
        <w:tc>
          <w:tcPr>
            <w:tcW w:w="1247" w:type="dxa"/>
            <w:vAlign w:val="center"/>
          </w:tcPr>
          <w:p w14:paraId="6FF24F8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7738DB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64018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774" w:type="dxa"/>
            <w:vAlign w:val="center"/>
          </w:tcPr>
          <w:p w14:paraId="6C3791E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5B00630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系统-内核要求</w:t>
            </w:r>
          </w:p>
        </w:tc>
        <w:tc>
          <w:tcPr>
            <w:tcW w:w="773" w:type="dxa"/>
            <w:vAlign w:val="center"/>
          </w:tcPr>
          <w:p w14:paraId="60DFC39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F4F071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6B5F20F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813764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a)若操作系统是基于Linux内核的服务器操作系统应兼容4.19版内核； b)若操作系统属于其他类型内核不做要求。</w:t>
            </w:r>
          </w:p>
        </w:tc>
        <w:tc>
          <w:tcPr>
            <w:tcW w:w="1247" w:type="dxa"/>
            <w:vAlign w:val="center"/>
          </w:tcPr>
          <w:p w14:paraId="541797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0AB6D7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6157CC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774" w:type="dxa"/>
            <w:vAlign w:val="center"/>
          </w:tcPr>
          <w:p w14:paraId="7DDFBB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5386C8F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进程调度</w:t>
            </w:r>
          </w:p>
        </w:tc>
        <w:tc>
          <w:tcPr>
            <w:tcW w:w="773" w:type="dxa"/>
            <w:vAlign w:val="center"/>
          </w:tcPr>
          <w:p w14:paraId="129A90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8CCF29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47A852E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13686B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操作系统具备进程优先级动态调整能力，允许在进程运行时对优先级进行调整;区分实时进程与非实时进程，分别进行调度;支持进程运行状态检查</w:t>
            </w:r>
          </w:p>
        </w:tc>
        <w:tc>
          <w:tcPr>
            <w:tcW w:w="1247" w:type="dxa"/>
            <w:vAlign w:val="center"/>
          </w:tcPr>
          <w:p w14:paraId="7949604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4BBE71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7DF886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774" w:type="dxa"/>
            <w:vAlign w:val="center"/>
          </w:tcPr>
          <w:p w14:paraId="0D69C6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1719FB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中文支持要求-字符编码</w:t>
            </w:r>
          </w:p>
        </w:tc>
        <w:tc>
          <w:tcPr>
            <w:tcW w:w="773" w:type="dxa"/>
            <w:vAlign w:val="center"/>
          </w:tcPr>
          <w:p w14:paraId="556001A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EFBFE4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50896C4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281152A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操作系统符合GB18030的要求</w:t>
            </w:r>
          </w:p>
        </w:tc>
        <w:tc>
          <w:tcPr>
            <w:tcW w:w="1247" w:type="dxa"/>
            <w:vAlign w:val="center"/>
          </w:tcPr>
          <w:p w14:paraId="0392EC9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0C9E01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422BD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774" w:type="dxa"/>
            <w:vAlign w:val="center"/>
          </w:tcPr>
          <w:p w14:paraId="328FF18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709EE88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开发文档</w:t>
            </w:r>
          </w:p>
        </w:tc>
        <w:tc>
          <w:tcPr>
            <w:tcW w:w="773" w:type="dxa"/>
            <w:vAlign w:val="center"/>
          </w:tcPr>
          <w:p w14:paraId="5F9240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3C1FF8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272F1CE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4EAA9B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供应商应提供软件开发参考文档、驱动开发参考文档、应用移植开发文档、API文档。</w:t>
            </w:r>
          </w:p>
        </w:tc>
        <w:tc>
          <w:tcPr>
            <w:tcW w:w="1247" w:type="dxa"/>
            <w:vAlign w:val="center"/>
          </w:tcPr>
          <w:p w14:paraId="23463E7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79B2E3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E32E0B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774" w:type="dxa"/>
            <w:vAlign w:val="center"/>
          </w:tcPr>
          <w:p w14:paraId="503DFF7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BB7E15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运行环境-文件系统层次结构</w:t>
            </w:r>
          </w:p>
        </w:tc>
        <w:tc>
          <w:tcPr>
            <w:tcW w:w="773" w:type="dxa"/>
            <w:vAlign w:val="center"/>
          </w:tcPr>
          <w:p w14:paraId="3535F2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EEF635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446AB04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2F7E98E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供应商应给出长期兼容支持的文件系统层次结构</w:t>
            </w:r>
          </w:p>
        </w:tc>
        <w:tc>
          <w:tcPr>
            <w:tcW w:w="1247" w:type="dxa"/>
            <w:vAlign w:val="center"/>
          </w:tcPr>
          <w:p w14:paraId="08970DF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0E7928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F052A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774" w:type="dxa"/>
            <w:vAlign w:val="center"/>
          </w:tcPr>
          <w:p w14:paraId="54E214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11C3AF0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运行环境-运行库</w:t>
            </w:r>
          </w:p>
        </w:tc>
        <w:tc>
          <w:tcPr>
            <w:tcW w:w="773" w:type="dxa"/>
            <w:vAlign w:val="center"/>
          </w:tcPr>
          <w:p w14:paraId="306500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ECA9C6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AFA3AC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321D192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供应商应给出长期兼容支持的运行库</w:t>
            </w:r>
          </w:p>
        </w:tc>
        <w:tc>
          <w:tcPr>
            <w:tcW w:w="1247" w:type="dxa"/>
            <w:vAlign w:val="center"/>
          </w:tcPr>
          <w:p w14:paraId="6482E5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05E8F4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BC34EB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774" w:type="dxa"/>
            <w:vAlign w:val="center"/>
          </w:tcPr>
          <w:p w14:paraId="3F681FC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1D78FBE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运行环境-命令</w:t>
            </w:r>
          </w:p>
        </w:tc>
        <w:tc>
          <w:tcPr>
            <w:tcW w:w="773" w:type="dxa"/>
            <w:vAlign w:val="center"/>
          </w:tcPr>
          <w:p w14:paraId="3BD97E3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F5D472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14D5B68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7BED2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供应商应给出长期兼容支持的常用命令</w:t>
            </w:r>
          </w:p>
        </w:tc>
        <w:tc>
          <w:tcPr>
            <w:tcW w:w="1247" w:type="dxa"/>
            <w:vAlign w:val="center"/>
          </w:tcPr>
          <w:p w14:paraId="6D565F0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CB13D6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5DBCC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774" w:type="dxa"/>
            <w:vAlign w:val="center"/>
          </w:tcPr>
          <w:p w14:paraId="3B3109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4C85269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交付方式</w:t>
            </w:r>
          </w:p>
        </w:tc>
        <w:tc>
          <w:tcPr>
            <w:tcW w:w="773" w:type="dxa"/>
            <w:vAlign w:val="center"/>
          </w:tcPr>
          <w:p w14:paraId="556E151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676667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4CF97B5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C1447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操作系统支持光盘、USB闪存盘、镜像文件（下载）等交付方式</w:t>
            </w:r>
          </w:p>
        </w:tc>
        <w:tc>
          <w:tcPr>
            <w:tcW w:w="1247" w:type="dxa"/>
            <w:vAlign w:val="center"/>
          </w:tcPr>
          <w:p w14:paraId="539323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48C3BD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21A761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774" w:type="dxa"/>
            <w:vAlign w:val="center"/>
          </w:tcPr>
          <w:p w14:paraId="669854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5653BE9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系统更换</w:t>
            </w:r>
          </w:p>
        </w:tc>
        <w:tc>
          <w:tcPr>
            <w:tcW w:w="773" w:type="dxa"/>
            <w:vAlign w:val="center"/>
          </w:tcPr>
          <w:p w14:paraId="10C46E7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2B0C54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E8D63D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2D8C3E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服务期内，操作系统厂商支持版本免费更换（注：更换后不延长服务期）</w:t>
            </w:r>
          </w:p>
        </w:tc>
        <w:tc>
          <w:tcPr>
            <w:tcW w:w="1247" w:type="dxa"/>
            <w:vAlign w:val="center"/>
          </w:tcPr>
          <w:p w14:paraId="5AB3A9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E6EFE8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F38AD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774" w:type="dxa"/>
            <w:vAlign w:val="center"/>
          </w:tcPr>
          <w:p w14:paraId="7D94FB5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C741C0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服务团队</w:t>
            </w:r>
          </w:p>
        </w:tc>
        <w:tc>
          <w:tcPr>
            <w:tcW w:w="773" w:type="dxa"/>
            <w:vAlign w:val="center"/>
          </w:tcPr>
          <w:p w14:paraId="4341BE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CCF0C2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167D8BC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13AF802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操作系统厂商建立全国技术服务体系和服务团队，为客户提供专业的原厂中文服务</w:t>
            </w:r>
          </w:p>
        </w:tc>
        <w:tc>
          <w:tcPr>
            <w:tcW w:w="1247" w:type="dxa"/>
            <w:vAlign w:val="center"/>
          </w:tcPr>
          <w:p w14:paraId="0ABE4C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ED1D4F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2DDE640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774" w:type="dxa"/>
            <w:vAlign w:val="center"/>
          </w:tcPr>
          <w:p w14:paraId="6401A39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7643B2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数据收集安全保障</w:t>
            </w:r>
          </w:p>
        </w:tc>
        <w:tc>
          <w:tcPr>
            <w:tcW w:w="773" w:type="dxa"/>
            <w:vAlign w:val="center"/>
          </w:tcPr>
          <w:p w14:paraId="3AE48E5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A6B6D8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F64650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38A034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除用户授权采集的信息外不采集其他数据，相关信息采集无安全风险，相关数据存储在大陆境内</w:t>
            </w:r>
          </w:p>
        </w:tc>
        <w:tc>
          <w:tcPr>
            <w:tcW w:w="1247" w:type="dxa"/>
            <w:vAlign w:val="center"/>
          </w:tcPr>
          <w:p w14:paraId="76B927D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2816F0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7E4135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774" w:type="dxa"/>
            <w:vAlign w:val="center"/>
          </w:tcPr>
          <w:p w14:paraId="7A572D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4C57E0C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数据供给安全保障</w:t>
            </w:r>
          </w:p>
        </w:tc>
        <w:tc>
          <w:tcPr>
            <w:tcW w:w="773" w:type="dxa"/>
            <w:vAlign w:val="center"/>
          </w:tcPr>
          <w:p w14:paraId="729F7E6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CD83FF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2C98486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330754B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数据供给安全保障：涉及数据下载的线上服务物理服务器不出境，包括代码仓库、系统补丁、安全补丁、服务网站等</w:t>
            </w:r>
          </w:p>
        </w:tc>
        <w:tc>
          <w:tcPr>
            <w:tcW w:w="1247" w:type="dxa"/>
            <w:vAlign w:val="center"/>
          </w:tcPr>
          <w:p w14:paraId="7ECA523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C7EA51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2FF6DF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774" w:type="dxa"/>
            <w:vAlign w:val="center"/>
          </w:tcPr>
          <w:p w14:paraId="3992398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28D413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基本要求</w:t>
            </w:r>
          </w:p>
        </w:tc>
        <w:tc>
          <w:tcPr>
            <w:tcW w:w="773" w:type="dxa"/>
            <w:vAlign w:val="center"/>
          </w:tcPr>
          <w:p w14:paraId="6E7F0D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09C4C4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2A65E02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74C42C3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符合财政部、工业和信息化部关于印发《操作系统政府采购需求标准(2023年版)》的通知中《服务器操作系统政府采购需求标准》规定的其他*内容（第165条*基本要求-“操作系统应当符合安全可靠测评要求”除外）</w:t>
            </w:r>
          </w:p>
        </w:tc>
        <w:tc>
          <w:tcPr>
            <w:tcW w:w="1247" w:type="dxa"/>
            <w:vAlign w:val="center"/>
          </w:tcPr>
          <w:p w14:paraId="32CEE0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A07C1D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273BCC3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774" w:type="dxa"/>
            <w:vAlign w:val="center"/>
          </w:tcPr>
          <w:p w14:paraId="784B8E3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424DA9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密码算法实现</w:t>
            </w:r>
          </w:p>
        </w:tc>
        <w:tc>
          <w:tcPr>
            <w:tcW w:w="773" w:type="dxa"/>
            <w:vAlign w:val="center"/>
          </w:tcPr>
          <w:p w14:paraId="157C3EC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9B865E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7823938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37039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操作系统支持GM/T0002、GM/T0003和GM/T0004规定的密码算法运算</w:t>
            </w:r>
          </w:p>
        </w:tc>
        <w:tc>
          <w:tcPr>
            <w:tcW w:w="1247" w:type="dxa"/>
            <w:vAlign w:val="center"/>
          </w:tcPr>
          <w:p w14:paraId="49A83E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569303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3238378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774" w:type="dxa"/>
            <w:vAlign w:val="center"/>
          </w:tcPr>
          <w:p w14:paraId="62109E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70876EE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随机数生成</w:t>
            </w:r>
          </w:p>
        </w:tc>
        <w:tc>
          <w:tcPr>
            <w:tcW w:w="773" w:type="dxa"/>
            <w:vAlign w:val="center"/>
          </w:tcPr>
          <w:p w14:paraId="466FA1C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ACDBB4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5AC41BB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5F67268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随机数质量符合GM/T0005《随机性检测规范》或GB/T32915《信息安全技术二元序列随机性检测方法》</w:t>
            </w:r>
          </w:p>
        </w:tc>
        <w:tc>
          <w:tcPr>
            <w:tcW w:w="1247" w:type="dxa"/>
            <w:vAlign w:val="center"/>
          </w:tcPr>
          <w:p w14:paraId="3821B9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125A7F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23DF302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774" w:type="dxa"/>
            <w:vAlign w:val="center"/>
          </w:tcPr>
          <w:p w14:paraId="5C2830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0B66F6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内置数字证书</w:t>
            </w:r>
          </w:p>
        </w:tc>
        <w:tc>
          <w:tcPr>
            <w:tcW w:w="773" w:type="dxa"/>
            <w:vAlign w:val="center"/>
          </w:tcPr>
          <w:p w14:paraId="6733FB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F78EA5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78EE63F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19B40C8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操作系统内置国家电子认证根CA的根证书</w:t>
            </w:r>
          </w:p>
        </w:tc>
        <w:tc>
          <w:tcPr>
            <w:tcW w:w="1247" w:type="dxa"/>
            <w:vAlign w:val="center"/>
          </w:tcPr>
          <w:p w14:paraId="5156F06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507763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27E913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774" w:type="dxa"/>
            <w:vAlign w:val="center"/>
          </w:tcPr>
          <w:p w14:paraId="23687B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DB4A5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密码协议实现</w:t>
            </w:r>
          </w:p>
        </w:tc>
        <w:tc>
          <w:tcPr>
            <w:tcW w:w="773" w:type="dxa"/>
            <w:vAlign w:val="center"/>
          </w:tcPr>
          <w:p w14:paraId="741B467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4960A5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58ED132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292884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操作系统支持符合GB/T38636—2020的TLCP</w:t>
            </w:r>
          </w:p>
        </w:tc>
        <w:tc>
          <w:tcPr>
            <w:tcW w:w="1247" w:type="dxa"/>
            <w:vAlign w:val="center"/>
          </w:tcPr>
          <w:p w14:paraId="10E870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EEB3B5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4DE3EA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774" w:type="dxa"/>
            <w:vAlign w:val="center"/>
          </w:tcPr>
          <w:p w14:paraId="21A80BE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555C5A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其他要求</w:t>
            </w:r>
          </w:p>
        </w:tc>
        <w:tc>
          <w:tcPr>
            <w:tcW w:w="773" w:type="dxa"/>
            <w:vAlign w:val="center"/>
          </w:tcPr>
          <w:p w14:paraId="7FE9C9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9EC4C9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18C231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9F3B2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应当符合安全可靠测评要求（通过政府有关部门指定的中国信息安全测评中心和国家保密科技测评中心网站查看安全可靠测评结果）。供应商响应时需提供中国信息安全测评中心或国家保密科技测评中心网站有响应产品通过页面的截图（截图应清晰完整，可多页）</w:t>
            </w:r>
          </w:p>
        </w:tc>
        <w:tc>
          <w:tcPr>
            <w:tcW w:w="1247" w:type="dxa"/>
            <w:vAlign w:val="center"/>
          </w:tcPr>
          <w:p w14:paraId="15A32F0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308723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9D70FE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774" w:type="dxa"/>
            <w:vAlign w:val="center"/>
          </w:tcPr>
          <w:p w14:paraId="5C61AB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7B18391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可移动存储</w:t>
            </w:r>
          </w:p>
        </w:tc>
        <w:tc>
          <w:tcPr>
            <w:tcW w:w="773" w:type="dxa"/>
            <w:vAlign w:val="center"/>
          </w:tcPr>
          <w:p w14:paraId="04303AF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B4BE13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441C017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A38D7F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操作系统支持对可移动外部存储的管理，包括启停、禁用、恢复等</w:t>
            </w:r>
          </w:p>
        </w:tc>
        <w:tc>
          <w:tcPr>
            <w:tcW w:w="1247" w:type="dxa"/>
            <w:vAlign w:val="center"/>
          </w:tcPr>
          <w:p w14:paraId="36DCFCE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3ED9F5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32D69C7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774" w:type="dxa"/>
            <w:vAlign w:val="center"/>
          </w:tcPr>
          <w:p w14:paraId="1B74E7C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7695C1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文件管理</w:t>
            </w:r>
          </w:p>
        </w:tc>
        <w:tc>
          <w:tcPr>
            <w:tcW w:w="773" w:type="dxa"/>
            <w:vAlign w:val="center"/>
          </w:tcPr>
          <w:p w14:paraId="45D7E2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F60A8D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7E47D2A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7B1132A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操作系统支持文件存储、检索和共享</w:t>
            </w:r>
          </w:p>
        </w:tc>
        <w:tc>
          <w:tcPr>
            <w:tcW w:w="1247" w:type="dxa"/>
            <w:vAlign w:val="center"/>
          </w:tcPr>
          <w:p w14:paraId="12062BA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1D490A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AFECF9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774" w:type="dxa"/>
            <w:vAlign w:val="center"/>
          </w:tcPr>
          <w:p w14:paraId="754D699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E1B13A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虚拟文件系统</w:t>
            </w:r>
          </w:p>
        </w:tc>
        <w:tc>
          <w:tcPr>
            <w:tcW w:w="773" w:type="dxa"/>
            <w:vAlign w:val="center"/>
          </w:tcPr>
          <w:p w14:paraId="6CBC7C8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3AAE8F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4EBD2EC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578EA5E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操作系统支持将不同功能的外部设备抽象为统一的文件操作接口，包括存储、输入输出设备</w:t>
            </w:r>
          </w:p>
        </w:tc>
        <w:tc>
          <w:tcPr>
            <w:tcW w:w="1247" w:type="dxa"/>
            <w:vAlign w:val="center"/>
          </w:tcPr>
          <w:p w14:paraId="2DC2514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559CBE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C7F0E9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774" w:type="dxa"/>
            <w:vAlign w:val="center"/>
          </w:tcPr>
          <w:p w14:paraId="647AE19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5E6E23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RAID支持</w:t>
            </w:r>
          </w:p>
        </w:tc>
        <w:tc>
          <w:tcPr>
            <w:tcW w:w="773" w:type="dxa"/>
            <w:vAlign w:val="center"/>
          </w:tcPr>
          <w:p w14:paraId="0F948C3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5A22BC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4991556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EA23BD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操作系统支持硬RAID和软RAID，支持软RAID级别0、1、5、6、10</w:t>
            </w:r>
          </w:p>
        </w:tc>
        <w:tc>
          <w:tcPr>
            <w:tcW w:w="1247" w:type="dxa"/>
            <w:vAlign w:val="center"/>
          </w:tcPr>
          <w:p w14:paraId="45C521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3955C9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8C05F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774" w:type="dxa"/>
            <w:vAlign w:val="center"/>
          </w:tcPr>
          <w:p w14:paraId="471871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B02604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内存大页管理</w:t>
            </w:r>
          </w:p>
        </w:tc>
        <w:tc>
          <w:tcPr>
            <w:tcW w:w="773" w:type="dxa"/>
            <w:vAlign w:val="center"/>
          </w:tcPr>
          <w:p w14:paraId="062E9E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27F965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7E2D9E8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2AABA0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操作系统允许应用申请内存大页降低页表转换</w:t>
            </w:r>
          </w:p>
        </w:tc>
        <w:tc>
          <w:tcPr>
            <w:tcW w:w="1247" w:type="dxa"/>
            <w:vAlign w:val="center"/>
          </w:tcPr>
          <w:p w14:paraId="46CA105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183B1C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655E43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w:t>
            </w:r>
          </w:p>
        </w:tc>
        <w:tc>
          <w:tcPr>
            <w:tcW w:w="774" w:type="dxa"/>
            <w:vAlign w:val="center"/>
          </w:tcPr>
          <w:p w14:paraId="5065E70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69B2E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内存容量</w:t>
            </w:r>
          </w:p>
        </w:tc>
        <w:tc>
          <w:tcPr>
            <w:tcW w:w="773" w:type="dxa"/>
            <w:vAlign w:val="center"/>
          </w:tcPr>
          <w:p w14:paraId="5D5415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84336A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19C070D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502010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操作系统支持最大内存不小于4TB</w:t>
            </w:r>
          </w:p>
        </w:tc>
        <w:tc>
          <w:tcPr>
            <w:tcW w:w="1247" w:type="dxa"/>
            <w:vAlign w:val="center"/>
          </w:tcPr>
          <w:p w14:paraId="27F150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761A3F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71585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w:t>
            </w:r>
          </w:p>
        </w:tc>
        <w:tc>
          <w:tcPr>
            <w:tcW w:w="774" w:type="dxa"/>
            <w:vAlign w:val="center"/>
          </w:tcPr>
          <w:p w14:paraId="627DAC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9B5DC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多核轮询</w:t>
            </w:r>
          </w:p>
        </w:tc>
        <w:tc>
          <w:tcPr>
            <w:tcW w:w="773" w:type="dxa"/>
            <w:vAlign w:val="center"/>
          </w:tcPr>
          <w:p w14:paraId="78675A7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B002F9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1AF974B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724F64E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操作系统支持CPU多核轮询调度</w:t>
            </w:r>
          </w:p>
        </w:tc>
        <w:tc>
          <w:tcPr>
            <w:tcW w:w="1247" w:type="dxa"/>
            <w:vAlign w:val="center"/>
          </w:tcPr>
          <w:p w14:paraId="4A64B42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9A1853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470FD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w:t>
            </w:r>
          </w:p>
        </w:tc>
        <w:tc>
          <w:tcPr>
            <w:tcW w:w="774" w:type="dxa"/>
            <w:vAlign w:val="center"/>
          </w:tcPr>
          <w:p w14:paraId="5CE4CF3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53056E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安装配置正确性校验</w:t>
            </w:r>
          </w:p>
        </w:tc>
        <w:tc>
          <w:tcPr>
            <w:tcW w:w="773" w:type="dxa"/>
            <w:vAlign w:val="center"/>
          </w:tcPr>
          <w:p w14:paraId="1E1EC1A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32D19D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68F2CC5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7900AAC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操作系统安装和配置过程中，如用户自定义的某些配置可能会影响系统启动或正常使用，予以明确提示</w:t>
            </w:r>
          </w:p>
        </w:tc>
        <w:tc>
          <w:tcPr>
            <w:tcW w:w="1247" w:type="dxa"/>
            <w:vAlign w:val="center"/>
          </w:tcPr>
          <w:p w14:paraId="145833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2D285B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DAB826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74" w:type="dxa"/>
            <w:vAlign w:val="center"/>
          </w:tcPr>
          <w:p w14:paraId="6627AC6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13DBF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引导参数编辑</w:t>
            </w:r>
          </w:p>
        </w:tc>
        <w:tc>
          <w:tcPr>
            <w:tcW w:w="773" w:type="dxa"/>
            <w:vAlign w:val="center"/>
          </w:tcPr>
          <w:p w14:paraId="166F1AA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10E26B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6438212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547B920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操作系统支持用户编辑引导参数，支持GRUB口令保护</w:t>
            </w:r>
          </w:p>
        </w:tc>
        <w:tc>
          <w:tcPr>
            <w:tcW w:w="1247" w:type="dxa"/>
            <w:vAlign w:val="center"/>
          </w:tcPr>
          <w:p w14:paraId="3B37E3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069199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1D7951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w:t>
            </w:r>
          </w:p>
        </w:tc>
        <w:tc>
          <w:tcPr>
            <w:tcW w:w="774" w:type="dxa"/>
            <w:vAlign w:val="center"/>
          </w:tcPr>
          <w:p w14:paraId="31526C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411024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安装模式</w:t>
            </w:r>
          </w:p>
        </w:tc>
        <w:tc>
          <w:tcPr>
            <w:tcW w:w="773" w:type="dxa"/>
            <w:vAlign w:val="center"/>
          </w:tcPr>
          <w:p w14:paraId="6DB9D4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A3F970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B4D775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155D54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操作系统支持图形或文本安装模式</w:t>
            </w:r>
          </w:p>
        </w:tc>
        <w:tc>
          <w:tcPr>
            <w:tcW w:w="1247" w:type="dxa"/>
            <w:vAlign w:val="center"/>
          </w:tcPr>
          <w:p w14:paraId="3E274D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A481D2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02CA80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774" w:type="dxa"/>
            <w:vAlign w:val="center"/>
          </w:tcPr>
          <w:p w14:paraId="4170F4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65EC28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用户操作审计工具</w:t>
            </w:r>
          </w:p>
        </w:tc>
        <w:tc>
          <w:tcPr>
            <w:tcW w:w="773" w:type="dxa"/>
            <w:vAlign w:val="center"/>
          </w:tcPr>
          <w:p w14:paraId="3977FB5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90AAED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7CEE857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F5A59D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操作系统支持用户操作痕迹查询。</w:t>
            </w:r>
          </w:p>
        </w:tc>
        <w:tc>
          <w:tcPr>
            <w:tcW w:w="1247" w:type="dxa"/>
            <w:vAlign w:val="center"/>
          </w:tcPr>
          <w:p w14:paraId="642039A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5975B3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B009F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774" w:type="dxa"/>
            <w:vAlign w:val="center"/>
          </w:tcPr>
          <w:p w14:paraId="2720BA4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8FC58C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存储管理工具</w:t>
            </w:r>
          </w:p>
        </w:tc>
        <w:tc>
          <w:tcPr>
            <w:tcW w:w="773" w:type="dxa"/>
            <w:vAlign w:val="center"/>
          </w:tcPr>
          <w:p w14:paraId="7D1EE3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4F22D9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101F684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EB418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操作系统支持EXT、XFS、NTFS、FAT、SWAP等多种格式的分区管理。</w:t>
            </w:r>
          </w:p>
        </w:tc>
        <w:tc>
          <w:tcPr>
            <w:tcW w:w="1247" w:type="dxa"/>
            <w:vAlign w:val="center"/>
          </w:tcPr>
          <w:p w14:paraId="52D25FE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60A0E9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464BC10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w:t>
            </w:r>
          </w:p>
        </w:tc>
        <w:tc>
          <w:tcPr>
            <w:tcW w:w="774" w:type="dxa"/>
            <w:vAlign w:val="center"/>
          </w:tcPr>
          <w:p w14:paraId="719DA0F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CC2A21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SNMP协议工具包</w:t>
            </w:r>
          </w:p>
        </w:tc>
        <w:tc>
          <w:tcPr>
            <w:tcW w:w="773" w:type="dxa"/>
            <w:vAlign w:val="center"/>
          </w:tcPr>
          <w:p w14:paraId="17F5D72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026603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266F58E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5FBCBC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操作系统支持SNMP设备和操作信息检索。</w:t>
            </w:r>
          </w:p>
        </w:tc>
        <w:tc>
          <w:tcPr>
            <w:tcW w:w="1247" w:type="dxa"/>
            <w:vAlign w:val="center"/>
          </w:tcPr>
          <w:p w14:paraId="6267FE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105AD6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55179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774" w:type="dxa"/>
            <w:vAlign w:val="center"/>
          </w:tcPr>
          <w:p w14:paraId="32EFB0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6DF1CB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网络管理工具</w:t>
            </w:r>
          </w:p>
        </w:tc>
        <w:tc>
          <w:tcPr>
            <w:tcW w:w="773" w:type="dxa"/>
            <w:vAlign w:val="center"/>
          </w:tcPr>
          <w:p w14:paraId="265815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9522BA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48A9296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D1C65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操作系统支持多网口自动连接、网络地址（常被称为“IP地址”）设置、DNS设置、路由设置；支持多网卡链路聚合，模式类型包括但不仅限于轮询、主备、802.3AD动态链路聚合。</w:t>
            </w:r>
          </w:p>
        </w:tc>
        <w:tc>
          <w:tcPr>
            <w:tcW w:w="1247" w:type="dxa"/>
            <w:vAlign w:val="center"/>
          </w:tcPr>
          <w:p w14:paraId="71EA412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468BEF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B0F45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w:t>
            </w:r>
          </w:p>
        </w:tc>
        <w:tc>
          <w:tcPr>
            <w:tcW w:w="774" w:type="dxa"/>
            <w:vAlign w:val="center"/>
          </w:tcPr>
          <w:p w14:paraId="7BF1F34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E521A6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文本终端连接工具</w:t>
            </w:r>
          </w:p>
        </w:tc>
        <w:tc>
          <w:tcPr>
            <w:tcW w:w="773" w:type="dxa"/>
            <w:vAlign w:val="center"/>
          </w:tcPr>
          <w:p w14:paraId="434FF02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1A19F5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561F2CD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72C3BB1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操作系统支持多终端协同管理。</w:t>
            </w:r>
          </w:p>
        </w:tc>
        <w:tc>
          <w:tcPr>
            <w:tcW w:w="1247" w:type="dxa"/>
            <w:vAlign w:val="center"/>
          </w:tcPr>
          <w:p w14:paraId="4137B35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009D62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6AB336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w:t>
            </w:r>
          </w:p>
        </w:tc>
        <w:tc>
          <w:tcPr>
            <w:tcW w:w="774" w:type="dxa"/>
            <w:vAlign w:val="center"/>
          </w:tcPr>
          <w:p w14:paraId="27C613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480029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服务管理工具集</w:t>
            </w:r>
          </w:p>
        </w:tc>
        <w:tc>
          <w:tcPr>
            <w:tcW w:w="773" w:type="dxa"/>
            <w:vAlign w:val="center"/>
          </w:tcPr>
          <w:p w14:paraId="3FB2E0C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00937A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1B927AA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5BA2F4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操作系统支持服务启动与停止，查看服务状态及日志，查询服务启动顺序及依赖关系。</w:t>
            </w:r>
          </w:p>
        </w:tc>
        <w:tc>
          <w:tcPr>
            <w:tcW w:w="1247" w:type="dxa"/>
            <w:vAlign w:val="center"/>
          </w:tcPr>
          <w:p w14:paraId="4647ACC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C0C921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29F6492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w:t>
            </w:r>
          </w:p>
        </w:tc>
        <w:tc>
          <w:tcPr>
            <w:tcW w:w="774" w:type="dxa"/>
            <w:vAlign w:val="center"/>
          </w:tcPr>
          <w:p w14:paraId="79A2D3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4231B74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中文帮助文档</w:t>
            </w:r>
          </w:p>
        </w:tc>
        <w:tc>
          <w:tcPr>
            <w:tcW w:w="773" w:type="dxa"/>
            <w:vAlign w:val="center"/>
          </w:tcPr>
          <w:p w14:paraId="72F8FDB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469C13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48920E2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DCBF68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操作系统内置中文帮助文档。</w:t>
            </w:r>
          </w:p>
        </w:tc>
        <w:tc>
          <w:tcPr>
            <w:tcW w:w="1247" w:type="dxa"/>
            <w:vAlign w:val="center"/>
          </w:tcPr>
          <w:p w14:paraId="5D8FD0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33A320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450D579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49</w:t>
            </w:r>
          </w:p>
        </w:tc>
        <w:tc>
          <w:tcPr>
            <w:tcW w:w="774" w:type="dxa"/>
            <w:vAlign w:val="center"/>
          </w:tcPr>
          <w:p w14:paraId="45DE7FB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8E837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配置管理工具</w:t>
            </w:r>
          </w:p>
        </w:tc>
        <w:tc>
          <w:tcPr>
            <w:tcW w:w="773" w:type="dxa"/>
            <w:vAlign w:val="center"/>
          </w:tcPr>
          <w:p w14:paraId="5DD433E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18CA28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342732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27EE44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操作系统提供配置管理工具，可以简化任务配置及服务管理。</w:t>
            </w:r>
          </w:p>
        </w:tc>
        <w:tc>
          <w:tcPr>
            <w:tcW w:w="1247" w:type="dxa"/>
            <w:vAlign w:val="center"/>
          </w:tcPr>
          <w:p w14:paraId="4749924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C3D90E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CD250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50</w:t>
            </w:r>
          </w:p>
        </w:tc>
        <w:tc>
          <w:tcPr>
            <w:tcW w:w="774" w:type="dxa"/>
            <w:vAlign w:val="center"/>
          </w:tcPr>
          <w:p w14:paraId="4359BE3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4B430A6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容器镜像和存储管理</w:t>
            </w:r>
          </w:p>
        </w:tc>
        <w:tc>
          <w:tcPr>
            <w:tcW w:w="773" w:type="dxa"/>
            <w:vAlign w:val="center"/>
          </w:tcPr>
          <w:p w14:paraId="3FEE5E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183BBD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5CBB9BE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1CD05D0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操作系统支持容器镜像导入、导出；支持容器镜像分层保存、导入。</w:t>
            </w:r>
          </w:p>
        </w:tc>
        <w:tc>
          <w:tcPr>
            <w:tcW w:w="1247" w:type="dxa"/>
            <w:vAlign w:val="center"/>
          </w:tcPr>
          <w:p w14:paraId="2A6D59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6ACB35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03331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w:t>
            </w:r>
          </w:p>
        </w:tc>
        <w:tc>
          <w:tcPr>
            <w:tcW w:w="774" w:type="dxa"/>
            <w:vAlign w:val="center"/>
          </w:tcPr>
          <w:p w14:paraId="7D5445E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139A6A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监控管理工具</w:t>
            </w:r>
          </w:p>
        </w:tc>
        <w:tc>
          <w:tcPr>
            <w:tcW w:w="773" w:type="dxa"/>
            <w:vAlign w:val="center"/>
          </w:tcPr>
          <w:p w14:paraId="2B49C51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925CD1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51B99AC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304B2D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操作系统支持监控系统资源使用情况，包含CPU、内存、存储I/O、网络I/O等。</w:t>
            </w:r>
          </w:p>
        </w:tc>
        <w:tc>
          <w:tcPr>
            <w:tcW w:w="1247" w:type="dxa"/>
            <w:vAlign w:val="center"/>
          </w:tcPr>
          <w:p w14:paraId="284206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FC4B82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75E381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p>
        </w:tc>
        <w:tc>
          <w:tcPr>
            <w:tcW w:w="774" w:type="dxa"/>
            <w:vAlign w:val="center"/>
          </w:tcPr>
          <w:p w14:paraId="6C2382C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43B1F4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守护进程</w:t>
            </w:r>
          </w:p>
        </w:tc>
        <w:tc>
          <w:tcPr>
            <w:tcW w:w="773" w:type="dxa"/>
            <w:vAlign w:val="center"/>
          </w:tcPr>
          <w:p w14:paraId="5BB42F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BC8D09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5C866D0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7A9BE7D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操作系统支持按需启动守护进程，用户可自定义设定需求守护的进程，如遇异常可重新加载，实现应用持续运行。</w:t>
            </w:r>
          </w:p>
        </w:tc>
        <w:tc>
          <w:tcPr>
            <w:tcW w:w="1247" w:type="dxa"/>
            <w:vAlign w:val="center"/>
          </w:tcPr>
          <w:p w14:paraId="2AB9BC4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E2E6CE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404C92C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w:t>
            </w:r>
          </w:p>
        </w:tc>
        <w:tc>
          <w:tcPr>
            <w:tcW w:w="774" w:type="dxa"/>
            <w:vAlign w:val="center"/>
          </w:tcPr>
          <w:p w14:paraId="702875B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5F0831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虚拟化部署</w:t>
            </w:r>
          </w:p>
        </w:tc>
        <w:tc>
          <w:tcPr>
            <w:tcW w:w="773" w:type="dxa"/>
            <w:vAlign w:val="center"/>
          </w:tcPr>
          <w:p w14:paraId="726C6D7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B6CBD2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2ECFDB5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1E979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操作系统支持在KVM、Xen、Hyper-V虚拟机上安装部署操作系统。</w:t>
            </w:r>
          </w:p>
        </w:tc>
        <w:tc>
          <w:tcPr>
            <w:tcW w:w="1247" w:type="dxa"/>
            <w:vAlign w:val="center"/>
          </w:tcPr>
          <w:p w14:paraId="483A9EC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97A343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C25D43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w:t>
            </w:r>
          </w:p>
        </w:tc>
        <w:tc>
          <w:tcPr>
            <w:tcW w:w="774" w:type="dxa"/>
            <w:vAlign w:val="center"/>
          </w:tcPr>
          <w:p w14:paraId="620234F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E4EF86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高可用服务</w:t>
            </w:r>
          </w:p>
        </w:tc>
        <w:tc>
          <w:tcPr>
            <w:tcW w:w="773" w:type="dxa"/>
            <w:vAlign w:val="center"/>
          </w:tcPr>
          <w:p w14:paraId="0DF3D8E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731A80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41F0950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831587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操作系统提供对HA的支持，支持多种集群配置模式，包括主主模式、主备模式、N+1模式和N+M模式，支持资源及节点故障检测。</w:t>
            </w:r>
          </w:p>
        </w:tc>
        <w:tc>
          <w:tcPr>
            <w:tcW w:w="1247" w:type="dxa"/>
            <w:vAlign w:val="center"/>
          </w:tcPr>
          <w:p w14:paraId="26A7627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C5D8EA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49E04B8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55</w:t>
            </w:r>
          </w:p>
        </w:tc>
        <w:tc>
          <w:tcPr>
            <w:tcW w:w="774" w:type="dxa"/>
            <w:vAlign w:val="center"/>
          </w:tcPr>
          <w:p w14:paraId="3556F09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13D8FB8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兼容周期</w:t>
            </w:r>
          </w:p>
        </w:tc>
        <w:tc>
          <w:tcPr>
            <w:tcW w:w="773" w:type="dxa"/>
            <w:vAlign w:val="center"/>
          </w:tcPr>
          <w:p w14:paraId="738C1F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C9EDC9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24FE04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6B28D1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操作系统主版本兼容维护时间自发布之日起不低于5年，包括但不限于安全修复、功能升级、新硬件支持等。</w:t>
            </w:r>
          </w:p>
        </w:tc>
        <w:tc>
          <w:tcPr>
            <w:tcW w:w="1247" w:type="dxa"/>
            <w:vAlign w:val="center"/>
          </w:tcPr>
          <w:p w14:paraId="1EF9F0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F8FA0C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35F860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56</w:t>
            </w:r>
          </w:p>
        </w:tc>
        <w:tc>
          <w:tcPr>
            <w:tcW w:w="774" w:type="dxa"/>
            <w:vAlign w:val="center"/>
          </w:tcPr>
          <w:p w14:paraId="31109A9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1F6658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负载均衡模式</w:t>
            </w:r>
          </w:p>
        </w:tc>
        <w:tc>
          <w:tcPr>
            <w:tcW w:w="773" w:type="dxa"/>
            <w:vAlign w:val="center"/>
          </w:tcPr>
          <w:p w14:paraId="4024EEF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375232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07C941F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16440D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操作系统支持基于OSI模型的4/7层和链路层的负载均衡模式； 支持基于不同调度算法的负载均衡模式。</w:t>
            </w:r>
          </w:p>
        </w:tc>
        <w:tc>
          <w:tcPr>
            <w:tcW w:w="1247" w:type="dxa"/>
            <w:vAlign w:val="center"/>
          </w:tcPr>
          <w:p w14:paraId="21F2FF6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8F85EE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3157F91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57</w:t>
            </w:r>
          </w:p>
        </w:tc>
        <w:tc>
          <w:tcPr>
            <w:tcW w:w="774" w:type="dxa"/>
            <w:vAlign w:val="center"/>
          </w:tcPr>
          <w:p w14:paraId="30600EB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073431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分布式服务</w:t>
            </w:r>
          </w:p>
        </w:tc>
        <w:tc>
          <w:tcPr>
            <w:tcW w:w="773" w:type="dxa"/>
            <w:vAlign w:val="center"/>
          </w:tcPr>
          <w:p w14:paraId="3F669A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59D5CA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403B7F5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6BBFC6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操作系统支持基于同步、异步请求处理机制的分布式服务。</w:t>
            </w:r>
          </w:p>
        </w:tc>
        <w:tc>
          <w:tcPr>
            <w:tcW w:w="1247" w:type="dxa"/>
            <w:vAlign w:val="center"/>
          </w:tcPr>
          <w:p w14:paraId="200931E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1CA9CC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242EED6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58</w:t>
            </w:r>
          </w:p>
        </w:tc>
        <w:tc>
          <w:tcPr>
            <w:tcW w:w="774" w:type="dxa"/>
            <w:vAlign w:val="center"/>
          </w:tcPr>
          <w:p w14:paraId="5048360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170E68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存储服务</w:t>
            </w:r>
          </w:p>
        </w:tc>
        <w:tc>
          <w:tcPr>
            <w:tcW w:w="773" w:type="dxa"/>
            <w:vAlign w:val="center"/>
          </w:tcPr>
          <w:p w14:paraId="359AD1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B9AC31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66EB8CF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581792F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操作系统支持多种传输速率和存储协议的SAN和NAS存储。</w:t>
            </w:r>
          </w:p>
        </w:tc>
        <w:tc>
          <w:tcPr>
            <w:tcW w:w="1247" w:type="dxa"/>
            <w:vAlign w:val="center"/>
          </w:tcPr>
          <w:p w14:paraId="7779D47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8B1EDE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202624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59</w:t>
            </w:r>
          </w:p>
        </w:tc>
        <w:tc>
          <w:tcPr>
            <w:tcW w:w="774" w:type="dxa"/>
            <w:vAlign w:val="center"/>
          </w:tcPr>
          <w:p w14:paraId="46B98C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368C91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集群支持</w:t>
            </w:r>
          </w:p>
        </w:tc>
        <w:tc>
          <w:tcPr>
            <w:tcW w:w="773" w:type="dxa"/>
            <w:vAlign w:val="center"/>
          </w:tcPr>
          <w:p w14:paraId="251EF21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BE85E8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644D246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5407998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操作系统支持服务基于主备机制的分布式集群、高可用集群的部署模式； 操作系统支持服务基于分布式通信协议的分布式集群、高可用集群的部署模式； 操作系统支持基于虚拟路由器冗余协议的高可用集群部署模式。</w:t>
            </w:r>
          </w:p>
        </w:tc>
        <w:tc>
          <w:tcPr>
            <w:tcW w:w="1247" w:type="dxa"/>
            <w:vAlign w:val="center"/>
          </w:tcPr>
          <w:p w14:paraId="7794B42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22429B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6D27DDC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60</w:t>
            </w:r>
          </w:p>
        </w:tc>
        <w:tc>
          <w:tcPr>
            <w:tcW w:w="774" w:type="dxa"/>
            <w:vAlign w:val="center"/>
          </w:tcPr>
          <w:p w14:paraId="22672D1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3332F36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软件兼容-集群软件</w:t>
            </w:r>
          </w:p>
        </w:tc>
        <w:tc>
          <w:tcPr>
            <w:tcW w:w="773" w:type="dxa"/>
            <w:vAlign w:val="center"/>
          </w:tcPr>
          <w:p w14:paraId="3B3BCBD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70839C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0454CE1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241C70B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供应商提供兼容的集群软件清单，且至少兼容一款产品。</w:t>
            </w:r>
          </w:p>
        </w:tc>
        <w:tc>
          <w:tcPr>
            <w:tcW w:w="1247" w:type="dxa"/>
            <w:vAlign w:val="center"/>
          </w:tcPr>
          <w:p w14:paraId="6881AB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C76315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30D482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774" w:type="dxa"/>
            <w:vAlign w:val="center"/>
          </w:tcPr>
          <w:p w14:paraId="24488A4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6B28097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数据存储和查询服务</w:t>
            </w:r>
          </w:p>
        </w:tc>
        <w:tc>
          <w:tcPr>
            <w:tcW w:w="773" w:type="dxa"/>
            <w:vAlign w:val="center"/>
          </w:tcPr>
          <w:p w14:paraId="2CA5310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6D74FE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06D7752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7D2145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操作系统支持结构化和非结构化格式数据的存储和查询服务； 操作系统支持块、文件、对象等类型的数据存储服务； 操作系统支持SQL、NoSQL、键值等类型的数据库。</w:t>
            </w:r>
          </w:p>
        </w:tc>
        <w:tc>
          <w:tcPr>
            <w:tcW w:w="1247" w:type="dxa"/>
            <w:vAlign w:val="center"/>
          </w:tcPr>
          <w:p w14:paraId="0507F4E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3EB139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615789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w:t>
            </w:r>
          </w:p>
        </w:tc>
        <w:tc>
          <w:tcPr>
            <w:tcW w:w="774" w:type="dxa"/>
            <w:vAlign w:val="center"/>
          </w:tcPr>
          <w:p w14:paraId="560780B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7BE2643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软件兼容-虚拟化云平台</w:t>
            </w:r>
          </w:p>
        </w:tc>
        <w:tc>
          <w:tcPr>
            <w:tcW w:w="773" w:type="dxa"/>
            <w:vAlign w:val="center"/>
          </w:tcPr>
          <w:p w14:paraId="5E2FFC0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01CA2D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143AC17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1AED643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供应商提供兼容的虚拟化平台软件清单，且至少兼容三款产品。</w:t>
            </w:r>
          </w:p>
        </w:tc>
        <w:tc>
          <w:tcPr>
            <w:tcW w:w="1247" w:type="dxa"/>
            <w:vAlign w:val="center"/>
          </w:tcPr>
          <w:p w14:paraId="1765B03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F24517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4D1113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w:t>
            </w:r>
          </w:p>
        </w:tc>
        <w:tc>
          <w:tcPr>
            <w:tcW w:w="774" w:type="dxa"/>
            <w:vAlign w:val="center"/>
          </w:tcPr>
          <w:p w14:paraId="29A946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660E1F9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邮件服务</w:t>
            </w:r>
          </w:p>
        </w:tc>
        <w:tc>
          <w:tcPr>
            <w:tcW w:w="773" w:type="dxa"/>
            <w:vAlign w:val="center"/>
          </w:tcPr>
          <w:p w14:paraId="5B48A18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B5B5AC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505E30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61DA51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操作系统支持基于SMTP、POP3、IMAP等的邮件服务。</w:t>
            </w:r>
          </w:p>
        </w:tc>
        <w:tc>
          <w:tcPr>
            <w:tcW w:w="1247" w:type="dxa"/>
            <w:vAlign w:val="center"/>
          </w:tcPr>
          <w:p w14:paraId="4B172E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A59899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8286B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w:t>
            </w:r>
          </w:p>
        </w:tc>
        <w:tc>
          <w:tcPr>
            <w:tcW w:w="774" w:type="dxa"/>
            <w:vAlign w:val="center"/>
          </w:tcPr>
          <w:p w14:paraId="568D2F9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5D9FCD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远程连接服务</w:t>
            </w:r>
          </w:p>
        </w:tc>
        <w:tc>
          <w:tcPr>
            <w:tcW w:w="773" w:type="dxa"/>
            <w:vAlign w:val="center"/>
          </w:tcPr>
          <w:p w14:paraId="60D146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DD2B54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20551AD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65A65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操作系统支持RPC、rsync、SSH等远程服务。</w:t>
            </w:r>
          </w:p>
        </w:tc>
        <w:tc>
          <w:tcPr>
            <w:tcW w:w="1247" w:type="dxa"/>
            <w:vAlign w:val="center"/>
          </w:tcPr>
          <w:p w14:paraId="51CE55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5B9BE1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BF31D2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w:t>
            </w:r>
          </w:p>
        </w:tc>
        <w:tc>
          <w:tcPr>
            <w:tcW w:w="774" w:type="dxa"/>
            <w:vAlign w:val="center"/>
          </w:tcPr>
          <w:p w14:paraId="3124368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67242C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软件兼容-容器云</w:t>
            </w:r>
          </w:p>
        </w:tc>
        <w:tc>
          <w:tcPr>
            <w:tcW w:w="773" w:type="dxa"/>
            <w:vAlign w:val="center"/>
          </w:tcPr>
          <w:p w14:paraId="5B70E44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0DABD6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40AB197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1041FF4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供应商提供兼容的容器云软件清单，且至少兼容三款产品。</w:t>
            </w:r>
          </w:p>
        </w:tc>
        <w:tc>
          <w:tcPr>
            <w:tcW w:w="1247" w:type="dxa"/>
            <w:vAlign w:val="center"/>
          </w:tcPr>
          <w:p w14:paraId="750B0BD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CEA311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09CC0E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w:t>
            </w:r>
          </w:p>
        </w:tc>
        <w:tc>
          <w:tcPr>
            <w:tcW w:w="774" w:type="dxa"/>
            <w:vAlign w:val="center"/>
          </w:tcPr>
          <w:p w14:paraId="14CDAF8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3810E9E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时间同步服务</w:t>
            </w:r>
          </w:p>
        </w:tc>
        <w:tc>
          <w:tcPr>
            <w:tcW w:w="773" w:type="dxa"/>
            <w:vAlign w:val="center"/>
          </w:tcPr>
          <w:p w14:paraId="2603BF7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A5EF6B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E5D202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37DA54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操作系统支持基于NTP协议网络时间同步服务。</w:t>
            </w:r>
          </w:p>
        </w:tc>
        <w:tc>
          <w:tcPr>
            <w:tcW w:w="1247" w:type="dxa"/>
            <w:vAlign w:val="center"/>
          </w:tcPr>
          <w:p w14:paraId="3F1E95F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ADD34E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62626EF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w:t>
            </w:r>
          </w:p>
        </w:tc>
        <w:tc>
          <w:tcPr>
            <w:tcW w:w="774" w:type="dxa"/>
            <w:vAlign w:val="center"/>
          </w:tcPr>
          <w:p w14:paraId="6C874ED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66294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软件兼容-存储软件</w:t>
            </w:r>
          </w:p>
        </w:tc>
        <w:tc>
          <w:tcPr>
            <w:tcW w:w="773" w:type="dxa"/>
            <w:vAlign w:val="center"/>
          </w:tcPr>
          <w:p w14:paraId="07A6D4A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FDBD3C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2A4F8D8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9D081C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供应商提供兼容的存储软件清单，且至少兼容一款产品。</w:t>
            </w:r>
          </w:p>
        </w:tc>
        <w:tc>
          <w:tcPr>
            <w:tcW w:w="1247" w:type="dxa"/>
            <w:vAlign w:val="center"/>
          </w:tcPr>
          <w:p w14:paraId="37FF98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49FCFE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33609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w:t>
            </w:r>
          </w:p>
        </w:tc>
        <w:tc>
          <w:tcPr>
            <w:tcW w:w="774" w:type="dxa"/>
            <w:vAlign w:val="center"/>
          </w:tcPr>
          <w:p w14:paraId="3C60146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55F23AC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网络管理服务</w:t>
            </w:r>
          </w:p>
        </w:tc>
        <w:tc>
          <w:tcPr>
            <w:tcW w:w="773" w:type="dxa"/>
            <w:vAlign w:val="center"/>
          </w:tcPr>
          <w:p w14:paraId="6BAF599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881593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5AC29A9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21DDE68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操作系统支持基于SNMP、NETCONF、RESTCONF等协议的网络管理服务。</w:t>
            </w:r>
          </w:p>
        </w:tc>
        <w:tc>
          <w:tcPr>
            <w:tcW w:w="1247" w:type="dxa"/>
            <w:vAlign w:val="center"/>
          </w:tcPr>
          <w:p w14:paraId="2745E39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F39A7E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51EB2A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w:t>
            </w:r>
          </w:p>
        </w:tc>
        <w:tc>
          <w:tcPr>
            <w:tcW w:w="774" w:type="dxa"/>
            <w:vAlign w:val="center"/>
          </w:tcPr>
          <w:p w14:paraId="72090F7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39131A8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访问控制服务</w:t>
            </w:r>
          </w:p>
        </w:tc>
        <w:tc>
          <w:tcPr>
            <w:tcW w:w="773" w:type="dxa"/>
            <w:vAlign w:val="center"/>
          </w:tcPr>
          <w:p w14:paraId="157B4F6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22400F5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0D4BC77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54E3C42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操作系统支持基于RBAC(基于角色的访问控制)机制的访问控制服务。</w:t>
            </w:r>
          </w:p>
        </w:tc>
        <w:tc>
          <w:tcPr>
            <w:tcW w:w="1247" w:type="dxa"/>
            <w:vAlign w:val="center"/>
          </w:tcPr>
          <w:p w14:paraId="4C67BB2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4B30FB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1FFA03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70</w:t>
            </w:r>
          </w:p>
        </w:tc>
        <w:tc>
          <w:tcPr>
            <w:tcW w:w="774" w:type="dxa"/>
            <w:vAlign w:val="center"/>
          </w:tcPr>
          <w:p w14:paraId="5D8D9D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17D4E1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数字证书服务</w:t>
            </w:r>
          </w:p>
        </w:tc>
        <w:tc>
          <w:tcPr>
            <w:tcW w:w="773" w:type="dxa"/>
            <w:vAlign w:val="center"/>
          </w:tcPr>
          <w:p w14:paraId="0CEFCEA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0E59DEB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D01CCD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5511F9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操作系统支持基于PKI体系的数字证书服务。</w:t>
            </w:r>
          </w:p>
        </w:tc>
        <w:tc>
          <w:tcPr>
            <w:tcW w:w="1247" w:type="dxa"/>
            <w:vAlign w:val="center"/>
          </w:tcPr>
          <w:p w14:paraId="13A177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B01271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32F06C6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w:t>
            </w:r>
          </w:p>
        </w:tc>
        <w:tc>
          <w:tcPr>
            <w:tcW w:w="774" w:type="dxa"/>
            <w:vAlign w:val="center"/>
          </w:tcPr>
          <w:p w14:paraId="4BFF707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5996F07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软件兼容-数据库管理系统</w:t>
            </w:r>
          </w:p>
        </w:tc>
        <w:tc>
          <w:tcPr>
            <w:tcW w:w="773" w:type="dxa"/>
            <w:vAlign w:val="center"/>
          </w:tcPr>
          <w:p w14:paraId="528164A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605701B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F25EBB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52C9B04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应商提供兼容的数据库软件清单，且至少兼容三款产品。</w:t>
            </w:r>
          </w:p>
        </w:tc>
        <w:tc>
          <w:tcPr>
            <w:tcW w:w="1247" w:type="dxa"/>
            <w:vAlign w:val="center"/>
          </w:tcPr>
          <w:p w14:paraId="74E1E9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5E2439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30A7BD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w:t>
            </w:r>
          </w:p>
        </w:tc>
        <w:tc>
          <w:tcPr>
            <w:tcW w:w="774" w:type="dxa"/>
            <w:vAlign w:val="center"/>
          </w:tcPr>
          <w:p w14:paraId="14B357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D7A487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加密传输服务</w:t>
            </w:r>
          </w:p>
        </w:tc>
        <w:tc>
          <w:tcPr>
            <w:tcW w:w="773" w:type="dxa"/>
            <w:vAlign w:val="center"/>
          </w:tcPr>
          <w:p w14:paraId="228E918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32C31DA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4E4B2F0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44AB7B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操作系统支持基于IPSec和SSL协议的隧道加密传输服务</w:t>
            </w:r>
          </w:p>
        </w:tc>
        <w:tc>
          <w:tcPr>
            <w:tcW w:w="1247" w:type="dxa"/>
            <w:vAlign w:val="center"/>
          </w:tcPr>
          <w:p w14:paraId="4CC9F22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A1B8CF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0A513D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w:t>
            </w:r>
          </w:p>
        </w:tc>
        <w:tc>
          <w:tcPr>
            <w:tcW w:w="774" w:type="dxa"/>
            <w:vAlign w:val="center"/>
          </w:tcPr>
          <w:p w14:paraId="20AA66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265A78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WEB服务</w:t>
            </w:r>
          </w:p>
        </w:tc>
        <w:tc>
          <w:tcPr>
            <w:tcW w:w="773" w:type="dxa"/>
            <w:vAlign w:val="center"/>
          </w:tcPr>
          <w:p w14:paraId="1865C5F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F74CAE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51CA4B6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3DF225F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操作系统支持基于HTTP、HTTPS、FastCGI等协议WEB服务。</w:t>
            </w:r>
          </w:p>
        </w:tc>
        <w:tc>
          <w:tcPr>
            <w:tcW w:w="1247" w:type="dxa"/>
            <w:vAlign w:val="center"/>
          </w:tcPr>
          <w:p w14:paraId="71C1824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FB6420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0C53BB0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w:t>
            </w:r>
          </w:p>
        </w:tc>
        <w:tc>
          <w:tcPr>
            <w:tcW w:w="774" w:type="dxa"/>
            <w:vAlign w:val="center"/>
          </w:tcPr>
          <w:p w14:paraId="78840F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2667EA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软件兼容-运维平台</w:t>
            </w:r>
          </w:p>
        </w:tc>
        <w:tc>
          <w:tcPr>
            <w:tcW w:w="773" w:type="dxa"/>
            <w:vAlign w:val="center"/>
          </w:tcPr>
          <w:p w14:paraId="1451B5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7B05708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1B16E0C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57343D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供应商提供兼容的运维平台软件清单，且至少兼容一款产品。</w:t>
            </w:r>
          </w:p>
        </w:tc>
        <w:tc>
          <w:tcPr>
            <w:tcW w:w="1247" w:type="dxa"/>
            <w:vAlign w:val="center"/>
          </w:tcPr>
          <w:p w14:paraId="6CF7A8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E378EF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633163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w:t>
            </w:r>
          </w:p>
        </w:tc>
        <w:tc>
          <w:tcPr>
            <w:tcW w:w="774" w:type="dxa"/>
            <w:vAlign w:val="center"/>
          </w:tcPr>
          <w:p w14:paraId="46EA56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040A24F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网络共享</w:t>
            </w:r>
          </w:p>
        </w:tc>
        <w:tc>
          <w:tcPr>
            <w:tcW w:w="773" w:type="dxa"/>
            <w:vAlign w:val="center"/>
          </w:tcPr>
          <w:p w14:paraId="6CC12B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A8F221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0BF186A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1F58357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操作系统支持基于NFS、SMB、FTP、CIFS等协议的数据网络共享服务</w:t>
            </w:r>
          </w:p>
        </w:tc>
        <w:tc>
          <w:tcPr>
            <w:tcW w:w="1247" w:type="dxa"/>
            <w:vAlign w:val="center"/>
          </w:tcPr>
          <w:p w14:paraId="72C9A30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E22503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2019DC4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w:t>
            </w:r>
          </w:p>
        </w:tc>
        <w:tc>
          <w:tcPr>
            <w:tcW w:w="774" w:type="dxa"/>
            <w:vAlign w:val="center"/>
          </w:tcPr>
          <w:p w14:paraId="5627181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3EF80B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网络服务</w:t>
            </w:r>
          </w:p>
        </w:tc>
        <w:tc>
          <w:tcPr>
            <w:tcW w:w="773" w:type="dxa"/>
            <w:vAlign w:val="center"/>
          </w:tcPr>
          <w:p w14:paraId="2E8D15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46E590A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249A3D4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0F33191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操作系统支持TCP/UDP。</w:t>
            </w:r>
          </w:p>
        </w:tc>
        <w:tc>
          <w:tcPr>
            <w:tcW w:w="1247" w:type="dxa"/>
            <w:vAlign w:val="center"/>
          </w:tcPr>
          <w:p w14:paraId="24331A7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75361D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70808F9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77</w:t>
            </w:r>
          </w:p>
        </w:tc>
        <w:tc>
          <w:tcPr>
            <w:tcW w:w="774" w:type="dxa"/>
            <w:vAlign w:val="center"/>
          </w:tcPr>
          <w:p w14:paraId="5A543F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57225FF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软件兼容-备份软件</w:t>
            </w:r>
          </w:p>
        </w:tc>
        <w:tc>
          <w:tcPr>
            <w:tcW w:w="773" w:type="dxa"/>
            <w:vAlign w:val="center"/>
          </w:tcPr>
          <w:p w14:paraId="30B524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58FAFE0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3842E3F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63A05BE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供应商提供兼容的备份恢复软件清单，且至少兼容一款产品。</w:t>
            </w:r>
          </w:p>
        </w:tc>
        <w:tc>
          <w:tcPr>
            <w:tcW w:w="1247" w:type="dxa"/>
            <w:vAlign w:val="center"/>
          </w:tcPr>
          <w:p w14:paraId="7C376E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4B12E7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03" w:type="dxa"/>
            <w:vAlign w:val="center"/>
          </w:tcPr>
          <w:p w14:paraId="6BFCD4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w:t>
            </w:r>
          </w:p>
        </w:tc>
        <w:tc>
          <w:tcPr>
            <w:tcW w:w="774" w:type="dxa"/>
            <w:vAlign w:val="center"/>
          </w:tcPr>
          <w:p w14:paraId="6B9D068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361" w:type="dxa"/>
            <w:vAlign w:val="center"/>
          </w:tcPr>
          <w:p w14:paraId="65D43D2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软件兼容-大数据平台</w:t>
            </w:r>
          </w:p>
        </w:tc>
        <w:tc>
          <w:tcPr>
            <w:tcW w:w="773" w:type="dxa"/>
            <w:vAlign w:val="center"/>
          </w:tcPr>
          <w:p w14:paraId="06EE828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39" w:type="dxa"/>
            <w:vAlign w:val="center"/>
          </w:tcPr>
          <w:p w14:paraId="155F921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1003" w:type="dxa"/>
            <w:vAlign w:val="center"/>
          </w:tcPr>
          <w:p w14:paraId="0E363B9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3750" w:type="dxa"/>
            <w:vAlign w:val="center"/>
          </w:tcPr>
          <w:p w14:paraId="3521419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供应商提供兼容的大数据平台软件清单，且至少兼容一款产品。</w:t>
            </w:r>
          </w:p>
        </w:tc>
        <w:tc>
          <w:tcPr>
            <w:tcW w:w="1247" w:type="dxa"/>
            <w:vAlign w:val="center"/>
          </w:tcPr>
          <w:p w14:paraId="095D27C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bl>
    <w:p w14:paraId="32BAC3D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交货期限：自合同签订之日起30天，采购人和供应商在第二阶段有特殊约定的除外。</w:t>
      </w:r>
    </w:p>
    <w:p w14:paraId="208D56C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交货的地域范围： 四川省范围内送货上门</w:t>
      </w:r>
    </w:p>
    <w:p w14:paraId="0E15B71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包装方式及运输：</w:t>
      </w:r>
    </w:p>
    <w:p w14:paraId="5568A68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07712B2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14:paraId="233902BE">
      <w:pPr>
        <w:pStyle w:val="4"/>
        <w:keepNext w:val="0"/>
        <w:keepLines w:val="0"/>
        <w:pageBreakBefore w:val="0"/>
        <w:numPr>
          <w:ilvl w:val="0"/>
          <w:numId w:val="1"/>
        </w:numPr>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延期服务收费标准:服务期1年，过服务期后，提供延期服务，其收费标准每年不高于投标报价的20%。</w:t>
      </w:r>
    </w:p>
    <w:p w14:paraId="66EEA9F8">
      <w:pPr>
        <w:pStyle w:val="4"/>
        <w:keepNext w:val="0"/>
        <w:keepLines w:val="0"/>
        <w:pageBreakBefore w:val="0"/>
        <w:numPr>
          <w:ilvl w:val="0"/>
          <w:numId w:val="1"/>
        </w:numPr>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产品维护周期：产品自发布之日起至产品停止功能升级（包含不限于新特性、新硬件支持、问题修复、安全补丁等）之日止≥5年。</w:t>
      </w:r>
    </w:p>
    <w:p w14:paraId="53A806C4">
      <w:pPr>
        <w:pStyle w:val="4"/>
        <w:keepNext w:val="0"/>
        <w:keepLines w:val="0"/>
        <w:pageBreakBefore w:val="0"/>
        <w:numPr>
          <w:ilvl w:val="0"/>
          <w:numId w:val="1"/>
        </w:numPr>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产品延伸服务周期：产品停止功能升级之日起至产品停止功能维护（包括问题修复、安全补丁等）之日止≥5年。</w:t>
      </w:r>
    </w:p>
    <w:p w14:paraId="212936EE">
      <w:pPr>
        <w:pStyle w:val="4"/>
        <w:keepNext w:val="0"/>
        <w:keepLines w:val="0"/>
        <w:pageBreakBefore w:val="0"/>
        <w:numPr>
          <w:ilvl w:val="0"/>
          <w:numId w:val="1"/>
        </w:numPr>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产品延伸安全服务周期：≥3年。</w:t>
      </w:r>
    </w:p>
    <w:p w14:paraId="175ADC8C">
      <w:pPr>
        <w:pStyle w:val="4"/>
        <w:keepNext w:val="0"/>
        <w:keepLines w:val="0"/>
        <w:pageBreakBefore w:val="0"/>
        <w:numPr>
          <w:ilvl w:val="0"/>
          <w:numId w:val="1"/>
        </w:numPr>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售后服务最小保障期：≥8年。</w:t>
      </w:r>
    </w:p>
    <w:p w14:paraId="6A228CC4">
      <w:pPr>
        <w:pStyle w:val="4"/>
        <w:keepNext w:val="0"/>
        <w:keepLines w:val="0"/>
        <w:pageBreakBefore w:val="0"/>
        <w:numPr>
          <w:ilvl w:val="0"/>
          <w:numId w:val="1"/>
        </w:numPr>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原厂服务：服务由操作系统厂商的正式员工提供，不由代理商提供。</w:t>
      </w:r>
    </w:p>
    <w:p w14:paraId="322507AD">
      <w:pPr>
        <w:pStyle w:val="4"/>
        <w:keepNext w:val="0"/>
        <w:keepLines w:val="0"/>
        <w:pageBreakBefore w:val="0"/>
        <w:numPr>
          <w:ilvl w:val="0"/>
          <w:numId w:val="1"/>
        </w:numPr>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服务热线电话：操作系统厂商为最终用户提供工作日每日不少于8h（覆盖一般工作时间，具体时间由企业标准给出）中文技术服务热线。</w:t>
      </w:r>
    </w:p>
    <w:p w14:paraId="0AF229AC">
      <w:pPr>
        <w:pStyle w:val="4"/>
        <w:keepNext w:val="0"/>
        <w:keepLines w:val="0"/>
        <w:pageBreakBefore w:val="0"/>
        <w:numPr>
          <w:ilvl w:val="0"/>
          <w:numId w:val="1"/>
        </w:numPr>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技术服务标准：操作系统厂商提供工作日每日不少于8h技术支持服务。</w:t>
      </w:r>
    </w:p>
    <w:p w14:paraId="4F6B55B8">
      <w:pPr>
        <w:pStyle w:val="4"/>
        <w:keepNext w:val="0"/>
        <w:keepLines w:val="0"/>
        <w:pageBreakBefore w:val="0"/>
        <w:numPr>
          <w:ilvl w:val="0"/>
          <w:numId w:val="1"/>
        </w:numPr>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技术服务时效：操作系统厂商满足同城4h、异地12h响要求，两个工作日解决问题，对于未能解决的问题和故障提供可行的升级方案。</w:t>
      </w:r>
    </w:p>
    <w:p w14:paraId="1277C34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4.最高限价（元）： 5,500.00 ，大写（人民币）： 伍仟伍佰元整</w:t>
      </w:r>
    </w:p>
    <w:p w14:paraId="1E30CE4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5.配套的必要耗材、配件报价、约定期限：</w:t>
      </w:r>
    </w:p>
    <w:p w14:paraId="16A7C8C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757D4B7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6.量价关系折扣：</w:t>
      </w:r>
    </w:p>
    <w:p w14:paraId="4C50C42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是否含有量价关系折扣：否</w:t>
      </w:r>
    </w:p>
    <w:p w14:paraId="0B81D1E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7.产品升级换代规则：</w:t>
      </w:r>
    </w:p>
    <w:p w14:paraId="7AE817C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本项目 支持 入围供应商对已入围产品进行升级换代。</w:t>
      </w:r>
    </w:p>
    <w:p w14:paraId="5FC68F6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性能不降低、价格不提高的前提下，入围供应商可以用新产品替换原入围产品；在框架协议期限内，每半年进行一次产品升级换代申请审核。注：供应商在提交产品升级换代申请时，须提供产品升级换代承诺函。</w:t>
      </w:r>
    </w:p>
    <w:p w14:paraId="27BDACC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755E3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8A575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38" w:type="dxa"/>
          </w:tcPr>
          <w:p w14:paraId="0F4ACFE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153" w:type="dxa"/>
          </w:tcPr>
          <w:p w14:paraId="75777B3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540D3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375FB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38" w:type="dxa"/>
          </w:tcPr>
          <w:p w14:paraId="5EFD48B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tc>
        <w:tc>
          <w:tcPr>
            <w:tcW w:w="4153" w:type="dxa"/>
          </w:tcPr>
          <w:p w14:paraId="5CCA0E9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56531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42CC8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38" w:type="dxa"/>
          </w:tcPr>
          <w:p w14:paraId="7DF52BA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w:t>
            </w:r>
          </w:p>
        </w:tc>
        <w:tc>
          <w:tcPr>
            <w:tcW w:w="4153" w:type="dxa"/>
          </w:tcPr>
          <w:p w14:paraId="0BD10BA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0E02C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37681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38" w:type="dxa"/>
          </w:tcPr>
          <w:p w14:paraId="37BD32E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具有健全的财务会计制度。</w:t>
            </w:r>
          </w:p>
        </w:tc>
        <w:tc>
          <w:tcPr>
            <w:tcW w:w="4153" w:type="dxa"/>
          </w:tcPr>
          <w:p w14:paraId="421DAE5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根据自身情况选择提供其中任意一项：（1）可提供（2023年或2024年）任一年度经审计的财务报告（包含审计报告和审计报告中所涉及的财务报表和报表附注）；（2）可提供（2023年或2024年）任一年度供应商财务报表（至少包括资产负债表、利润表、现金流量表）；（3）可提供截至响应文件提交截止日一年内银行出具的资信证明；（4）供应商注册时间截至响应文件提交截止日不足一年的，也可提供在工商管理部门备案的公司章程。</w:t>
            </w:r>
          </w:p>
        </w:tc>
      </w:tr>
      <w:tr w14:paraId="35DA7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F90E9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38" w:type="dxa"/>
          </w:tcPr>
          <w:p w14:paraId="6BF2E07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tc>
        <w:tc>
          <w:tcPr>
            <w:tcW w:w="4153" w:type="dxa"/>
          </w:tcPr>
          <w:p w14:paraId="1C0BABC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32BC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7295E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38" w:type="dxa"/>
          </w:tcPr>
          <w:p w14:paraId="21E54B2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tc>
        <w:tc>
          <w:tcPr>
            <w:tcW w:w="4153" w:type="dxa"/>
          </w:tcPr>
          <w:p w14:paraId="17EF329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6F486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FE095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38" w:type="dxa"/>
          </w:tcPr>
          <w:p w14:paraId="6DEE601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4153" w:type="dxa"/>
          </w:tcPr>
          <w:p w14:paraId="6490696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696FA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957FB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38" w:type="dxa"/>
          </w:tcPr>
          <w:p w14:paraId="4852166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法律、行政法规规定的其它条件。</w:t>
            </w:r>
          </w:p>
        </w:tc>
        <w:tc>
          <w:tcPr>
            <w:tcW w:w="4153" w:type="dxa"/>
          </w:tcPr>
          <w:p w14:paraId="1D2A2C3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75113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D65B4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738" w:type="dxa"/>
          </w:tcPr>
          <w:p w14:paraId="2DA5812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不存在与单位负责人为同一人或者存在直接控股、管理关系的其他供应商参与同一合同项下的政府采购活动的行为。</w:t>
            </w:r>
          </w:p>
        </w:tc>
        <w:tc>
          <w:tcPr>
            <w:tcW w:w="4153" w:type="dxa"/>
          </w:tcPr>
          <w:p w14:paraId="5D39754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520FC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34459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738" w:type="dxa"/>
          </w:tcPr>
          <w:p w14:paraId="5AD8CB6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不属于为本项目提供整体设计、规范编制或者项目管理、监理、检测等服务的供应商。</w:t>
            </w:r>
          </w:p>
        </w:tc>
        <w:tc>
          <w:tcPr>
            <w:tcW w:w="4153" w:type="dxa"/>
          </w:tcPr>
          <w:p w14:paraId="45C3C48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3930F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01188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738" w:type="dxa"/>
          </w:tcPr>
          <w:p w14:paraId="7B8960D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生产厂家或者生产厂家唯一授权供应商的证明材料。</w:t>
            </w:r>
          </w:p>
        </w:tc>
        <w:tc>
          <w:tcPr>
            <w:tcW w:w="4153" w:type="dxa"/>
          </w:tcPr>
          <w:p w14:paraId="618F349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如是生产厂家，应当在响应文件中上传响应产品品牌的《商标注册证》的原件扫描件并进行电子签章。具体要求如下：①《商标注册证》中的注册人应与生产厂家名称一致或提供注册人授权生产厂家使用商标许可的证明材料，如因注册人工商登记信息发生变更导致名称不一致的，需提供市场监管部门变更登记的证明材料；②《商标注册证》核定使用商品分类应包括本次响应产品对应分类；③提交响应文件时，《商标注册证》应在有效期内，入围后生产厂家应确保在框架协议生效期间《商标注册证》有效。2) 供应商如是生产厂家唯一授权供应商，应当在响应文件中除提供上述要求的证明材料（加盖生产厂家公章）外，还应提供响应产品品牌的生产厂家出具的唯一授权书扫描件（加盖生产厂家公章）。授权书应当明确授权时间（授权时间至少应包含本次框架协议期限）、产品范围、代理区域（四川省），并承诺在本次封闭式框架协议征集及补充征集期间不更换唯一授权供应商。</w:t>
            </w:r>
          </w:p>
        </w:tc>
      </w:tr>
    </w:tbl>
    <w:p w14:paraId="4B54B31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3BF0A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200EC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738" w:type="dxa"/>
          </w:tcPr>
          <w:p w14:paraId="66CCEEB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资格要求名称</w:t>
            </w:r>
          </w:p>
        </w:tc>
        <w:tc>
          <w:tcPr>
            <w:tcW w:w="4153" w:type="dxa"/>
          </w:tcPr>
          <w:p w14:paraId="48237F0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资格要求详细说明</w:t>
            </w:r>
          </w:p>
        </w:tc>
      </w:tr>
      <w:tr w14:paraId="012BD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3446CFC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0A5EBE8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10.入围供应商评审方法：价格优先法</w:t>
      </w:r>
    </w:p>
    <w:p w14:paraId="2970E51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11.入围供应商淘汰率：</w:t>
      </w:r>
    </w:p>
    <w:p w14:paraId="3B32989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本项目征集入围供应商 ，淘汰比例为 20.00%，淘汰供应商按照向上取整进行取整，且至少淘汰 1家供应商。</w:t>
      </w:r>
    </w:p>
    <w:p w14:paraId="3436C43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12.分包的评审条款：</w:t>
      </w:r>
    </w:p>
    <w:p w14:paraId="7462B1E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w:t>
      </w:r>
    </w:p>
    <w:p w14:paraId="68C8CC0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是指对满足采购需求且响应报价不超过最高限制单价的货物，按照响应报价从低到高排序。评审委员会根据本项目（采购包）征集文件规定的淘汰率或者入围供应商数量上限，确定入围供应商名单。具体流程如下：</w:t>
      </w:r>
    </w:p>
    <w:p w14:paraId="2220436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1）评审委员会按淘汰率计算得出淘汰供应商数量，即淘汰供应商数量=有效报价供应商数量*淘汰率。计算出的淘汰供应商数量存在小数的，按照向上取整的原则，确定需要淘汰供应商的数量；</w:t>
      </w:r>
    </w:p>
    <w:p w14:paraId="4A4877D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2）基于按淘汰率计算得出的淘汰供应商数量，根据入围供应商数量上限，确定还需淘汰供应商的数量，最终确定淘汰供应商的总数；</w:t>
      </w:r>
    </w:p>
    <w:p w14:paraId="7BA78AC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3）根据最终确定淘汰供应商总数，按评审排序进行淘汰后，确定入围名单。如在排名并列的供应商中仍需淘汰一定数量供应商的，则在并列供应商中通过随机抽取确定相应数量入围供应商后，剩余供应商淘汰；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3"/>
        <w:gridCol w:w="2415"/>
        <w:gridCol w:w="936"/>
        <w:gridCol w:w="3448"/>
      </w:tblGrid>
      <w:tr w14:paraId="73510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565B545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423" w:type="dxa"/>
          </w:tcPr>
          <w:p w14:paraId="115754A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评审因素</w:t>
            </w:r>
          </w:p>
        </w:tc>
        <w:tc>
          <w:tcPr>
            <w:tcW w:w="692" w:type="dxa"/>
          </w:tcPr>
          <w:p w14:paraId="2ACE100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扣除比例%</w:t>
            </w:r>
          </w:p>
        </w:tc>
        <w:tc>
          <w:tcPr>
            <w:tcW w:w="3461" w:type="dxa"/>
          </w:tcPr>
          <w:p w14:paraId="7734233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评审标准</w:t>
            </w:r>
          </w:p>
        </w:tc>
      </w:tr>
      <w:tr w14:paraId="188C7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2870417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23" w:type="dxa"/>
          </w:tcPr>
          <w:p w14:paraId="4183CA9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692" w:type="dxa"/>
          </w:tcPr>
          <w:p w14:paraId="6F6F5E06">
            <w:pPr>
              <w:pStyle w:val="4"/>
              <w:keepNext w:val="0"/>
              <w:keepLines w:val="0"/>
              <w:pageBreakBefore w:val="0"/>
              <w:kinsoku/>
              <w:wordWrap/>
              <w:overflowPunct/>
              <w:topLinePunct w:val="0"/>
              <w:autoSpaceDE/>
              <w:autoSpaceDN/>
              <w:bidi w:val="0"/>
              <w:adjustRightInd/>
              <w:snapToGrid/>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3461" w:type="dxa"/>
          </w:tcPr>
          <w:p w14:paraId="1885122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对提供的全部货物制造商属于小型和微型企业的投标人的投标报价给予相应百分比的扣除，用扣除后的价格参与评审。残疾人福利性单位视同小型、微型企业，享受同等价格扣除，但同时属于残疾人福利性单位和小微企业的，不重复价格扣除。</w:t>
            </w:r>
          </w:p>
        </w:tc>
      </w:tr>
    </w:tbl>
    <w:p w14:paraId="50AA9FB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13.价格权重：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7A5E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B1D39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权重项编号</w:t>
            </w:r>
          </w:p>
        </w:tc>
        <w:tc>
          <w:tcPr>
            <w:tcW w:w="2769" w:type="dxa"/>
          </w:tcPr>
          <w:p w14:paraId="038A5F5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w:t>
            </w:r>
          </w:p>
        </w:tc>
        <w:tc>
          <w:tcPr>
            <w:tcW w:w="2769" w:type="dxa"/>
          </w:tcPr>
          <w:p w14:paraId="03146B1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权重值</w:t>
            </w:r>
          </w:p>
        </w:tc>
      </w:tr>
      <w:tr w14:paraId="2A0CD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40A52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69" w:type="dxa"/>
          </w:tcPr>
          <w:p w14:paraId="40110AC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标的价格</w:t>
            </w:r>
          </w:p>
        </w:tc>
        <w:tc>
          <w:tcPr>
            <w:tcW w:w="2769" w:type="dxa"/>
          </w:tcPr>
          <w:p w14:paraId="373DAB3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w:t>
            </w:r>
          </w:p>
        </w:tc>
      </w:tr>
    </w:tbl>
    <w:p w14:paraId="15F2BE3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14.第二阶段成交供应商的方式：直接选定/二次竞价</w:t>
      </w:r>
    </w:p>
    <w:p w14:paraId="6CC440D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单次采购20万元以下（不含20万）的采用直接选定或者二次竞价，20万元以上（含20万）的采用二次竞价。</w:t>
      </w:r>
    </w:p>
    <w:p w14:paraId="779DEF8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15.资金支付方式、时间和条件：</w:t>
      </w:r>
    </w:p>
    <w:p w14:paraId="3251F6F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支付方式：一次性付款或分期付款</w:t>
      </w:r>
    </w:p>
    <w:p w14:paraId="79281D9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 支付时间和条件：对于满足合同约定支付条件的，采购人应当自收到发票后10个工作日内将资金支付到合同约定的供应商账户。采购人和供应商在第二阶段有特殊约定的除外。</w:t>
      </w:r>
    </w:p>
    <w:p w14:paraId="05F8FB78">
      <w:pPr>
        <w:pStyle w:val="4"/>
        <w:keepNext w:val="0"/>
        <w:keepLines w:val="0"/>
        <w:pageBreakBefore w:val="0"/>
        <w:kinsoku/>
        <w:wordWrap/>
        <w:overflowPunct/>
        <w:topLinePunct w:val="0"/>
        <w:autoSpaceDE/>
        <w:autoSpaceDN/>
        <w:bidi w:val="0"/>
        <w:adjustRightInd/>
        <w:snapToGrid/>
        <w:ind w:firstLine="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（六）分包名称：包6</w:t>
      </w:r>
    </w:p>
    <w:p w14:paraId="2456B21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1.采购标的：办公软件</w:t>
      </w:r>
    </w:p>
    <w:p w14:paraId="75A609F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2.需求明细：</w:t>
      </w:r>
    </w:p>
    <w:p w14:paraId="301E661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1）标的名称：办公软件专业版(适配Windows平台)</w:t>
      </w:r>
    </w:p>
    <w:p w14:paraId="42774F0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2）计量单位：套</w:t>
      </w:r>
    </w:p>
    <w:p w14:paraId="543F6CD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3）是否强制采购节能产品： 否</w:t>
      </w:r>
    </w:p>
    <w:p w14:paraId="541BF57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4）是否优先采购节能环保产品： 否</w:t>
      </w:r>
    </w:p>
    <w:p w14:paraId="7DA9121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5）是否采购进口产品： 否</w:t>
      </w:r>
    </w:p>
    <w:p w14:paraId="3C8A733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6）标的物所属行业：软件和信息技术服务业</w:t>
      </w:r>
    </w:p>
    <w:p w14:paraId="6CCFDFC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3.拟采购标的的技术要求：</w:t>
      </w:r>
    </w:p>
    <w:tbl>
      <w:tblPr>
        <w:tblStyle w:val="2"/>
        <w:tblW w:w="10280" w:type="dxa"/>
        <w:tblInd w:w="-833"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727"/>
        <w:gridCol w:w="876"/>
        <w:gridCol w:w="1189"/>
        <w:gridCol w:w="935"/>
        <w:gridCol w:w="726"/>
        <w:gridCol w:w="785"/>
        <w:gridCol w:w="4004"/>
        <w:gridCol w:w="1038"/>
      </w:tblGrid>
      <w:tr w14:paraId="3CECBD4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16EAC3E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76" w:type="dxa"/>
            <w:vAlign w:val="center"/>
          </w:tcPr>
          <w:p w14:paraId="3CF8D0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c>
          <w:tcPr>
            <w:tcW w:w="1189" w:type="dxa"/>
            <w:vAlign w:val="center"/>
          </w:tcPr>
          <w:p w14:paraId="382FE0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tc>
        <w:tc>
          <w:tcPr>
            <w:tcW w:w="935" w:type="dxa"/>
            <w:vAlign w:val="center"/>
          </w:tcPr>
          <w:p w14:paraId="5BB4375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726" w:type="dxa"/>
            <w:vAlign w:val="center"/>
          </w:tcPr>
          <w:p w14:paraId="60B78A5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参数符号</w:t>
            </w:r>
          </w:p>
        </w:tc>
        <w:tc>
          <w:tcPr>
            <w:tcW w:w="785" w:type="dxa"/>
            <w:vAlign w:val="center"/>
          </w:tcPr>
          <w:p w14:paraId="46C18F3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参数值规则</w:t>
            </w:r>
          </w:p>
        </w:tc>
        <w:tc>
          <w:tcPr>
            <w:tcW w:w="4004" w:type="dxa"/>
            <w:vAlign w:val="center"/>
          </w:tcPr>
          <w:p w14:paraId="5FBCB0B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w:t>
            </w:r>
          </w:p>
        </w:tc>
        <w:tc>
          <w:tcPr>
            <w:tcW w:w="1038" w:type="dxa"/>
            <w:vAlign w:val="center"/>
          </w:tcPr>
          <w:p w14:paraId="51A38F1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参数值偏离规则</w:t>
            </w:r>
          </w:p>
        </w:tc>
      </w:tr>
      <w:tr w14:paraId="613DFEF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61D259B9">
            <w:pPr>
              <w:pStyle w:val="4"/>
              <w:keepNext w:val="0"/>
              <w:keepLines w:val="0"/>
              <w:pageBreakBefore w:val="0"/>
              <w:kinsoku/>
              <w:wordWrap/>
              <w:overflowPunct/>
              <w:topLinePunct w:val="0"/>
              <w:autoSpaceDE/>
              <w:autoSpaceDN/>
              <w:bidi w:val="0"/>
              <w:adjustRightInd/>
              <w:snapToGrid/>
              <w:ind w:firstLine="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76" w:type="dxa"/>
            <w:vAlign w:val="center"/>
          </w:tcPr>
          <w:p w14:paraId="5CDDB9E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其他</w:t>
            </w:r>
          </w:p>
        </w:tc>
        <w:tc>
          <w:tcPr>
            <w:tcW w:w="1189" w:type="dxa"/>
            <w:vAlign w:val="center"/>
          </w:tcPr>
          <w:p w14:paraId="760C3F4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明文水印</w:t>
            </w:r>
          </w:p>
        </w:tc>
        <w:tc>
          <w:tcPr>
            <w:tcW w:w="935" w:type="dxa"/>
            <w:vAlign w:val="center"/>
          </w:tcPr>
          <w:p w14:paraId="27D2D37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一般参数</w:t>
            </w:r>
          </w:p>
        </w:tc>
        <w:tc>
          <w:tcPr>
            <w:tcW w:w="726" w:type="dxa"/>
            <w:vAlign w:val="center"/>
          </w:tcPr>
          <w:p w14:paraId="45154E9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140BD1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B891F1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可以配置铺满全屏的水印信息，震慑用户，防止信息泄露</w:t>
            </w:r>
          </w:p>
        </w:tc>
        <w:tc>
          <w:tcPr>
            <w:tcW w:w="1038" w:type="dxa"/>
            <w:vAlign w:val="center"/>
          </w:tcPr>
          <w:p w14:paraId="184C2F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不允许偏离</w:t>
            </w:r>
          </w:p>
        </w:tc>
      </w:tr>
      <w:tr w14:paraId="03E0E9A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0B804E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76" w:type="dxa"/>
            <w:vAlign w:val="center"/>
          </w:tcPr>
          <w:p w14:paraId="4339867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1FB04D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产品增强组件</w:t>
            </w:r>
          </w:p>
        </w:tc>
        <w:tc>
          <w:tcPr>
            <w:tcW w:w="935" w:type="dxa"/>
            <w:vAlign w:val="center"/>
          </w:tcPr>
          <w:p w14:paraId="39A795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0BBC4C5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03DBFC5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5BD025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须包含除文字处理、电子表格、演示文稿之外其他不少于两个的办公常用组件</w:t>
            </w:r>
          </w:p>
        </w:tc>
        <w:tc>
          <w:tcPr>
            <w:tcW w:w="1038" w:type="dxa"/>
            <w:vAlign w:val="center"/>
          </w:tcPr>
          <w:p w14:paraId="23CB719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E151AA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1C49D1C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76" w:type="dxa"/>
            <w:vAlign w:val="center"/>
          </w:tcPr>
          <w:p w14:paraId="1A2384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07BBC82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产品基本组件</w:t>
            </w:r>
          </w:p>
        </w:tc>
        <w:tc>
          <w:tcPr>
            <w:tcW w:w="935" w:type="dxa"/>
            <w:vAlign w:val="center"/>
          </w:tcPr>
          <w:p w14:paraId="09C7B83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72289B0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28E2343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7A4E21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须包含文字处理、电子表格、演示文稿办公常用组件。该产品须为与面向其他市场销售的产品一样的产品，不得裁减</w:t>
            </w:r>
          </w:p>
        </w:tc>
        <w:tc>
          <w:tcPr>
            <w:tcW w:w="1038" w:type="dxa"/>
            <w:vAlign w:val="center"/>
          </w:tcPr>
          <w:p w14:paraId="757650D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3AC36F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6F559C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876" w:type="dxa"/>
            <w:vAlign w:val="center"/>
          </w:tcPr>
          <w:p w14:paraId="7D4481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5B3461C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接口开放</w:t>
            </w:r>
          </w:p>
        </w:tc>
        <w:tc>
          <w:tcPr>
            <w:tcW w:w="935" w:type="dxa"/>
            <w:vAlign w:val="center"/>
          </w:tcPr>
          <w:p w14:paraId="1003A33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1E71416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502EFB0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412697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开放的数据接口，能与内部OA系统及其他业务系统进行无缝整合，能通过OA系统正常进行收发文工作</w:t>
            </w:r>
          </w:p>
        </w:tc>
        <w:tc>
          <w:tcPr>
            <w:tcW w:w="1038" w:type="dxa"/>
            <w:vAlign w:val="center"/>
          </w:tcPr>
          <w:p w14:paraId="20F5EA5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12EF4A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20C78E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876" w:type="dxa"/>
            <w:vAlign w:val="center"/>
          </w:tcPr>
          <w:p w14:paraId="2AB188A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72831D2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加密方式</w:t>
            </w:r>
          </w:p>
        </w:tc>
        <w:tc>
          <w:tcPr>
            <w:tcW w:w="935" w:type="dxa"/>
            <w:vAlign w:val="center"/>
          </w:tcPr>
          <w:p w14:paraId="0B3FEA6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5B8FE30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726C679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133F4B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提供对文档加密、权限保护等安全设置</w:t>
            </w:r>
          </w:p>
        </w:tc>
        <w:tc>
          <w:tcPr>
            <w:tcW w:w="1038" w:type="dxa"/>
            <w:vAlign w:val="center"/>
          </w:tcPr>
          <w:p w14:paraId="003E034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BBC7FC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4332C09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876" w:type="dxa"/>
            <w:vAlign w:val="center"/>
          </w:tcPr>
          <w:p w14:paraId="1A85568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00625EA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界面兼容</w:t>
            </w:r>
          </w:p>
        </w:tc>
        <w:tc>
          <w:tcPr>
            <w:tcW w:w="935" w:type="dxa"/>
            <w:vAlign w:val="center"/>
          </w:tcPr>
          <w:p w14:paraId="4F3E4F3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568E2C2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71D37F9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E5B169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提供下拉式菜单式及标签页式菜单两种界面风格，并可以在安装时自由选择</w:t>
            </w:r>
          </w:p>
        </w:tc>
        <w:tc>
          <w:tcPr>
            <w:tcW w:w="1038" w:type="dxa"/>
            <w:vAlign w:val="center"/>
          </w:tcPr>
          <w:p w14:paraId="2397BC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F4FC9A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12E4775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876" w:type="dxa"/>
            <w:vAlign w:val="center"/>
          </w:tcPr>
          <w:p w14:paraId="76D1D4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758A85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文件格式兼容</w:t>
            </w:r>
          </w:p>
        </w:tc>
        <w:tc>
          <w:tcPr>
            <w:tcW w:w="935" w:type="dxa"/>
            <w:vAlign w:val="center"/>
          </w:tcPr>
          <w:p w14:paraId="01C232D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5FD8FAF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7B7FAA2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505A1BC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各模块能无缝打开市场主流的的文档格式</w:t>
            </w:r>
          </w:p>
        </w:tc>
        <w:tc>
          <w:tcPr>
            <w:tcW w:w="1038" w:type="dxa"/>
            <w:vAlign w:val="center"/>
          </w:tcPr>
          <w:p w14:paraId="107A9B1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2ED79E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1F27414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876" w:type="dxa"/>
            <w:vAlign w:val="center"/>
          </w:tcPr>
          <w:p w14:paraId="1258D8F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2C0E25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升级方式</w:t>
            </w:r>
          </w:p>
        </w:tc>
        <w:tc>
          <w:tcPr>
            <w:tcW w:w="935" w:type="dxa"/>
            <w:vAlign w:val="center"/>
          </w:tcPr>
          <w:p w14:paraId="4EAFFB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0B72330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36C7946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411FA2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易于升级，支持手工升级包、在线自动升级和局域网升级服务器三种方式</w:t>
            </w:r>
          </w:p>
        </w:tc>
        <w:tc>
          <w:tcPr>
            <w:tcW w:w="1038" w:type="dxa"/>
            <w:vAlign w:val="center"/>
          </w:tcPr>
          <w:p w14:paraId="2CC82FB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04BA8F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0D90BD7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876" w:type="dxa"/>
            <w:vAlign w:val="center"/>
          </w:tcPr>
          <w:p w14:paraId="7685E5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54B5B39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界面友好</w:t>
            </w:r>
          </w:p>
        </w:tc>
        <w:tc>
          <w:tcPr>
            <w:tcW w:w="935" w:type="dxa"/>
            <w:vAlign w:val="center"/>
          </w:tcPr>
          <w:p w14:paraId="48D1FF5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20F28B4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423AC4F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14D0C8E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提供图形化安装界面，对每个安装界面提供较为详细的帮助信息，安装过程简单明了；人机交互界面友好，操作方式宜符合用户习惯</w:t>
            </w:r>
          </w:p>
        </w:tc>
        <w:tc>
          <w:tcPr>
            <w:tcW w:w="1038" w:type="dxa"/>
            <w:vAlign w:val="center"/>
          </w:tcPr>
          <w:p w14:paraId="73DA6BA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4644FE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2CF71E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876" w:type="dxa"/>
            <w:vAlign w:val="center"/>
          </w:tcPr>
          <w:p w14:paraId="7C47A6B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0021A33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保存为放映模式</w:t>
            </w:r>
          </w:p>
        </w:tc>
        <w:tc>
          <w:tcPr>
            <w:tcW w:w="935" w:type="dxa"/>
            <w:vAlign w:val="center"/>
          </w:tcPr>
          <w:p w14:paraId="1D4748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713EA83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31E8C42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53858F2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演示支持保存为PPS放映模式，并支持PPS格式文件的在线播放</w:t>
            </w:r>
          </w:p>
        </w:tc>
        <w:tc>
          <w:tcPr>
            <w:tcW w:w="1038" w:type="dxa"/>
            <w:vAlign w:val="center"/>
          </w:tcPr>
          <w:p w14:paraId="636C349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B03C31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3A39E20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876" w:type="dxa"/>
            <w:vAlign w:val="center"/>
          </w:tcPr>
          <w:p w14:paraId="7BD67FE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168F8D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幻灯片表格</w:t>
            </w:r>
          </w:p>
        </w:tc>
        <w:tc>
          <w:tcPr>
            <w:tcW w:w="935" w:type="dxa"/>
            <w:vAlign w:val="center"/>
          </w:tcPr>
          <w:p w14:paraId="11B971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107497B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07A6844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CC90E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幻灯片中可以插入表格，绘制斜线表头功能</w:t>
            </w:r>
          </w:p>
        </w:tc>
        <w:tc>
          <w:tcPr>
            <w:tcW w:w="1038" w:type="dxa"/>
            <w:vAlign w:val="center"/>
          </w:tcPr>
          <w:p w14:paraId="65FC29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CFD677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5F137E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876" w:type="dxa"/>
            <w:vAlign w:val="center"/>
          </w:tcPr>
          <w:p w14:paraId="18D0295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515AB7F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幻灯片切换效果</w:t>
            </w:r>
          </w:p>
        </w:tc>
        <w:tc>
          <w:tcPr>
            <w:tcW w:w="935" w:type="dxa"/>
            <w:vAlign w:val="center"/>
          </w:tcPr>
          <w:p w14:paraId="0A3AEBF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1DD0006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0C765A1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E3A2F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支持平滑淡出、溶解、全黑淡出、向下擦除、向上擦除等多种形式的幻灯片切换效果</w:t>
            </w:r>
          </w:p>
        </w:tc>
        <w:tc>
          <w:tcPr>
            <w:tcW w:w="1038" w:type="dxa"/>
            <w:vAlign w:val="center"/>
          </w:tcPr>
          <w:p w14:paraId="216F4A6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86FC77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1AC8D26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876" w:type="dxa"/>
            <w:vAlign w:val="center"/>
          </w:tcPr>
          <w:p w14:paraId="425D6A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373CBE7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动画方案</w:t>
            </w:r>
          </w:p>
        </w:tc>
        <w:tc>
          <w:tcPr>
            <w:tcW w:w="935" w:type="dxa"/>
            <w:vAlign w:val="center"/>
          </w:tcPr>
          <w:p w14:paraId="1478AB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474C112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7A41277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4BAC5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支持动画方案功能，幻灯片中的文本以忽暗忽明、突出显示、随机线条等多种方式出现</w:t>
            </w:r>
          </w:p>
        </w:tc>
        <w:tc>
          <w:tcPr>
            <w:tcW w:w="1038" w:type="dxa"/>
            <w:vAlign w:val="center"/>
          </w:tcPr>
          <w:p w14:paraId="6340011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95B695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3CFFBC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876" w:type="dxa"/>
            <w:vAlign w:val="center"/>
          </w:tcPr>
          <w:p w14:paraId="36A07EA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0AA8A73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插入图片、多媒体对象</w:t>
            </w:r>
          </w:p>
        </w:tc>
        <w:tc>
          <w:tcPr>
            <w:tcW w:w="935" w:type="dxa"/>
            <w:vAlign w:val="center"/>
          </w:tcPr>
          <w:p w14:paraId="6CB62FE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5F3B96C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070D016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18F69B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演示模块可支持在幻灯片中插入图片、表格、图形、图表、公式和多媒体对象</w:t>
            </w:r>
          </w:p>
        </w:tc>
        <w:tc>
          <w:tcPr>
            <w:tcW w:w="1038" w:type="dxa"/>
            <w:vAlign w:val="center"/>
          </w:tcPr>
          <w:p w14:paraId="5ED383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6510CB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7E3D5A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876" w:type="dxa"/>
            <w:vAlign w:val="center"/>
          </w:tcPr>
          <w:p w14:paraId="1C2C3AB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1E4B9C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演示模块多屏放映</w:t>
            </w:r>
          </w:p>
        </w:tc>
        <w:tc>
          <w:tcPr>
            <w:tcW w:w="935" w:type="dxa"/>
            <w:vAlign w:val="center"/>
          </w:tcPr>
          <w:p w14:paraId="75F341B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32DF57F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618D535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148E13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应提供幻灯片多屏放映功能</w:t>
            </w:r>
          </w:p>
        </w:tc>
        <w:tc>
          <w:tcPr>
            <w:tcW w:w="1038" w:type="dxa"/>
            <w:vAlign w:val="center"/>
          </w:tcPr>
          <w:p w14:paraId="6B921D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810BF4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70D251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876" w:type="dxa"/>
            <w:vAlign w:val="center"/>
          </w:tcPr>
          <w:p w14:paraId="3C98647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4C837BC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演示模块背景音乐</w:t>
            </w:r>
          </w:p>
        </w:tc>
        <w:tc>
          <w:tcPr>
            <w:tcW w:w="935" w:type="dxa"/>
            <w:vAlign w:val="center"/>
          </w:tcPr>
          <w:p w14:paraId="75FAA2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2D6A893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3A7F69F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D3023B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演示模块支持背景音乐功能，PPT放映的全程中进行播放</w:t>
            </w:r>
          </w:p>
        </w:tc>
        <w:tc>
          <w:tcPr>
            <w:tcW w:w="1038" w:type="dxa"/>
            <w:vAlign w:val="center"/>
          </w:tcPr>
          <w:p w14:paraId="4BC93F4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F0393C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74A0AAC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876" w:type="dxa"/>
            <w:vAlign w:val="center"/>
          </w:tcPr>
          <w:p w14:paraId="1B15436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576084D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演示放大镜、荧光笔</w:t>
            </w:r>
          </w:p>
        </w:tc>
        <w:tc>
          <w:tcPr>
            <w:tcW w:w="935" w:type="dxa"/>
            <w:vAlign w:val="center"/>
          </w:tcPr>
          <w:p w14:paraId="1D6C209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0AA7538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2FA4EAA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3C56D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演示模块提供放大镜、荧光笔、触发器、动画效果等功能</w:t>
            </w:r>
          </w:p>
        </w:tc>
        <w:tc>
          <w:tcPr>
            <w:tcW w:w="1038" w:type="dxa"/>
            <w:vAlign w:val="center"/>
          </w:tcPr>
          <w:p w14:paraId="63A5F0B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052E95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7E0C6BB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876" w:type="dxa"/>
            <w:vAlign w:val="center"/>
          </w:tcPr>
          <w:p w14:paraId="26B4E9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0EDF11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电子表格支持生成图表功能</w:t>
            </w:r>
          </w:p>
        </w:tc>
        <w:tc>
          <w:tcPr>
            <w:tcW w:w="935" w:type="dxa"/>
            <w:vAlign w:val="center"/>
          </w:tcPr>
          <w:p w14:paraId="2FCFF6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79A87C9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49E6CE0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10E0E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应支持生成图表功能；根据表格数据可自动生成柱形图、折线图、饼图等各类图表，且各类型之间可方便转换</w:t>
            </w:r>
          </w:p>
        </w:tc>
        <w:tc>
          <w:tcPr>
            <w:tcW w:w="1038" w:type="dxa"/>
            <w:vAlign w:val="center"/>
          </w:tcPr>
          <w:p w14:paraId="056CE5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D1B33E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458C208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876" w:type="dxa"/>
            <w:vAlign w:val="center"/>
          </w:tcPr>
          <w:p w14:paraId="61BA136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13E9154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推荐列表</w:t>
            </w:r>
          </w:p>
        </w:tc>
        <w:tc>
          <w:tcPr>
            <w:tcW w:w="935" w:type="dxa"/>
            <w:vAlign w:val="center"/>
          </w:tcPr>
          <w:p w14:paraId="6650654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64D45B9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00CA169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D12D1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表格模块能提供推荐列表功能，提高录入的速度和准确性</w:t>
            </w:r>
          </w:p>
        </w:tc>
        <w:tc>
          <w:tcPr>
            <w:tcW w:w="1038" w:type="dxa"/>
            <w:vAlign w:val="center"/>
          </w:tcPr>
          <w:p w14:paraId="6771E7C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37FDD5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3E00108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876" w:type="dxa"/>
            <w:vAlign w:val="center"/>
          </w:tcPr>
          <w:p w14:paraId="25B586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5F86105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数据导入</w:t>
            </w:r>
          </w:p>
        </w:tc>
        <w:tc>
          <w:tcPr>
            <w:tcW w:w="935" w:type="dxa"/>
            <w:vAlign w:val="center"/>
          </w:tcPr>
          <w:p w14:paraId="349CDD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103DA25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530AD5D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8C74BA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应支持外部数据源的导入、导出</w:t>
            </w:r>
          </w:p>
        </w:tc>
        <w:tc>
          <w:tcPr>
            <w:tcW w:w="1038" w:type="dxa"/>
            <w:vAlign w:val="center"/>
          </w:tcPr>
          <w:p w14:paraId="60A8FA9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72BDBD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234D863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876" w:type="dxa"/>
            <w:vAlign w:val="center"/>
          </w:tcPr>
          <w:p w14:paraId="03C5DB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4310C8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函数</w:t>
            </w:r>
          </w:p>
        </w:tc>
        <w:tc>
          <w:tcPr>
            <w:tcW w:w="935" w:type="dxa"/>
            <w:vAlign w:val="center"/>
          </w:tcPr>
          <w:p w14:paraId="04B76FE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313FFFB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12084E7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8B71B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应提供常用的日期和时间、文本、统计、数学、财务、逻辑等函数</w:t>
            </w:r>
          </w:p>
        </w:tc>
        <w:tc>
          <w:tcPr>
            <w:tcW w:w="1038" w:type="dxa"/>
            <w:vAlign w:val="center"/>
          </w:tcPr>
          <w:p w14:paraId="7591A9A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BB442E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27A781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876" w:type="dxa"/>
            <w:vAlign w:val="center"/>
          </w:tcPr>
          <w:p w14:paraId="40901DD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77F5024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数据处理</w:t>
            </w:r>
          </w:p>
        </w:tc>
        <w:tc>
          <w:tcPr>
            <w:tcW w:w="935" w:type="dxa"/>
            <w:vAlign w:val="center"/>
          </w:tcPr>
          <w:p w14:paraId="1A0559C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105109F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7B97B0E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687AA5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表格模块支持数据计算，提供数据有效性、排序、筛选、分类汇总，组及分组显示等功能</w:t>
            </w:r>
          </w:p>
        </w:tc>
        <w:tc>
          <w:tcPr>
            <w:tcW w:w="1038" w:type="dxa"/>
            <w:vAlign w:val="center"/>
          </w:tcPr>
          <w:p w14:paraId="1355F9F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EF649F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7D3F73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876" w:type="dxa"/>
            <w:vAlign w:val="center"/>
          </w:tcPr>
          <w:p w14:paraId="10151D2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5C7D53A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基本功能</w:t>
            </w:r>
          </w:p>
        </w:tc>
        <w:tc>
          <w:tcPr>
            <w:tcW w:w="935" w:type="dxa"/>
            <w:vAlign w:val="center"/>
          </w:tcPr>
          <w:p w14:paraId="1A98938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7AF83C9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5026F98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EB2118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应支持数据录入、计算；应支持各种常见公式，满足政府办公中的统计和计算需求</w:t>
            </w:r>
          </w:p>
        </w:tc>
        <w:tc>
          <w:tcPr>
            <w:tcW w:w="1038" w:type="dxa"/>
            <w:vAlign w:val="center"/>
          </w:tcPr>
          <w:p w14:paraId="3E9B5B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61A16E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077B07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876" w:type="dxa"/>
            <w:vAlign w:val="center"/>
          </w:tcPr>
          <w:p w14:paraId="40D0F0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4C5C27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文档编辑</w:t>
            </w:r>
          </w:p>
        </w:tc>
        <w:tc>
          <w:tcPr>
            <w:tcW w:w="935" w:type="dxa"/>
            <w:vAlign w:val="center"/>
          </w:tcPr>
          <w:p w14:paraId="302144D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695D74F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7D4EEAF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CCF24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应支持对字体、字号、段落、页面的编辑、排版等各项功能</w:t>
            </w:r>
          </w:p>
        </w:tc>
        <w:tc>
          <w:tcPr>
            <w:tcW w:w="1038" w:type="dxa"/>
            <w:vAlign w:val="center"/>
          </w:tcPr>
          <w:p w14:paraId="586B346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35BB94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56DB562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876" w:type="dxa"/>
            <w:vAlign w:val="center"/>
          </w:tcPr>
          <w:p w14:paraId="7972F7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7DC5AF1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窗体域</w:t>
            </w:r>
          </w:p>
        </w:tc>
        <w:tc>
          <w:tcPr>
            <w:tcW w:w="935" w:type="dxa"/>
            <w:vAlign w:val="center"/>
          </w:tcPr>
          <w:p w14:paraId="052C24A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18F2DC3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566C297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55F8CA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文字模块支持插入窗体域对象，保存窗体域局部内容修改的编辑记录，从而对文档进行局部保护</w:t>
            </w:r>
          </w:p>
        </w:tc>
        <w:tc>
          <w:tcPr>
            <w:tcW w:w="1038" w:type="dxa"/>
            <w:vAlign w:val="center"/>
          </w:tcPr>
          <w:p w14:paraId="0F2D597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9A75B7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7FD71B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876" w:type="dxa"/>
            <w:vAlign w:val="center"/>
          </w:tcPr>
          <w:p w14:paraId="0D6CDE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59F839C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页面显示</w:t>
            </w:r>
          </w:p>
        </w:tc>
        <w:tc>
          <w:tcPr>
            <w:tcW w:w="935" w:type="dxa"/>
            <w:vAlign w:val="center"/>
          </w:tcPr>
          <w:p w14:paraId="374675D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7BC59D4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56ACFD3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8DD321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应可自由调节页面显示比例</w:t>
            </w:r>
          </w:p>
        </w:tc>
        <w:tc>
          <w:tcPr>
            <w:tcW w:w="1038" w:type="dxa"/>
            <w:vAlign w:val="center"/>
          </w:tcPr>
          <w:p w14:paraId="5FFD999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CD560C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5D0F57A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876" w:type="dxa"/>
            <w:vAlign w:val="center"/>
          </w:tcPr>
          <w:p w14:paraId="21725F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4C6242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页眉页脚</w:t>
            </w:r>
          </w:p>
        </w:tc>
        <w:tc>
          <w:tcPr>
            <w:tcW w:w="935" w:type="dxa"/>
            <w:vAlign w:val="center"/>
          </w:tcPr>
          <w:p w14:paraId="298B085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32E6586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42A3AA0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2710F9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文字模块下支持插入页眉、页脚，并提供页眉页脚编辑功能，支持在页眉页脚内插入页码等功能</w:t>
            </w:r>
          </w:p>
        </w:tc>
        <w:tc>
          <w:tcPr>
            <w:tcW w:w="1038" w:type="dxa"/>
            <w:vAlign w:val="center"/>
          </w:tcPr>
          <w:p w14:paraId="157ADB1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3BF336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55962D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876" w:type="dxa"/>
            <w:vAlign w:val="center"/>
          </w:tcPr>
          <w:p w14:paraId="55DF9D8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0834422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页面分节</w:t>
            </w:r>
          </w:p>
        </w:tc>
        <w:tc>
          <w:tcPr>
            <w:tcW w:w="935" w:type="dxa"/>
            <w:vAlign w:val="center"/>
          </w:tcPr>
          <w:p w14:paraId="00CA9DC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6CD09D5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548685C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7CC12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文字模块下，支持分节效果，支持插入分节符、分页符等分节功能</w:t>
            </w:r>
          </w:p>
        </w:tc>
        <w:tc>
          <w:tcPr>
            <w:tcW w:w="1038" w:type="dxa"/>
            <w:vAlign w:val="center"/>
          </w:tcPr>
          <w:p w14:paraId="0098C0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2640F6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6A34D49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876" w:type="dxa"/>
            <w:vAlign w:val="center"/>
          </w:tcPr>
          <w:p w14:paraId="4838BB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6BFDFC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页面布局</w:t>
            </w:r>
          </w:p>
        </w:tc>
        <w:tc>
          <w:tcPr>
            <w:tcW w:w="935" w:type="dxa"/>
            <w:vAlign w:val="center"/>
          </w:tcPr>
          <w:p w14:paraId="4AF5BFD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74B84AB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30CEBF8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70B0963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文字模块下支持横向、竖向页面设置，支持页边距、页面背景、文字方向等功能设置</w:t>
            </w:r>
          </w:p>
        </w:tc>
        <w:tc>
          <w:tcPr>
            <w:tcW w:w="1038" w:type="dxa"/>
            <w:vAlign w:val="center"/>
          </w:tcPr>
          <w:p w14:paraId="3EB9980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2383F1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4F24B5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876" w:type="dxa"/>
            <w:vAlign w:val="center"/>
          </w:tcPr>
          <w:p w14:paraId="01BA89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7DD2EA1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图像编辑</w:t>
            </w:r>
          </w:p>
        </w:tc>
        <w:tc>
          <w:tcPr>
            <w:tcW w:w="935" w:type="dxa"/>
            <w:vAlign w:val="center"/>
          </w:tcPr>
          <w:p w14:paraId="7DF376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2E149D5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3BE8BD0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CAC48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文字模块下、支持插入各种流程图、线型、箭头、链接线、矩形等各种图形，并提供颜色、边框、填充色的设置，支持自由度的旋转</w:t>
            </w:r>
          </w:p>
        </w:tc>
        <w:tc>
          <w:tcPr>
            <w:tcW w:w="1038" w:type="dxa"/>
            <w:vAlign w:val="center"/>
          </w:tcPr>
          <w:p w14:paraId="2A9FBE3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4800F3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6389998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876" w:type="dxa"/>
            <w:vAlign w:val="center"/>
          </w:tcPr>
          <w:p w14:paraId="6F098D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4B1DF3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文档目录</w:t>
            </w:r>
          </w:p>
        </w:tc>
        <w:tc>
          <w:tcPr>
            <w:tcW w:w="935" w:type="dxa"/>
            <w:vAlign w:val="center"/>
          </w:tcPr>
          <w:p w14:paraId="7F94954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1C7168D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4C49E0B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CC36FB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在文字模块下，提供插入目录、删除目录和根据文档内容自动生成目录等功能</w:t>
            </w:r>
          </w:p>
        </w:tc>
        <w:tc>
          <w:tcPr>
            <w:tcW w:w="1038" w:type="dxa"/>
            <w:vAlign w:val="center"/>
          </w:tcPr>
          <w:p w14:paraId="1B96BF9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F50C91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3FBC3A5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876" w:type="dxa"/>
            <w:vAlign w:val="center"/>
          </w:tcPr>
          <w:p w14:paraId="5937578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582E07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文档修订</w:t>
            </w:r>
          </w:p>
        </w:tc>
        <w:tc>
          <w:tcPr>
            <w:tcW w:w="935" w:type="dxa"/>
            <w:vAlign w:val="center"/>
          </w:tcPr>
          <w:p w14:paraId="52B2DDC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1EB9197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4494950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9134E8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文字模块下支持对文档内容进行修订，可以以插入、删除、修改文档内容的方式进行修订文档；支持插删除和保护修订等功能</w:t>
            </w:r>
          </w:p>
        </w:tc>
        <w:tc>
          <w:tcPr>
            <w:tcW w:w="1038" w:type="dxa"/>
            <w:vAlign w:val="center"/>
          </w:tcPr>
          <w:p w14:paraId="5426944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FEDBE0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4779A26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876" w:type="dxa"/>
            <w:vAlign w:val="center"/>
          </w:tcPr>
          <w:p w14:paraId="5D9C5C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054A55D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文档批注</w:t>
            </w:r>
          </w:p>
        </w:tc>
        <w:tc>
          <w:tcPr>
            <w:tcW w:w="935" w:type="dxa"/>
            <w:vAlign w:val="center"/>
          </w:tcPr>
          <w:p w14:paraId="33A274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0C0A5B5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7881C7D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1274C4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文字模块下对文档内容进行批注，支持插入批注、删除批注、上一条批注、下一条批注导航浏览等功能</w:t>
            </w:r>
          </w:p>
        </w:tc>
        <w:tc>
          <w:tcPr>
            <w:tcW w:w="1038" w:type="dxa"/>
            <w:vAlign w:val="center"/>
          </w:tcPr>
          <w:p w14:paraId="462901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631A7D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25FBDAA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876" w:type="dxa"/>
            <w:vAlign w:val="center"/>
          </w:tcPr>
          <w:p w14:paraId="0B57F95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52688D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文字表格编辑</w:t>
            </w:r>
          </w:p>
        </w:tc>
        <w:tc>
          <w:tcPr>
            <w:tcW w:w="935" w:type="dxa"/>
            <w:vAlign w:val="center"/>
          </w:tcPr>
          <w:p w14:paraId="51AF700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2DFB700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73E426B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479B084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自动插入表格，支持表格样式任意切换，可以对表格任意行任意列进行编辑、删除和插入</w:t>
            </w:r>
          </w:p>
        </w:tc>
        <w:tc>
          <w:tcPr>
            <w:tcW w:w="1038" w:type="dxa"/>
            <w:vAlign w:val="center"/>
          </w:tcPr>
          <w:p w14:paraId="369BB5C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0469CC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1A34920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876" w:type="dxa"/>
            <w:vAlign w:val="center"/>
          </w:tcPr>
          <w:p w14:paraId="4E27120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526428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实时预览</w:t>
            </w:r>
          </w:p>
        </w:tc>
        <w:tc>
          <w:tcPr>
            <w:tcW w:w="935" w:type="dxa"/>
            <w:vAlign w:val="center"/>
          </w:tcPr>
          <w:p w14:paraId="4304743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5329757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02B81A4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F6591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支持在复制和粘贴时的外观预览，轻松地重用文本</w:t>
            </w:r>
          </w:p>
        </w:tc>
        <w:tc>
          <w:tcPr>
            <w:tcW w:w="1038" w:type="dxa"/>
            <w:vAlign w:val="center"/>
          </w:tcPr>
          <w:p w14:paraId="7CA47C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45105B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5B1D88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876" w:type="dxa"/>
            <w:vAlign w:val="center"/>
          </w:tcPr>
          <w:p w14:paraId="534E820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45A21C3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编辑</w:t>
            </w:r>
          </w:p>
        </w:tc>
        <w:tc>
          <w:tcPr>
            <w:tcW w:w="935" w:type="dxa"/>
            <w:vAlign w:val="center"/>
          </w:tcPr>
          <w:p w14:paraId="6569BFC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0C5DC45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047555A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578D035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编辑文档时可以进行文字编辑、段落、目录、书签等设置或插入文本框、图形、表格等对象；支持图文混排、文件修订、样式应用和文件处理等功能</w:t>
            </w:r>
          </w:p>
        </w:tc>
        <w:tc>
          <w:tcPr>
            <w:tcW w:w="1038" w:type="dxa"/>
            <w:vAlign w:val="center"/>
          </w:tcPr>
          <w:p w14:paraId="6807E2D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DA9886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6888A5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w:t>
            </w:r>
          </w:p>
        </w:tc>
        <w:tc>
          <w:tcPr>
            <w:tcW w:w="876" w:type="dxa"/>
            <w:vAlign w:val="center"/>
          </w:tcPr>
          <w:p w14:paraId="0DE8B8E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1E09330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恢复未保存文件</w:t>
            </w:r>
          </w:p>
        </w:tc>
        <w:tc>
          <w:tcPr>
            <w:tcW w:w="935" w:type="dxa"/>
            <w:vAlign w:val="center"/>
          </w:tcPr>
          <w:p w14:paraId="37869B7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571CA20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0AA2928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3411B8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文字处理、电子表格、演示文稿均支持恢复未保存而关闭的文件</w:t>
            </w:r>
          </w:p>
        </w:tc>
        <w:tc>
          <w:tcPr>
            <w:tcW w:w="1038" w:type="dxa"/>
            <w:vAlign w:val="center"/>
          </w:tcPr>
          <w:p w14:paraId="18A7EB4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58E20B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69593BE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w:t>
            </w:r>
          </w:p>
        </w:tc>
        <w:tc>
          <w:tcPr>
            <w:tcW w:w="876" w:type="dxa"/>
            <w:vAlign w:val="center"/>
          </w:tcPr>
          <w:p w14:paraId="21FD7F9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7CCF9E0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输出OFD格式</w:t>
            </w:r>
          </w:p>
        </w:tc>
        <w:tc>
          <w:tcPr>
            <w:tcW w:w="935" w:type="dxa"/>
            <w:vAlign w:val="center"/>
          </w:tcPr>
          <w:p w14:paraId="6FFE4D0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37B5267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13EF655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2D1E76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所有模块要求均能导出成为OFD格式文件（国家标准化管理委员会批准发布的《电子文件存储与交换格式版式文档》，标准编号为GB/T33190-2016的OFD格式）</w:t>
            </w:r>
          </w:p>
        </w:tc>
        <w:tc>
          <w:tcPr>
            <w:tcW w:w="1038" w:type="dxa"/>
            <w:vAlign w:val="center"/>
          </w:tcPr>
          <w:p w14:paraId="59FFB99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75107D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5EC392E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w:t>
            </w:r>
          </w:p>
        </w:tc>
        <w:tc>
          <w:tcPr>
            <w:tcW w:w="876" w:type="dxa"/>
            <w:vAlign w:val="center"/>
          </w:tcPr>
          <w:p w14:paraId="4C8D79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4D6FB38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输出PDF格式</w:t>
            </w:r>
          </w:p>
        </w:tc>
        <w:tc>
          <w:tcPr>
            <w:tcW w:w="935" w:type="dxa"/>
            <w:vAlign w:val="center"/>
          </w:tcPr>
          <w:p w14:paraId="419BCC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0937D1F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06F38DC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55DFD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所有模块要求均能导出成为PDF格式文件，在导出过程中可对文档信息、书签、超链接等进行输出项选择，可进行打印、加密、添加批注等权限设置。同时使用办公软件能够正确打开PDF格式的文档</w:t>
            </w:r>
          </w:p>
        </w:tc>
        <w:tc>
          <w:tcPr>
            <w:tcW w:w="1038" w:type="dxa"/>
            <w:vAlign w:val="center"/>
          </w:tcPr>
          <w:p w14:paraId="599FA4F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F3B987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4640CA9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876" w:type="dxa"/>
            <w:vAlign w:val="center"/>
          </w:tcPr>
          <w:p w14:paraId="4BE41E2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5E21C07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产品独立运行要求</w:t>
            </w:r>
          </w:p>
        </w:tc>
        <w:tc>
          <w:tcPr>
            <w:tcW w:w="935" w:type="dxa"/>
            <w:vAlign w:val="center"/>
          </w:tcPr>
          <w:p w14:paraId="40BD02E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605BD17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5592FD4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CDF04E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能在台式机、笔记本等用户终端设备上独立安装和运行，不强制依赖其他设备。能在用户终端设备上离线处理本地文档。提供方便的产品激活方式，产品激活以后能在离线状态下独立运行。</w:t>
            </w:r>
          </w:p>
        </w:tc>
        <w:tc>
          <w:tcPr>
            <w:tcW w:w="1038" w:type="dxa"/>
            <w:vAlign w:val="center"/>
          </w:tcPr>
          <w:p w14:paraId="40E24A8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37EAC8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3033C86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w:t>
            </w:r>
          </w:p>
        </w:tc>
        <w:tc>
          <w:tcPr>
            <w:tcW w:w="876" w:type="dxa"/>
            <w:vAlign w:val="center"/>
          </w:tcPr>
          <w:p w14:paraId="3EA01C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0A90EDF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支持标准</w:t>
            </w:r>
          </w:p>
        </w:tc>
        <w:tc>
          <w:tcPr>
            <w:tcW w:w="935" w:type="dxa"/>
            <w:vAlign w:val="center"/>
          </w:tcPr>
          <w:p w14:paraId="3510705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7EADF40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10C9D2F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4C63F1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符合国际、国家相关标准要求，支持OOXML、支持UOF20(最新版标文通,《中文办公软件文档格式规范》)，符合国家《中文办公软件应用编程接口规范》</w:t>
            </w:r>
          </w:p>
        </w:tc>
        <w:tc>
          <w:tcPr>
            <w:tcW w:w="1038" w:type="dxa"/>
            <w:vAlign w:val="center"/>
          </w:tcPr>
          <w:p w14:paraId="452A4A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B71470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2D5E625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876" w:type="dxa"/>
            <w:vAlign w:val="center"/>
          </w:tcPr>
          <w:p w14:paraId="0AEB9B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2B5CF9B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多语言支持</w:t>
            </w:r>
          </w:p>
        </w:tc>
        <w:tc>
          <w:tcPr>
            <w:tcW w:w="935" w:type="dxa"/>
            <w:vAlign w:val="center"/>
          </w:tcPr>
          <w:p w14:paraId="3F666C8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304A5C4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4941D3E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2C8F593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支持中文，英文等主流语言在内的多语言</w:t>
            </w:r>
          </w:p>
        </w:tc>
        <w:tc>
          <w:tcPr>
            <w:tcW w:w="1038" w:type="dxa"/>
            <w:vAlign w:val="center"/>
          </w:tcPr>
          <w:p w14:paraId="1178A7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C76672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5FCD633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w:t>
            </w:r>
          </w:p>
        </w:tc>
        <w:tc>
          <w:tcPr>
            <w:tcW w:w="876" w:type="dxa"/>
            <w:vAlign w:val="center"/>
          </w:tcPr>
          <w:p w14:paraId="610222E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42880E6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控件支持</w:t>
            </w:r>
          </w:p>
        </w:tc>
        <w:tc>
          <w:tcPr>
            <w:tcW w:w="935" w:type="dxa"/>
            <w:vAlign w:val="center"/>
          </w:tcPr>
          <w:p w14:paraId="416412C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0AF571A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57B1939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060F654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能嵌入NTK0、DSOFramer及金格控件，全面支持B/S、C/S应用。</w:t>
            </w:r>
          </w:p>
        </w:tc>
        <w:tc>
          <w:tcPr>
            <w:tcW w:w="1038" w:type="dxa"/>
            <w:vAlign w:val="center"/>
          </w:tcPr>
          <w:p w14:paraId="6BF931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73CB1C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2D610C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44</w:t>
            </w:r>
          </w:p>
        </w:tc>
        <w:tc>
          <w:tcPr>
            <w:tcW w:w="876" w:type="dxa"/>
            <w:vAlign w:val="center"/>
          </w:tcPr>
          <w:p w14:paraId="31E9752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4BD6DA2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阅读模式</w:t>
            </w:r>
          </w:p>
        </w:tc>
        <w:tc>
          <w:tcPr>
            <w:tcW w:w="935" w:type="dxa"/>
            <w:vAlign w:val="center"/>
          </w:tcPr>
          <w:p w14:paraId="7D8FFFA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0BC1EF6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57F512D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66DADD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支持选中某个或多个单元格时，通过颜色标识出该单元格所属的行和列</w:t>
            </w:r>
          </w:p>
        </w:tc>
        <w:tc>
          <w:tcPr>
            <w:tcW w:w="1038" w:type="dxa"/>
            <w:vAlign w:val="center"/>
          </w:tcPr>
          <w:p w14:paraId="6C21EED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BC66B8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243EE03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876" w:type="dxa"/>
            <w:vAlign w:val="center"/>
          </w:tcPr>
          <w:p w14:paraId="3329FF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13BC8E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数据筛选</w:t>
            </w:r>
          </w:p>
        </w:tc>
        <w:tc>
          <w:tcPr>
            <w:tcW w:w="935" w:type="dxa"/>
            <w:vAlign w:val="center"/>
          </w:tcPr>
          <w:p w14:paraId="74A8C9C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4C038D8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3F1E9B5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15525CB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表格模块支持单项筛选功能，即能够在筛选列表中一键筛选某一个值；</w:t>
            </w:r>
          </w:p>
        </w:tc>
        <w:tc>
          <w:tcPr>
            <w:tcW w:w="1038" w:type="dxa"/>
            <w:vAlign w:val="center"/>
          </w:tcPr>
          <w:p w14:paraId="673312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51DC28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0345FAF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46</w:t>
            </w:r>
          </w:p>
        </w:tc>
        <w:tc>
          <w:tcPr>
            <w:tcW w:w="876" w:type="dxa"/>
            <w:vAlign w:val="center"/>
          </w:tcPr>
          <w:p w14:paraId="2BD4DC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4EECCC9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文字工具</w:t>
            </w:r>
          </w:p>
        </w:tc>
        <w:tc>
          <w:tcPr>
            <w:tcW w:w="935" w:type="dxa"/>
            <w:vAlign w:val="center"/>
          </w:tcPr>
          <w:p w14:paraId="0D8A386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5B4FD5A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5EFE91C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177D5DD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支持文字工具功能，实现段落重排，智能格式整理，删除空段，删除段首空格，删除空格，删除换行符，换行符转为回车等快速整理文档格式。</w:t>
            </w:r>
          </w:p>
        </w:tc>
        <w:tc>
          <w:tcPr>
            <w:tcW w:w="1038" w:type="dxa"/>
            <w:vAlign w:val="center"/>
          </w:tcPr>
          <w:p w14:paraId="596B2FB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395784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605EC4F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47</w:t>
            </w:r>
          </w:p>
        </w:tc>
        <w:tc>
          <w:tcPr>
            <w:tcW w:w="876" w:type="dxa"/>
            <w:vAlign w:val="center"/>
          </w:tcPr>
          <w:p w14:paraId="1C6988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17B3394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段落布局</w:t>
            </w:r>
          </w:p>
        </w:tc>
        <w:tc>
          <w:tcPr>
            <w:tcW w:w="935" w:type="dxa"/>
            <w:vAlign w:val="center"/>
          </w:tcPr>
          <w:p w14:paraId="6197BA0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4E48B13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1E500E3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3058F02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文字模块提供所见即所得的段落布局快速调整功能，通过可视化操作方式直观调整悬挂缩进、段落间距等格式。</w:t>
            </w:r>
          </w:p>
        </w:tc>
        <w:tc>
          <w:tcPr>
            <w:tcW w:w="1038" w:type="dxa"/>
            <w:vAlign w:val="center"/>
          </w:tcPr>
          <w:p w14:paraId="605060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4941A5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727" w:type="dxa"/>
            <w:vAlign w:val="center"/>
          </w:tcPr>
          <w:p w14:paraId="136AA44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48</w:t>
            </w:r>
          </w:p>
        </w:tc>
        <w:tc>
          <w:tcPr>
            <w:tcW w:w="876" w:type="dxa"/>
            <w:vAlign w:val="center"/>
          </w:tcPr>
          <w:p w14:paraId="0E45222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189" w:type="dxa"/>
            <w:vAlign w:val="center"/>
          </w:tcPr>
          <w:p w14:paraId="3C5242E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二次开发对接</w:t>
            </w:r>
          </w:p>
        </w:tc>
        <w:tc>
          <w:tcPr>
            <w:tcW w:w="935" w:type="dxa"/>
            <w:vAlign w:val="center"/>
          </w:tcPr>
          <w:p w14:paraId="58C029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726" w:type="dxa"/>
            <w:vAlign w:val="center"/>
          </w:tcPr>
          <w:p w14:paraId="03EB73D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85" w:type="dxa"/>
            <w:vAlign w:val="center"/>
          </w:tcPr>
          <w:p w14:paraId="0DF71CA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004" w:type="dxa"/>
            <w:vAlign w:val="center"/>
          </w:tcPr>
          <w:p w14:paraId="447807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响应产品须支持二次开发对接，提供编程环境，可在投标的办公软件中进行自编程。满足用户单位内网、外网使用需求，产品能够脱离内网运行</w:t>
            </w:r>
          </w:p>
        </w:tc>
        <w:tc>
          <w:tcPr>
            <w:tcW w:w="1038" w:type="dxa"/>
            <w:vAlign w:val="center"/>
          </w:tcPr>
          <w:p w14:paraId="6DE2600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bl>
    <w:p w14:paraId="1E6DB93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交货期限：自合同签订之日起30天，采购人和供应商在第二阶段有特殊约定的除外。</w:t>
      </w:r>
    </w:p>
    <w:p w14:paraId="37BB733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交货的地域范围： 四川省范围内送货上门</w:t>
      </w:r>
    </w:p>
    <w:p w14:paraId="7CBAE12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包装方式及运输：</w:t>
      </w:r>
    </w:p>
    <w:p w14:paraId="6611C29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3020BE9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14:paraId="051EC9EA">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（1）服务标准:服务期3年，在服务期内提供升级包，遇严重安全问题应在官网公开漏洞及修复包，主动联系客户, 承诺所有升级服务。</w:t>
      </w:r>
    </w:p>
    <w:p w14:paraId="0DFDA58D">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延期服务收费标准:过服务期后，提供延期服务，其收费标准每年不高于投标报价的20%。其中包含一次的上门服务,所涉及的上门服务费用包含在本次报价中。若第一次上门服务未能有效解决问题，针对同类问题需再次上门服务，则不再支付上门服务费用。</w:t>
      </w:r>
    </w:p>
    <w:p w14:paraId="6C34911E">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（3）技术支持:根据用户需求，提供7*24小时技术专员电话、邮件、上门、远程维保服务。</w:t>
      </w:r>
    </w:p>
    <w:p w14:paraId="3128AA18">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（4）服务人员素质:上门服务人员均具有二年以上所投软件同类产品维护经验。</w:t>
      </w:r>
    </w:p>
    <w:p w14:paraId="7C9BE644">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（5）培训:根据用户需要提供所投产品的安装、维护等技术培训。并提供相应培训的电子文档。</w:t>
      </w:r>
    </w:p>
    <w:p w14:paraId="36E20C3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4.最高限价（元）： 540.00 ，大写（人民币）： 伍佰肆拾元整</w:t>
      </w:r>
    </w:p>
    <w:p w14:paraId="3D128E3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5.配套的必要耗材、配件报价、约定期限：</w:t>
      </w:r>
    </w:p>
    <w:p w14:paraId="426E728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5F24208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6.量价关系折扣：</w:t>
      </w:r>
    </w:p>
    <w:p w14:paraId="300CFEA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是否含有量价关系折扣：否</w:t>
      </w:r>
    </w:p>
    <w:p w14:paraId="63932CE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7.产品升级换代规则：</w:t>
      </w:r>
    </w:p>
    <w:p w14:paraId="402962A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本项目 支持 入围供应商对已入围产品进行升级换代。</w:t>
      </w:r>
    </w:p>
    <w:p w14:paraId="3F5183C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性能不降低、价格不提高的前提下，入围供应商可以用新产品替换原入围产品；在框架协议期限内，每半年进行一次产品升级换代申请审核。注：供应商在提交产品升级换代申请时，须提供产品升级换代承诺函。</w:t>
      </w:r>
    </w:p>
    <w:p w14:paraId="2C22506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76BE0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AF4F8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38" w:type="dxa"/>
          </w:tcPr>
          <w:p w14:paraId="03AE6A3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153" w:type="dxa"/>
          </w:tcPr>
          <w:p w14:paraId="6173C15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1F903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E8F89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38" w:type="dxa"/>
          </w:tcPr>
          <w:p w14:paraId="51E5361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tc>
        <w:tc>
          <w:tcPr>
            <w:tcW w:w="4153" w:type="dxa"/>
          </w:tcPr>
          <w:p w14:paraId="2647D99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54948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1D9B5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38" w:type="dxa"/>
          </w:tcPr>
          <w:p w14:paraId="1A9F20A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w:t>
            </w:r>
          </w:p>
        </w:tc>
        <w:tc>
          <w:tcPr>
            <w:tcW w:w="4153" w:type="dxa"/>
          </w:tcPr>
          <w:p w14:paraId="75B96F8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5A616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743EB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38" w:type="dxa"/>
          </w:tcPr>
          <w:p w14:paraId="467248A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具有健全的财务会计制度。</w:t>
            </w:r>
          </w:p>
        </w:tc>
        <w:tc>
          <w:tcPr>
            <w:tcW w:w="4153" w:type="dxa"/>
          </w:tcPr>
          <w:p w14:paraId="1FE08DE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根据自身情况选择提供其中任意一项：（1）可提供（2023年或2024年）任一年度经审计的财务报告（包含审计报告和审计报告中所涉及的财务报表和报表附注）；（2）可提供（2023年或2024年）任一年度供应商财务报表（至少包括资产负债表、利润表、现金流量表）；（3）可提供截至响应文件提交截止日一年内银行出具的资信证明；（4）供应商注册时间截至响应文件提交截止日不足一年的，也可提供在工商管理部门备案的公司章程。</w:t>
            </w:r>
          </w:p>
        </w:tc>
      </w:tr>
      <w:tr w14:paraId="46F17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092DC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38" w:type="dxa"/>
          </w:tcPr>
          <w:p w14:paraId="341C64D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tc>
        <w:tc>
          <w:tcPr>
            <w:tcW w:w="4153" w:type="dxa"/>
          </w:tcPr>
          <w:p w14:paraId="3921DA1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2BD37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D820E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38" w:type="dxa"/>
          </w:tcPr>
          <w:p w14:paraId="3BC3C0C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tc>
        <w:tc>
          <w:tcPr>
            <w:tcW w:w="4153" w:type="dxa"/>
          </w:tcPr>
          <w:p w14:paraId="3CE9034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55FC8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FECEB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38" w:type="dxa"/>
          </w:tcPr>
          <w:p w14:paraId="7CE85DA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4153" w:type="dxa"/>
          </w:tcPr>
          <w:p w14:paraId="5B4F871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62A39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0C642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38" w:type="dxa"/>
          </w:tcPr>
          <w:p w14:paraId="3F0F3CA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法律、行政法规规定的其它条件。</w:t>
            </w:r>
          </w:p>
        </w:tc>
        <w:tc>
          <w:tcPr>
            <w:tcW w:w="4153" w:type="dxa"/>
          </w:tcPr>
          <w:p w14:paraId="746D43B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03FA1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BC55B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738" w:type="dxa"/>
          </w:tcPr>
          <w:p w14:paraId="48DF98C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不存在与单位负责人为同一人或者存在直接控股、管理关系的其他供应商参与同一合同项下的政府采购活动的行为。</w:t>
            </w:r>
          </w:p>
        </w:tc>
        <w:tc>
          <w:tcPr>
            <w:tcW w:w="4153" w:type="dxa"/>
          </w:tcPr>
          <w:p w14:paraId="43F1E9D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05782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181C9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738" w:type="dxa"/>
          </w:tcPr>
          <w:p w14:paraId="353544E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不属于为本项目提供整体设计、规范编制或者项目管理、监理、检测等服务的供应商。</w:t>
            </w:r>
          </w:p>
        </w:tc>
        <w:tc>
          <w:tcPr>
            <w:tcW w:w="4153" w:type="dxa"/>
          </w:tcPr>
          <w:p w14:paraId="0B8123B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73894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32108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738" w:type="dxa"/>
          </w:tcPr>
          <w:p w14:paraId="206F430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生产厂家或者生产厂家唯一授权供应商的证明材料。</w:t>
            </w:r>
          </w:p>
        </w:tc>
        <w:tc>
          <w:tcPr>
            <w:tcW w:w="4153" w:type="dxa"/>
          </w:tcPr>
          <w:p w14:paraId="4F3D41D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如是生产厂家，应当在响应文件中上传响应产品品牌的《商标注册证》的原件扫描件并进行电子签章。具体要求如下：①《商标注册证》中的注册人应与生产厂家名称一致或提供注册人授权生产厂家使用商标许可的证明材料，如因注册人工商登记信息发生变更导致名称不一致的，需提供市场监管部门变更登记的证明材料；②《商标注册证》核定使用商品分类应包括本次响应产品对应分类；③提交响应文件时，《商标注册证》应在有效期内，入围后生产厂家应确保在框架协议生效期间《商标注册证》有效。2) 供应商如是生产厂家唯一授权供应商，应当在响应文件中除提供上述要求的证明材料（加盖生产厂家公章）外，还应提供响应产品品牌的生产厂家出具的唯一授权书扫描件（加盖生产厂家公章）。授权书应当明确授权时间（授权时间至少应包含本次框架协议期限）、产品范围、代理区域（四川省），并承诺在本次封闭式框架协议征集及补充征集期间不更换唯一授权供应商。</w:t>
            </w:r>
          </w:p>
        </w:tc>
      </w:tr>
    </w:tbl>
    <w:p w14:paraId="1671CD6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61A8D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2EE2B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738" w:type="dxa"/>
          </w:tcPr>
          <w:p w14:paraId="4CA7288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资格要求名称</w:t>
            </w:r>
          </w:p>
        </w:tc>
        <w:tc>
          <w:tcPr>
            <w:tcW w:w="4153" w:type="dxa"/>
          </w:tcPr>
          <w:p w14:paraId="283FC0D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资格要求详细说明</w:t>
            </w:r>
          </w:p>
        </w:tc>
      </w:tr>
      <w:tr w14:paraId="7A3CF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26B6B65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2DD8692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10.入围供应商评审方法：价格优先法</w:t>
      </w:r>
    </w:p>
    <w:p w14:paraId="3472E8E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11.入围供应商淘汰率：</w:t>
      </w:r>
    </w:p>
    <w:p w14:paraId="023210E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本项目征集入围供应商 ，淘汰比例为 20.00%，淘汰供应商按照向上取整进行取整，且至少淘汰 1家供应商。</w:t>
      </w:r>
    </w:p>
    <w:p w14:paraId="75118BA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12.分包的评审条款：</w:t>
      </w:r>
    </w:p>
    <w:p w14:paraId="4A120C1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w:t>
      </w:r>
    </w:p>
    <w:p w14:paraId="104F54D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是指对满足采购需求且响应报价不超过最高限制单价的货物，按照响应报价从低到高排序。评审委员会根据本项目（采购包）征集文件规定的淘汰率或者入围供应商数量上限，确定入围供应商名单。具体流程如下：</w:t>
      </w:r>
    </w:p>
    <w:p w14:paraId="09688D2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1）评审委员会按淘汰率计算得出淘汰供应商数量，即淘汰供应商数量=有效报价供应商数量*淘汰率。计算出的淘汰供应商数量存在小数的，按照向上取整的原则，确定需要淘汰供应商的数量；</w:t>
      </w:r>
    </w:p>
    <w:p w14:paraId="030B021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2）基于按淘汰率计算得出的淘汰供应商数量，根据入围供应商数量上限，确定还需淘汰供应商的数量，最终确定淘汰供应商的总数；</w:t>
      </w:r>
    </w:p>
    <w:p w14:paraId="381CEE3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3）根据最终确定淘汰供应商总数，按评审排序进行淘汰后，确定入围名单。如在排名并列的供应商中仍需淘汰一定数量供应商的，则在并列供应商中通过随机抽取确定相应数量入围供应商后，剩余供应商淘汰；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3"/>
        <w:gridCol w:w="2415"/>
        <w:gridCol w:w="936"/>
        <w:gridCol w:w="3448"/>
      </w:tblGrid>
      <w:tr w14:paraId="24530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6D2151E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423" w:type="dxa"/>
          </w:tcPr>
          <w:p w14:paraId="6BEDF57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评审因素</w:t>
            </w:r>
          </w:p>
        </w:tc>
        <w:tc>
          <w:tcPr>
            <w:tcW w:w="692" w:type="dxa"/>
          </w:tcPr>
          <w:p w14:paraId="77A3B98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扣除比例%</w:t>
            </w:r>
          </w:p>
        </w:tc>
        <w:tc>
          <w:tcPr>
            <w:tcW w:w="3461" w:type="dxa"/>
          </w:tcPr>
          <w:p w14:paraId="200EB2E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评审标准</w:t>
            </w:r>
          </w:p>
        </w:tc>
      </w:tr>
      <w:tr w14:paraId="425D9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13ACBF6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23" w:type="dxa"/>
          </w:tcPr>
          <w:p w14:paraId="63EBED8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692" w:type="dxa"/>
          </w:tcPr>
          <w:p w14:paraId="32D0E41F">
            <w:pPr>
              <w:pStyle w:val="4"/>
              <w:keepNext w:val="0"/>
              <w:keepLines w:val="0"/>
              <w:pageBreakBefore w:val="0"/>
              <w:kinsoku/>
              <w:wordWrap/>
              <w:overflowPunct/>
              <w:topLinePunct w:val="0"/>
              <w:autoSpaceDE/>
              <w:autoSpaceDN/>
              <w:bidi w:val="0"/>
              <w:adjustRightInd/>
              <w:snapToGrid/>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3461" w:type="dxa"/>
          </w:tcPr>
          <w:p w14:paraId="32B86CD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对提供的全部货物制造商属于小型和微型企业的投标人的投标报价给予相应百分比的扣除，用扣除后的价格参与评审。残疾人福利性单位视同小型、微型企业，享受同等价格扣除，但同时属于残疾人福利性单位和小微企业的，不重复价格扣除。</w:t>
            </w:r>
          </w:p>
        </w:tc>
      </w:tr>
    </w:tbl>
    <w:p w14:paraId="33EFED9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13.价格权重：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0A453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BE38AD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权重项编号</w:t>
            </w:r>
          </w:p>
        </w:tc>
        <w:tc>
          <w:tcPr>
            <w:tcW w:w="2769" w:type="dxa"/>
          </w:tcPr>
          <w:p w14:paraId="68E9FE9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w:t>
            </w:r>
          </w:p>
        </w:tc>
        <w:tc>
          <w:tcPr>
            <w:tcW w:w="2769" w:type="dxa"/>
          </w:tcPr>
          <w:p w14:paraId="629B7C4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权重值</w:t>
            </w:r>
          </w:p>
        </w:tc>
      </w:tr>
      <w:tr w14:paraId="23E01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1944F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69" w:type="dxa"/>
          </w:tcPr>
          <w:p w14:paraId="2F32F36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标的价格</w:t>
            </w:r>
          </w:p>
        </w:tc>
        <w:tc>
          <w:tcPr>
            <w:tcW w:w="2769" w:type="dxa"/>
          </w:tcPr>
          <w:p w14:paraId="67444FA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w:t>
            </w:r>
          </w:p>
        </w:tc>
      </w:tr>
    </w:tbl>
    <w:p w14:paraId="0047722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14.第二阶段成交供应商的方式：直接选定/二次竞价</w:t>
      </w:r>
    </w:p>
    <w:p w14:paraId="5B2C53C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单次采购20万元以下（不含20万）的采用直接选定或者二次竞价，20万元以上（含20万）的采用二次竞价。</w:t>
      </w:r>
    </w:p>
    <w:p w14:paraId="522A40D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15.资金支付方式、时间和条件：</w:t>
      </w:r>
    </w:p>
    <w:p w14:paraId="5E395BB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支付方式：一次性付款或分期付款</w:t>
      </w:r>
    </w:p>
    <w:p w14:paraId="249B4F9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 支付时间和条件：对于满足合同约定支付条件的，采购人应当自收到发票后10个工作日内将资金支付到合同约定的供应商账户。采购人和供应商在第二阶段有特殊约定的除外。</w:t>
      </w:r>
    </w:p>
    <w:p w14:paraId="1AE69D4A">
      <w:pPr>
        <w:pStyle w:val="4"/>
        <w:keepNext w:val="0"/>
        <w:keepLines w:val="0"/>
        <w:pageBreakBefore w:val="0"/>
        <w:kinsoku/>
        <w:wordWrap/>
        <w:overflowPunct/>
        <w:topLinePunct w:val="0"/>
        <w:autoSpaceDE/>
        <w:autoSpaceDN/>
        <w:bidi w:val="0"/>
        <w:adjustRightInd/>
        <w:snapToGrid/>
        <w:ind w:firstLine="0"/>
        <w:textAlignment w:val="auto"/>
        <w:outlineLvl w:val="4"/>
        <w:rPr>
          <w:rFonts w:hint="eastAsia" w:ascii="宋体" w:hAnsi="宋体" w:eastAsia="宋体" w:cs="宋体"/>
          <w:color w:val="auto"/>
          <w:sz w:val="24"/>
          <w:szCs w:val="24"/>
        </w:rPr>
      </w:pPr>
      <w:r>
        <w:rPr>
          <w:rFonts w:hint="eastAsia" w:ascii="宋体" w:hAnsi="宋体" w:eastAsia="宋体" w:cs="宋体"/>
          <w:b/>
          <w:color w:val="auto"/>
          <w:sz w:val="24"/>
          <w:szCs w:val="24"/>
        </w:rPr>
        <w:t>（七）分包名称：包7</w:t>
      </w:r>
    </w:p>
    <w:p w14:paraId="1F00FCE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1.采购标的：办公软件</w:t>
      </w:r>
    </w:p>
    <w:p w14:paraId="5F9792D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2.需求明细：</w:t>
      </w:r>
    </w:p>
    <w:p w14:paraId="5121797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1）标的名称：办公软件教育版(适配Windows平台)</w:t>
      </w:r>
    </w:p>
    <w:p w14:paraId="07AEF49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2）计量单位：套</w:t>
      </w:r>
    </w:p>
    <w:p w14:paraId="2336E66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3）是否强制采购节能产品： 否</w:t>
      </w:r>
    </w:p>
    <w:p w14:paraId="14D96CB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4）是否优先采购节能环保产品： 否</w:t>
      </w:r>
    </w:p>
    <w:p w14:paraId="5DFE82C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5）是否采购进口产品： 否</w:t>
      </w:r>
    </w:p>
    <w:p w14:paraId="01555AA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6）标的物所属行业：软件和信息技术服务业</w:t>
      </w:r>
    </w:p>
    <w:p w14:paraId="019FE71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3.拟采购标的的技术要求：</w:t>
      </w:r>
    </w:p>
    <w:tbl>
      <w:tblPr>
        <w:tblStyle w:val="2"/>
        <w:tblW w:w="10477" w:type="dxa"/>
        <w:tblInd w:w="-1053" w:type="dxa"/>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647"/>
        <w:gridCol w:w="773"/>
        <w:gridCol w:w="1257"/>
        <w:gridCol w:w="935"/>
        <w:gridCol w:w="819"/>
        <w:gridCol w:w="796"/>
        <w:gridCol w:w="4108"/>
        <w:gridCol w:w="1142"/>
      </w:tblGrid>
      <w:tr w14:paraId="7F5FC29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1EA58EB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73" w:type="dxa"/>
            <w:vAlign w:val="center"/>
          </w:tcPr>
          <w:p w14:paraId="782F3A6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技术要求</w:t>
            </w:r>
          </w:p>
        </w:tc>
        <w:tc>
          <w:tcPr>
            <w:tcW w:w="1257" w:type="dxa"/>
            <w:vAlign w:val="center"/>
          </w:tcPr>
          <w:p w14:paraId="175FB9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技术参数</w:t>
            </w:r>
          </w:p>
        </w:tc>
        <w:tc>
          <w:tcPr>
            <w:tcW w:w="935" w:type="dxa"/>
            <w:vAlign w:val="center"/>
          </w:tcPr>
          <w:p w14:paraId="446E6BE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819" w:type="dxa"/>
            <w:vAlign w:val="center"/>
          </w:tcPr>
          <w:p w14:paraId="16E64B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参数符号</w:t>
            </w:r>
          </w:p>
        </w:tc>
        <w:tc>
          <w:tcPr>
            <w:tcW w:w="796" w:type="dxa"/>
            <w:vAlign w:val="center"/>
          </w:tcPr>
          <w:p w14:paraId="03A3D33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参数值规则</w:t>
            </w:r>
          </w:p>
        </w:tc>
        <w:tc>
          <w:tcPr>
            <w:tcW w:w="4108" w:type="dxa"/>
            <w:vAlign w:val="center"/>
          </w:tcPr>
          <w:p w14:paraId="2BF14A8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w:t>
            </w:r>
          </w:p>
        </w:tc>
        <w:tc>
          <w:tcPr>
            <w:tcW w:w="1142" w:type="dxa"/>
            <w:vAlign w:val="center"/>
          </w:tcPr>
          <w:p w14:paraId="0FCB1AF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参数值偏离规则</w:t>
            </w:r>
          </w:p>
        </w:tc>
      </w:tr>
      <w:tr w14:paraId="3545F0D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717AD5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73" w:type="dxa"/>
            <w:vAlign w:val="center"/>
          </w:tcPr>
          <w:p w14:paraId="6D5A94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095DC5F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接口开放</w:t>
            </w:r>
          </w:p>
        </w:tc>
        <w:tc>
          <w:tcPr>
            <w:tcW w:w="935" w:type="dxa"/>
            <w:vAlign w:val="center"/>
          </w:tcPr>
          <w:p w14:paraId="2D337B0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7ABC46A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80E856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4B23CE9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开放的数据接口，能与内部OA系统及其他业务系统进行无缝整合，能通过OA系统正常进行收发文工作</w:t>
            </w:r>
          </w:p>
        </w:tc>
        <w:tc>
          <w:tcPr>
            <w:tcW w:w="1142" w:type="dxa"/>
            <w:vAlign w:val="center"/>
          </w:tcPr>
          <w:p w14:paraId="1E01459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6AE802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23A6F9E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73" w:type="dxa"/>
            <w:vAlign w:val="center"/>
          </w:tcPr>
          <w:p w14:paraId="45A9431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705A78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加密方式</w:t>
            </w:r>
          </w:p>
        </w:tc>
        <w:tc>
          <w:tcPr>
            <w:tcW w:w="935" w:type="dxa"/>
            <w:vAlign w:val="center"/>
          </w:tcPr>
          <w:p w14:paraId="47407C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7C4CB9F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6FCA9B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54FD98D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提供对文档加密、权限保护等安全设置</w:t>
            </w:r>
          </w:p>
        </w:tc>
        <w:tc>
          <w:tcPr>
            <w:tcW w:w="1142" w:type="dxa"/>
            <w:vAlign w:val="center"/>
          </w:tcPr>
          <w:p w14:paraId="2AD4AD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D06ED2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33FAC4D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73" w:type="dxa"/>
            <w:vAlign w:val="center"/>
          </w:tcPr>
          <w:p w14:paraId="60D44D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4E6C01C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界面兼容</w:t>
            </w:r>
          </w:p>
        </w:tc>
        <w:tc>
          <w:tcPr>
            <w:tcW w:w="935" w:type="dxa"/>
            <w:vAlign w:val="center"/>
          </w:tcPr>
          <w:p w14:paraId="6C4A136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189704A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6789694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53E6E14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提供下拉式菜单式及标签页式菜单两种界面风格，并可以在安装时自由选择</w:t>
            </w:r>
          </w:p>
        </w:tc>
        <w:tc>
          <w:tcPr>
            <w:tcW w:w="1142" w:type="dxa"/>
            <w:vAlign w:val="center"/>
          </w:tcPr>
          <w:p w14:paraId="5F77812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41A34B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5D95470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73" w:type="dxa"/>
            <w:vAlign w:val="center"/>
          </w:tcPr>
          <w:p w14:paraId="41932D8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65BEFD4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文件格式兼容</w:t>
            </w:r>
          </w:p>
        </w:tc>
        <w:tc>
          <w:tcPr>
            <w:tcW w:w="935" w:type="dxa"/>
            <w:vAlign w:val="center"/>
          </w:tcPr>
          <w:p w14:paraId="54B4A87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5D554C2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75A238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38352EE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各模块能无缝打开市场主流的的文档格式</w:t>
            </w:r>
          </w:p>
        </w:tc>
        <w:tc>
          <w:tcPr>
            <w:tcW w:w="1142" w:type="dxa"/>
            <w:vAlign w:val="center"/>
          </w:tcPr>
          <w:p w14:paraId="03A9385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659EE27">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3D13007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73" w:type="dxa"/>
            <w:vAlign w:val="center"/>
          </w:tcPr>
          <w:p w14:paraId="60B4F3E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40BB067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升级方式</w:t>
            </w:r>
          </w:p>
        </w:tc>
        <w:tc>
          <w:tcPr>
            <w:tcW w:w="935" w:type="dxa"/>
            <w:vAlign w:val="center"/>
          </w:tcPr>
          <w:p w14:paraId="1F9E7E0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66E5101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ECD853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371C083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易于升级，支持手工升级包、在线自动升级和局域网升级服务器三种方式</w:t>
            </w:r>
          </w:p>
        </w:tc>
        <w:tc>
          <w:tcPr>
            <w:tcW w:w="1142" w:type="dxa"/>
            <w:vAlign w:val="center"/>
          </w:tcPr>
          <w:p w14:paraId="48FDFE0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6EB9C6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67423E4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73" w:type="dxa"/>
            <w:vAlign w:val="center"/>
          </w:tcPr>
          <w:p w14:paraId="43198A0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28383D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界面友好</w:t>
            </w:r>
          </w:p>
        </w:tc>
        <w:tc>
          <w:tcPr>
            <w:tcW w:w="935" w:type="dxa"/>
            <w:vAlign w:val="center"/>
          </w:tcPr>
          <w:p w14:paraId="16BD4EA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68965BF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032E590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0BC2FF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提供图形化安装界面，对每个安装界面提供较为详细的帮助信息，安装过程简单明了；人机交互界面友好，操作方式宜符合用户习惯</w:t>
            </w:r>
          </w:p>
        </w:tc>
        <w:tc>
          <w:tcPr>
            <w:tcW w:w="1142" w:type="dxa"/>
            <w:vAlign w:val="center"/>
          </w:tcPr>
          <w:p w14:paraId="0EE2A8B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96AF32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3801606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73" w:type="dxa"/>
            <w:vAlign w:val="center"/>
          </w:tcPr>
          <w:p w14:paraId="1F46A82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5BFAF96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保存为放映模式</w:t>
            </w:r>
          </w:p>
        </w:tc>
        <w:tc>
          <w:tcPr>
            <w:tcW w:w="935" w:type="dxa"/>
            <w:vAlign w:val="center"/>
          </w:tcPr>
          <w:p w14:paraId="5752A6C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768181F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0A165BD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32B814B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演示支持保存为PPS放映模式，并支持PPS格式文件的在线播放</w:t>
            </w:r>
          </w:p>
        </w:tc>
        <w:tc>
          <w:tcPr>
            <w:tcW w:w="1142" w:type="dxa"/>
            <w:vAlign w:val="center"/>
          </w:tcPr>
          <w:p w14:paraId="5545A4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CB815A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4F4B822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73" w:type="dxa"/>
            <w:vAlign w:val="center"/>
          </w:tcPr>
          <w:p w14:paraId="5DD05D5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354644C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幻灯片表格</w:t>
            </w:r>
          </w:p>
        </w:tc>
        <w:tc>
          <w:tcPr>
            <w:tcW w:w="935" w:type="dxa"/>
            <w:vAlign w:val="center"/>
          </w:tcPr>
          <w:p w14:paraId="5CAA3C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1B67906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61C7D3C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2BDA28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幻灯片中可以插入表格，绘制斜线表头功能</w:t>
            </w:r>
          </w:p>
        </w:tc>
        <w:tc>
          <w:tcPr>
            <w:tcW w:w="1142" w:type="dxa"/>
            <w:vAlign w:val="center"/>
          </w:tcPr>
          <w:p w14:paraId="178EB6A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F2E42E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7C4243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73" w:type="dxa"/>
            <w:vAlign w:val="center"/>
          </w:tcPr>
          <w:p w14:paraId="77FA418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011D87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幻灯片切换效果</w:t>
            </w:r>
          </w:p>
        </w:tc>
        <w:tc>
          <w:tcPr>
            <w:tcW w:w="935" w:type="dxa"/>
            <w:vAlign w:val="center"/>
          </w:tcPr>
          <w:p w14:paraId="754DC90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13A5423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4D64C33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4881926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支持平滑淡出、溶解、全黑淡出、向下擦除、向上擦除等多种形式的幻灯片切换效果</w:t>
            </w:r>
          </w:p>
        </w:tc>
        <w:tc>
          <w:tcPr>
            <w:tcW w:w="1142" w:type="dxa"/>
            <w:vAlign w:val="center"/>
          </w:tcPr>
          <w:p w14:paraId="23A27DA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80243B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77CA677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773" w:type="dxa"/>
            <w:vAlign w:val="center"/>
          </w:tcPr>
          <w:p w14:paraId="6838A85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7B895D8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动画方案</w:t>
            </w:r>
          </w:p>
        </w:tc>
        <w:tc>
          <w:tcPr>
            <w:tcW w:w="935" w:type="dxa"/>
            <w:vAlign w:val="center"/>
          </w:tcPr>
          <w:p w14:paraId="1EB26A3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6009B16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021B461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0860097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支持动画方案功能，幻灯片中的文本以忽暗忽明、突出显示、随机线条等多种方式出现</w:t>
            </w:r>
          </w:p>
        </w:tc>
        <w:tc>
          <w:tcPr>
            <w:tcW w:w="1142" w:type="dxa"/>
            <w:vAlign w:val="center"/>
          </w:tcPr>
          <w:p w14:paraId="36BB51E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E2EBB1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771FFE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773" w:type="dxa"/>
            <w:vAlign w:val="center"/>
          </w:tcPr>
          <w:p w14:paraId="345F25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3BEB8E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插入图片、多媒体对象</w:t>
            </w:r>
          </w:p>
        </w:tc>
        <w:tc>
          <w:tcPr>
            <w:tcW w:w="935" w:type="dxa"/>
            <w:vAlign w:val="center"/>
          </w:tcPr>
          <w:p w14:paraId="3E5348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78182F0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69ABF0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54D6D28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演示模块可支持在幻灯片中插入图片、表格、图形、图表、公式和多媒体对象</w:t>
            </w:r>
          </w:p>
        </w:tc>
        <w:tc>
          <w:tcPr>
            <w:tcW w:w="1142" w:type="dxa"/>
            <w:vAlign w:val="center"/>
          </w:tcPr>
          <w:p w14:paraId="66B3CF6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B6845D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0C4B766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773" w:type="dxa"/>
            <w:vAlign w:val="center"/>
          </w:tcPr>
          <w:p w14:paraId="137AE1B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78AE229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演示模块多屏放映</w:t>
            </w:r>
          </w:p>
        </w:tc>
        <w:tc>
          <w:tcPr>
            <w:tcW w:w="935" w:type="dxa"/>
            <w:vAlign w:val="center"/>
          </w:tcPr>
          <w:p w14:paraId="5867700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499270D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FCCF73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43C175D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应提供幻灯片多屏放映功能</w:t>
            </w:r>
          </w:p>
        </w:tc>
        <w:tc>
          <w:tcPr>
            <w:tcW w:w="1142" w:type="dxa"/>
            <w:vAlign w:val="center"/>
          </w:tcPr>
          <w:p w14:paraId="4412123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E9D60BD">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222729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773" w:type="dxa"/>
            <w:vAlign w:val="center"/>
          </w:tcPr>
          <w:p w14:paraId="55BFA3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1578139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演示模块背景音乐</w:t>
            </w:r>
          </w:p>
        </w:tc>
        <w:tc>
          <w:tcPr>
            <w:tcW w:w="935" w:type="dxa"/>
            <w:vAlign w:val="center"/>
          </w:tcPr>
          <w:p w14:paraId="5439A95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3638296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6C8033B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542682B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演示模块支持背景音乐功能，PPT放映的全程中进行播放</w:t>
            </w:r>
          </w:p>
        </w:tc>
        <w:tc>
          <w:tcPr>
            <w:tcW w:w="1142" w:type="dxa"/>
            <w:vAlign w:val="center"/>
          </w:tcPr>
          <w:p w14:paraId="1825FAA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5ACC73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449238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773" w:type="dxa"/>
            <w:vAlign w:val="center"/>
          </w:tcPr>
          <w:p w14:paraId="4DDC6E4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2409324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演示放大镜、荧光笔</w:t>
            </w:r>
          </w:p>
        </w:tc>
        <w:tc>
          <w:tcPr>
            <w:tcW w:w="935" w:type="dxa"/>
            <w:vAlign w:val="center"/>
          </w:tcPr>
          <w:p w14:paraId="19B0A38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18A2B1A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1F421C5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7DC5A63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演示模块提供放大镜、荧光笔、触发器、动画效果等功能</w:t>
            </w:r>
          </w:p>
        </w:tc>
        <w:tc>
          <w:tcPr>
            <w:tcW w:w="1142" w:type="dxa"/>
            <w:vAlign w:val="center"/>
          </w:tcPr>
          <w:p w14:paraId="36223B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A46467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33289E3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773" w:type="dxa"/>
            <w:vAlign w:val="center"/>
          </w:tcPr>
          <w:p w14:paraId="398615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771A3B8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电子表格支持生成图表功能</w:t>
            </w:r>
          </w:p>
        </w:tc>
        <w:tc>
          <w:tcPr>
            <w:tcW w:w="935" w:type="dxa"/>
            <w:vAlign w:val="center"/>
          </w:tcPr>
          <w:p w14:paraId="63D688B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445BF9E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4713BBA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39EFC78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应支持生成图表功能；根据表格数据可自动生成柱形图、折线图、饼图等各类图表，且各类型之间可方便转换</w:t>
            </w:r>
          </w:p>
        </w:tc>
        <w:tc>
          <w:tcPr>
            <w:tcW w:w="1142" w:type="dxa"/>
            <w:vAlign w:val="center"/>
          </w:tcPr>
          <w:p w14:paraId="42EEE01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491E406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33CF7DD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773" w:type="dxa"/>
            <w:vAlign w:val="center"/>
          </w:tcPr>
          <w:p w14:paraId="53224AD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12E1E5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推荐列表</w:t>
            </w:r>
          </w:p>
        </w:tc>
        <w:tc>
          <w:tcPr>
            <w:tcW w:w="935" w:type="dxa"/>
            <w:vAlign w:val="center"/>
          </w:tcPr>
          <w:p w14:paraId="123E48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486AF92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FFC42B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7B77D0A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表格模块能提供推荐列表功能，提高录入的速度和准确性</w:t>
            </w:r>
          </w:p>
        </w:tc>
        <w:tc>
          <w:tcPr>
            <w:tcW w:w="1142" w:type="dxa"/>
            <w:vAlign w:val="center"/>
          </w:tcPr>
          <w:p w14:paraId="514405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266250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7DF285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773" w:type="dxa"/>
            <w:vAlign w:val="center"/>
          </w:tcPr>
          <w:p w14:paraId="2C44210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56E9636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数据导入</w:t>
            </w:r>
          </w:p>
        </w:tc>
        <w:tc>
          <w:tcPr>
            <w:tcW w:w="935" w:type="dxa"/>
            <w:vAlign w:val="center"/>
          </w:tcPr>
          <w:p w14:paraId="7AF4DCC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121E00D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368A9344">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702CF51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应支持外部数据源的导入、导出</w:t>
            </w:r>
          </w:p>
        </w:tc>
        <w:tc>
          <w:tcPr>
            <w:tcW w:w="1142" w:type="dxa"/>
            <w:vAlign w:val="center"/>
          </w:tcPr>
          <w:p w14:paraId="3280B21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A2B9D3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312CFCE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773" w:type="dxa"/>
            <w:vAlign w:val="center"/>
          </w:tcPr>
          <w:p w14:paraId="2A74E15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5B0C1D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函数</w:t>
            </w:r>
          </w:p>
        </w:tc>
        <w:tc>
          <w:tcPr>
            <w:tcW w:w="935" w:type="dxa"/>
            <w:vAlign w:val="center"/>
          </w:tcPr>
          <w:p w14:paraId="7777F5F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19D2B61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EB272F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1B06065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应提供常用的日期和时间、文本、统计、数学、财务、逻辑等函数</w:t>
            </w:r>
          </w:p>
        </w:tc>
        <w:tc>
          <w:tcPr>
            <w:tcW w:w="1142" w:type="dxa"/>
            <w:vAlign w:val="center"/>
          </w:tcPr>
          <w:p w14:paraId="514BC45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B300F8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27E4B8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773" w:type="dxa"/>
            <w:vAlign w:val="center"/>
          </w:tcPr>
          <w:p w14:paraId="6F2C26C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31C7BD9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数据处理</w:t>
            </w:r>
          </w:p>
        </w:tc>
        <w:tc>
          <w:tcPr>
            <w:tcW w:w="935" w:type="dxa"/>
            <w:vAlign w:val="center"/>
          </w:tcPr>
          <w:p w14:paraId="52485CF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30E1D15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D02D2A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12A2DA5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表格模块支持数据计算，提供数据有效性、排序、筛选、分类汇总，组及分组显示等功能</w:t>
            </w:r>
          </w:p>
        </w:tc>
        <w:tc>
          <w:tcPr>
            <w:tcW w:w="1142" w:type="dxa"/>
            <w:vAlign w:val="center"/>
          </w:tcPr>
          <w:p w14:paraId="164CF7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49ECCB8">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46A223E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773" w:type="dxa"/>
            <w:vAlign w:val="center"/>
          </w:tcPr>
          <w:p w14:paraId="33090C3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29A6AAA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基本功能</w:t>
            </w:r>
          </w:p>
        </w:tc>
        <w:tc>
          <w:tcPr>
            <w:tcW w:w="935" w:type="dxa"/>
            <w:vAlign w:val="center"/>
          </w:tcPr>
          <w:p w14:paraId="11FF06F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78BC4D0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67B329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7A66D39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应支持数据录入、计算；应支持各种常见公式，满足政府办公中的统计和计算需求</w:t>
            </w:r>
          </w:p>
        </w:tc>
        <w:tc>
          <w:tcPr>
            <w:tcW w:w="1142" w:type="dxa"/>
            <w:vAlign w:val="center"/>
          </w:tcPr>
          <w:p w14:paraId="0DD9C8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828304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499CBD4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773" w:type="dxa"/>
            <w:vAlign w:val="center"/>
          </w:tcPr>
          <w:p w14:paraId="414E741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12EB620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文档编辑</w:t>
            </w:r>
          </w:p>
        </w:tc>
        <w:tc>
          <w:tcPr>
            <w:tcW w:w="935" w:type="dxa"/>
            <w:vAlign w:val="center"/>
          </w:tcPr>
          <w:p w14:paraId="4E6F6D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54910B2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DD686C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7CF8F1C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应支持对字体、字号、段落、页面的编辑、排版等各项功能</w:t>
            </w:r>
          </w:p>
        </w:tc>
        <w:tc>
          <w:tcPr>
            <w:tcW w:w="1142" w:type="dxa"/>
            <w:vAlign w:val="center"/>
          </w:tcPr>
          <w:p w14:paraId="5F3DD5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738FC6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3ABDC43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773" w:type="dxa"/>
            <w:vAlign w:val="center"/>
          </w:tcPr>
          <w:p w14:paraId="5406DFB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6661808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窗体域</w:t>
            </w:r>
          </w:p>
        </w:tc>
        <w:tc>
          <w:tcPr>
            <w:tcW w:w="935" w:type="dxa"/>
            <w:vAlign w:val="center"/>
          </w:tcPr>
          <w:p w14:paraId="07413AA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30CCA7F8">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D5EE86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515618D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文字模块支持插入窗体域对象，保存窗体域局部内容修改的编辑记录，从而对文档进行局部保护</w:t>
            </w:r>
          </w:p>
        </w:tc>
        <w:tc>
          <w:tcPr>
            <w:tcW w:w="1142" w:type="dxa"/>
            <w:vAlign w:val="center"/>
          </w:tcPr>
          <w:p w14:paraId="66CBE75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E6DEF6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573DD1E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773" w:type="dxa"/>
            <w:vAlign w:val="center"/>
          </w:tcPr>
          <w:p w14:paraId="4F6F149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7F0A45F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页面显示</w:t>
            </w:r>
          </w:p>
        </w:tc>
        <w:tc>
          <w:tcPr>
            <w:tcW w:w="935" w:type="dxa"/>
            <w:vAlign w:val="center"/>
          </w:tcPr>
          <w:p w14:paraId="49A2A60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52BB201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00551E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33E855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应可自由调节页面显示比例</w:t>
            </w:r>
          </w:p>
        </w:tc>
        <w:tc>
          <w:tcPr>
            <w:tcW w:w="1142" w:type="dxa"/>
            <w:vAlign w:val="center"/>
          </w:tcPr>
          <w:p w14:paraId="1616F4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E3DF80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3AE1E46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773" w:type="dxa"/>
            <w:vAlign w:val="center"/>
          </w:tcPr>
          <w:p w14:paraId="167A6ED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30BAD13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页眉页脚</w:t>
            </w:r>
          </w:p>
        </w:tc>
        <w:tc>
          <w:tcPr>
            <w:tcW w:w="935" w:type="dxa"/>
            <w:vAlign w:val="center"/>
          </w:tcPr>
          <w:p w14:paraId="69E6BF8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62D1CA2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E8A48D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18AFDE1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文字模块下支持插入页眉、页脚，并提供页眉页脚编辑功能，支持在页眉页脚内插入页码等功能</w:t>
            </w:r>
          </w:p>
        </w:tc>
        <w:tc>
          <w:tcPr>
            <w:tcW w:w="1142" w:type="dxa"/>
            <w:vAlign w:val="center"/>
          </w:tcPr>
          <w:p w14:paraId="521A707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BDA44F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1FEDF1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773" w:type="dxa"/>
            <w:vAlign w:val="center"/>
          </w:tcPr>
          <w:p w14:paraId="0148E8E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1149036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页面分节</w:t>
            </w:r>
          </w:p>
        </w:tc>
        <w:tc>
          <w:tcPr>
            <w:tcW w:w="935" w:type="dxa"/>
            <w:vAlign w:val="center"/>
          </w:tcPr>
          <w:p w14:paraId="5A32B17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196A6A0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36B79A6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7315C7D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文字模块下，支持分节效果，支持插入分节符、分页符等分节功能</w:t>
            </w:r>
          </w:p>
        </w:tc>
        <w:tc>
          <w:tcPr>
            <w:tcW w:w="1142" w:type="dxa"/>
            <w:vAlign w:val="center"/>
          </w:tcPr>
          <w:p w14:paraId="44CB2CE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C4774A1">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1EA9019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773" w:type="dxa"/>
            <w:vAlign w:val="center"/>
          </w:tcPr>
          <w:p w14:paraId="61B82D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71CD831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页面布局</w:t>
            </w:r>
          </w:p>
        </w:tc>
        <w:tc>
          <w:tcPr>
            <w:tcW w:w="935" w:type="dxa"/>
            <w:vAlign w:val="center"/>
          </w:tcPr>
          <w:p w14:paraId="52DAD17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3724113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49A935F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6611DF9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文字模块下支持横向、竖向页面设置，支持页边距、页面背景、文字方向等功能设置</w:t>
            </w:r>
          </w:p>
        </w:tc>
        <w:tc>
          <w:tcPr>
            <w:tcW w:w="1142" w:type="dxa"/>
            <w:vAlign w:val="center"/>
          </w:tcPr>
          <w:p w14:paraId="6384A98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522309BE">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54896E3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p>
        </w:tc>
        <w:tc>
          <w:tcPr>
            <w:tcW w:w="773" w:type="dxa"/>
            <w:vAlign w:val="center"/>
          </w:tcPr>
          <w:p w14:paraId="01C8133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231D21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图像编辑</w:t>
            </w:r>
          </w:p>
        </w:tc>
        <w:tc>
          <w:tcPr>
            <w:tcW w:w="935" w:type="dxa"/>
            <w:vAlign w:val="center"/>
          </w:tcPr>
          <w:p w14:paraId="19CAE63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3BFB5AC7">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A45F1E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188B63B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文字模块下、支持插入各种流程图、线型、箭头、链接线、矩形等各种图形，并提供颜色、边框、填充色的设置，支持自由度的旋转</w:t>
            </w:r>
          </w:p>
        </w:tc>
        <w:tc>
          <w:tcPr>
            <w:tcW w:w="1142" w:type="dxa"/>
            <w:vAlign w:val="center"/>
          </w:tcPr>
          <w:p w14:paraId="2F3E9D2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294B39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2DEC410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773" w:type="dxa"/>
            <w:vAlign w:val="center"/>
          </w:tcPr>
          <w:p w14:paraId="45B6C24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190F99A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文档目录</w:t>
            </w:r>
          </w:p>
        </w:tc>
        <w:tc>
          <w:tcPr>
            <w:tcW w:w="935" w:type="dxa"/>
            <w:vAlign w:val="center"/>
          </w:tcPr>
          <w:p w14:paraId="0BA8FE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16C6FD9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9C6549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139540C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在文字模块下，提供插入目录、删除目录和根据文档内容自动生成目录等功能</w:t>
            </w:r>
          </w:p>
        </w:tc>
        <w:tc>
          <w:tcPr>
            <w:tcW w:w="1142" w:type="dxa"/>
            <w:vAlign w:val="center"/>
          </w:tcPr>
          <w:p w14:paraId="5CDAB0F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0A29CFA4">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139E1A6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773" w:type="dxa"/>
            <w:vAlign w:val="center"/>
          </w:tcPr>
          <w:p w14:paraId="48C52F4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27066AE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文档修订</w:t>
            </w:r>
          </w:p>
        </w:tc>
        <w:tc>
          <w:tcPr>
            <w:tcW w:w="935" w:type="dxa"/>
            <w:vAlign w:val="center"/>
          </w:tcPr>
          <w:p w14:paraId="488A136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0E55917F">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650CF69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5A25434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文字模块下支持对文档内容进行修订，可以以插入、删除、修改文档内容的方式进行修订文档；支持插删除和保护修订等功能</w:t>
            </w:r>
          </w:p>
        </w:tc>
        <w:tc>
          <w:tcPr>
            <w:tcW w:w="1142" w:type="dxa"/>
            <w:vAlign w:val="center"/>
          </w:tcPr>
          <w:p w14:paraId="37C9176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519ED7F">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3FA6FA7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773" w:type="dxa"/>
            <w:vAlign w:val="center"/>
          </w:tcPr>
          <w:p w14:paraId="0047F51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28A6E7B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文档批注</w:t>
            </w:r>
          </w:p>
        </w:tc>
        <w:tc>
          <w:tcPr>
            <w:tcW w:w="935" w:type="dxa"/>
            <w:vAlign w:val="center"/>
          </w:tcPr>
          <w:p w14:paraId="086E3D9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6169004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6311022E">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0745DE5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文字模块下对文档内容进行批注，支持插入批注、删除批注、上一条批注、下一条批注导航浏览等功能</w:t>
            </w:r>
          </w:p>
        </w:tc>
        <w:tc>
          <w:tcPr>
            <w:tcW w:w="1142" w:type="dxa"/>
            <w:vAlign w:val="center"/>
          </w:tcPr>
          <w:p w14:paraId="0A33886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E2A93A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67002F5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773" w:type="dxa"/>
            <w:vAlign w:val="center"/>
          </w:tcPr>
          <w:p w14:paraId="2B7342D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66B441B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文字表格编辑</w:t>
            </w:r>
          </w:p>
        </w:tc>
        <w:tc>
          <w:tcPr>
            <w:tcW w:w="935" w:type="dxa"/>
            <w:vAlign w:val="center"/>
          </w:tcPr>
          <w:p w14:paraId="06FADED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7AE68C1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0226BFB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5ED5E91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自动插入表格，支持表格样式任意切换，可以对表格任意行任意列进行编辑、删除和插入</w:t>
            </w:r>
          </w:p>
        </w:tc>
        <w:tc>
          <w:tcPr>
            <w:tcW w:w="1142" w:type="dxa"/>
            <w:vAlign w:val="center"/>
          </w:tcPr>
          <w:p w14:paraId="6040690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73184B82">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3F44377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773" w:type="dxa"/>
            <w:vAlign w:val="center"/>
          </w:tcPr>
          <w:p w14:paraId="66AEF54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2FFC812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实时预览</w:t>
            </w:r>
          </w:p>
        </w:tc>
        <w:tc>
          <w:tcPr>
            <w:tcW w:w="935" w:type="dxa"/>
            <w:vAlign w:val="center"/>
          </w:tcPr>
          <w:p w14:paraId="1A3E1F0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5D471E19">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D21055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352F2C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支持在复制和粘贴时的外观预览，轻松地重用文本</w:t>
            </w:r>
          </w:p>
        </w:tc>
        <w:tc>
          <w:tcPr>
            <w:tcW w:w="1142" w:type="dxa"/>
            <w:vAlign w:val="center"/>
          </w:tcPr>
          <w:p w14:paraId="65B4337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56B2A5C">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57F4316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773" w:type="dxa"/>
            <w:vAlign w:val="center"/>
          </w:tcPr>
          <w:p w14:paraId="4E394D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31DCA51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编辑</w:t>
            </w:r>
          </w:p>
        </w:tc>
        <w:tc>
          <w:tcPr>
            <w:tcW w:w="935" w:type="dxa"/>
            <w:vAlign w:val="center"/>
          </w:tcPr>
          <w:p w14:paraId="1F43580C">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44907B8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5067357C">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154E81F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编辑文档时可以进行文字编辑、段落、目录、书签等设置或插入文本框、图形、表格等对象；支持图文混排、文件修订、样式应用和文件处理等功能</w:t>
            </w:r>
          </w:p>
        </w:tc>
        <w:tc>
          <w:tcPr>
            <w:tcW w:w="1142" w:type="dxa"/>
            <w:vAlign w:val="center"/>
          </w:tcPr>
          <w:p w14:paraId="2469941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E71296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423C309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w:t>
            </w:r>
          </w:p>
        </w:tc>
        <w:tc>
          <w:tcPr>
            <w:tcW w:w="773" w:type="dxa"/>
            <w:vAlign w:val="center"/>
          </w:tcPr>
          <w:p w14:paraId="670561D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15A8466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恢复未保存文件</w:t>
            </w:r>
          </w:p>
        </w:tc>
        <w:tc>
          <w:tcPr>
            <w:tcW w:w="935" w:type="dxa"/>
            <w:vAlign w:val="center"/>
          </w:tcPr>
          <w:p w14:paraId="2F28C6B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43CB04D3">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28FE1E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7DDBBFD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文字处理、电子表格、演示文稿均支持恢复未保存而关闭的文件</w:t>
            </w:r>
          </w:p>
        </w:tc>
        <w:tc>
          <w:tcPr>
            <w:tcW w:w="1142" w:type="dxa"/>
            <w:vAlign w:val="center"/>
          </w:tcPr>
          <w:p w14:paraId="56E093D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6683A643">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359FE9D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35</w:t>
            </w:r>
          </w:p>
        </w:tc>
        <w:tc>
          <w:tcPr>
            <w:tcW w:w="773" w:type="dxa"/>
            <w:vAlign w:val="center"/>
          </w:tcPr>
          <w:p w14:paraId="2D4AD30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7A89656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输出OFD格式</w:t>
            </w:r>
          </w:p>
        </w:tc>
        <w:tc>
          <w:tcPr>
            <w:tcW w:w="935" w:type="dxa"/>
            <w:vAlign w:val="center"/>
          </w:tcPr>
          <w:p w14:paraId="412ED8C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0F770DE0">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6284027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032D65E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所有模块要求均能导出成为OFD格式文件（国家标准化管理委员会批准发布的《电子文件存储与交换格式版式文档》，标准编号为GB/T33190-2016的OFD格式）</w:t>
            </w:r>
          </w:p>
        </w:tc>
        <w:tc>
          <w:tcPr>
            <w:tcW w:w="1142" w:type="dxa"/>
            <w:vAlign w:val="center"/>
          </w:tcPr>
          <w:p w14:paraId="644512D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FAF6B2A">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769A5B3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36</w:t>
            </w:r>
          </w:p>
        </w:tc>
        <w:tc>
          <w:tcPr>
            <w:tcW w:w="773" w:type="dxa"/>
            <w:vAlign w:val="center"/>
          </w:tcPr>
          <w:p w14:paraId="2284F04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71EE7B1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输出PDF格式</w:t>
            </w:r>
          </w:p>
        </w:tc>
        <w:tc>
          <w:tcPr>
            <w:tcW w:w="935" w:type="dxa"/>
            <w:vAlign w:val="center"/>
          </w:tcPr>
          <w:p w14:paraId="3B1C99E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2C773E4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20970B81">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730B329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所有模块要求均能导出成为PDF格式文件，在导出过程中可对文档信息、书签、超链接等进行输出项选择，可进行打印、加密、添加批注等权限设置。同时使用办公软件能够正确打开PDF格式的文档</w:t>
            </w:r>
          </w:p>
        </w:tc>
        <w:tc>
          <w:tcPr>
            <w:tcW w:w="1142" w:type="dxa"/>
            <w:vAlign w:val="center"/>
          </w:tcPr>
          <w:p w14:paraId="041C6027">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504F100">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71F849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w:t>
            </w:r>
          </w:p>
        </w:tc>
        <w:tc>
          <w:tcPr>
            <w:tcW w:w="773" w:type="dxa"/>
            <w:vAlign w:val="center"/>
          </w:tcPr>
          <w:p w14:paraId="525937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7796D64E">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产品独立运行要求</w:t>
            </w:r>
          </w:p>
        </w:tc>
        <w:tc>
          <w:tcPr>
            <w:tcW w:w="935" w:type="dxa"/>
            <w:vAlign w:val="center"/>
          </w:tcPr>
          <w:p w14:paraId="3A7049D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0C8BF1D2">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F0C5385">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044B739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能在台式机、笔记本等用户终端设备上独立安装和运行，不强制依赖其他设备。满足用户单位内网、外网使用需求，产品能够脱离内网运行。能在用户终端设备上离线处理本地文档。提供方便的产品激活方式，产品激活以后能在离线状态下独立运行</w:t>
            </w:r>
          </w:p>
        </w:tc>
        <w:tc>
          <w:tcPr>
            <w:tcW w:w="1142" w:type="dxa"/>
            <w:vAlign w:val="center"/>
          </w:tcPr>
          <w:p w14:paraId="17827DA0">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2358A2A6">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4F751331">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38</w:t>
            </w:r>
          </w:p>
        </w:tc>
        <w:tc>
          <w:tcPr>
            <w:tcW w:w="773" w:type="dxa"/>
            <w:vAlign w:val="center"/>
          </w:tcPr>
          <w:p w14:paraId="66685D3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0CCA64C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支持标准</w:t>
            </w:r>
          </w:p>
        </w:tc>
        <w:tc>
          <w:tcPr>
            <w:tcW w:w="935" w:type="dxa"/>
            <w:vAlign w:val="center"/>
          </w:tcPr>
          <w:p w14:paraId="64F177BB">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45B1C1B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14E63766">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0532518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符合国际、国家相关标准要求，支持OOXML、支持UOF20(最新版标文通,《中文办公软件文档格式规范》)，符合国家《中文办公软件应用编程接口规范》</w:t>
            </w:r>
          </w:p>
        </w:tc>
        <w:tc>
          <w:tcPr>
            <w:tcW w:w="1142" w:type="dxa"/>
            <w:vAlign w:val="center"/>
          </w:tcPr>
          <w:p w14:paraId="49A640F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1B8FDDB5">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373D2C49">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39</w:t>
            </w:r>
          </w:p>
        </w:tc>
        <w:tc>
          <w:tcPr>
            <w:tcW w:w="773" w:type="dxa"/>
            <w:vAlign w:val="center"/>
          </w:tcPr>
          <w:p w14:paraId="0CB469D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427CE816">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多语言支持</w:t>
            </w:r>
          </w:p>
        </w:tc>
        <w:tc>
          <w:tcPr>
            <w:tcW w:w="935" w:type="dxa"/>
            <w:vAlign w:val="center"/>
          </w:tcPr>
          <w:p w14:paraId="039EAE78">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619AE19B">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18A4C3BA">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01F843A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支持中文，英文等主流语言在内的多语言</w:t>
            </w:r>
          </w:p>
        </w:tc>
        <w:tc>
          <w:tcPr>
            <w:tcW w:w="1142" w:type="dxa"/>
            <w:vAlign w:val="center"/>
          </w:tcPr>
          <w:p w14:paraId="3F0216DF">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r w14:paraId="35ACBFF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c>
          <w:tcPr>
            <w:tcW w:w="647" w:type="dxa"/>
            <w:vAlign w:val="center"/>
          </w:tcPr>
          <w:p w14:paraId="753E31B4">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40</w:t>
            </w:r>
          </w:p>
        </w:tc>
        <w:tc>
          <w:tcPr>
            <w:tcW w:w="773" w:type="dxa"/>
            <w:vAlign w:val="center"/>
          </w:tcPr>
          <w:p w14:paraId="26307D4D">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1257" w:type="dxa"/>
            <w:vAlign w:val="center"/>
          </w:tcPr>
          <w:p w14:paraId="3F75864A">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产品组件</w:t>
            </w:r>
          </w:p>
        </w:tc>
        <w:tc>
          <w:tcPr>
            <w:tcW w:w="935" w:type="dxa"/>
            <w:vAlign w:val="center"/>
          </w:tcPr>
          <w:p w14:paraId="03BAFA45">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一般参数</w:t>
            </w:r>
          </w:p>
        </w:tc>
        <w:tc>
          <w:tcPr>
            <w:tcW w:w="819" w:type="dxa"/>
            <w:vAlign w:val="center"/>
          </w:tcPr>
          <w:p w14:paraId="6D12C8C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796" w:type="dxa"/>
            <w:vAlign w:val="center"/>
          </w:tcPr>
          <w:p w14:paraId="79C3975D">
            <w:pPr>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p>
        </w:tc>
        <w:tc>
          <w:tcPr>
            <w:tcW w:w="4108" w:type="dxa"/>
            <w:vAlign w:val="center"/>
          </w:tcPr>
          <w:p w14:paraId="6CF85953">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产品组件须包含文字处理、电子表格、演示文稿办公常用组件。该产品须为与面向其他市场销售的产品一样的产品，不得裁减</w:t>
            </w:r>
          </w:p>
        </w:tc>
        <w:tc>
          <w:tcPr>
            <w:tcW w:w="1142" w:type="dxa"/>
            <w:vAlign w:val="center"/>
          </w:tcPr>
          <w:p w14:paraId="1A1B1512">
            <w:pPr>
              <w:pStyle w:val="4"/>
              <w:keepNext w:val="0"/>
              <w:keepLines w:val="0"/>
              <w:pageBreakBefore w:val="0"/>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不允许偏离</w:t>
            </w:r>
          </w:p>
        </w:tc>
      </w:tr>
    </w:tbl>
    <w:p w14:paraId="56C0573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交货期限：自合同签订之日起30天，采购人和供应商在第二阶段有特殊约定的除外。</w:t>
      </w:r>
    </w:p>
    <w:p w14:paraId="258C0A2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交货的地域范围： 四川省范围内送货上门</w:t>
      </w:r>
    </w:p>
    <w:p w14:paraId="22831CD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包装方式及运输：</w:t>
      </w:r>
    </w:p>
    <w:p w14:paraId="73BC349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32CAC68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p w14:paraId="0938CDA4">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（1）服务标准:服务期3年，在服务期内提供升级包，遇严重安全问题应在官网公开漏洞及修复包，主动联系客户, 承诺所有升级服务。</w:t>
      </w:r>
    </w:p>
    <w:p w14:paraId="1898DC9D">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延期服务收费标准:过服务期后，提供延期服务，其收费标准每年不高于投标报价的20%。其中包含一次的上门服务,所涉及的上门服务费用包含在本次报价中。若第一次上门服务未能有效解决问题，针对同类问题需再次上门服务，则不再支付上门服务费用。</w:t>
      </w:r>
    </w:p>
    <w:p w14:paraId="20F9E42C">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（3）技术支持:根据用户需求，提供7*24小时技术专员电话、邮件、上门、远程维保服务。</w:t>
      </w:r>
    </w:p>
    <w:p w14:paraId="3D5CF407">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（4）服务人员素质:上门服务人员均具有二年以上所投软件同类产品维护经验。</w:t>
      </w:r>
    </w:p>
    <w:p w14:paraId="339114BB">
      <w:pPr>
        <w:pStyle w:val="4"/>
        <w:keepNext w:val="0"/>
        <w:keepLines w:val="0"/>
        <w:pageBreakBefore w:val="0"/>
        <w:kinsoku/>
        <w:wordWrap/>
        <w:overflowPunct/>
        <w:topLinePunct w:val="0"/>
        <w:autoSpaceDE/>
        <w:autoSpaceDN/>
        <w:bidi w:val="0"/>
        <w:adjustRightInd/>
        <w:snapToGrid/>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（5）培训:根据用户需要提供所投产品的安装、维护等技术培训。并提供相应培训的电子文档。</w:t>
      </w:r>
    </w:p>
    <w:p w14:paraId="66D42B9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4.最高限价（元）： 320.00 ，大写（人民币）： 叁佰贰拾元整</w:t>
      </w:r>
    </w:p>
    <w:p w14:paraId="77A7E7F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5.配套的必要耗材、配件报价、约定期限：</w:t>
      </w:r>
    </w:p>
    <w:p w14:paraId="3032596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08C9FFB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6.量价关系折扣：</w:t>
      </w:r>
    </w:p>
    <w:p w14:paraId="4E17346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是否含有量价关系折扣：否</w:t>
      </w:r>
    </w:p>
    <w:p w14:paraId="6F67ADB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7.产品升级换代规则：</w:t>
      </w:r>
    </w:p>
    <w:p w14:paraId="36FBAB2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本项目 支持 入围供应商对已入围产品进行升级换代。</w:t>
      </w:r>
    </w:p>
    <w:p w14:paraId="1CD5875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在性能不降低、价格不提高的前提下，入围供应商可以用新产品替换原入围产品；在框架协议期限内，每半年进行一次产品升级换代申请审核。注：供应商在提交产品升级换代申请时，须提供产品升级换代承诺函。</w:t>
      </w:r>
    </w:p>
    <w:p w14:paraId="5CD1C7B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5C48B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C2B6A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738" w:type="dxa"/>
          </w:tcPr>
          <w:p w14:paraId="1823E09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4153" w:type="dxa"/>
          </w:tcPr>
          <w:p w14:paraId="2B92FBC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77AA4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FD1DC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38" w:type="dxa"/>
          </w:tcPr>
          <w:p w14:paraId="0C2E6FF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具有独立承担民事责任的能力。</w:t>
            </w:r>
          </w:p>
        </w:tc>
        <w:tc>
          <w:tcPr>
            <w:tcW w:w="4153" w:type="dxa"/>
          </w:tcPr>
          <w:p w14:paraId="26D1180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30F03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39CDF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38" w:type="dxa"/>
          </w:tcPr>
          <w:p w14:paraId="4874097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具有良好的商业信誉。</w:t>
            </w:r>
          </w:p>
        </w:tc>
        <w:tc>
          <w:tcPr>
            <w:tcW w:w="4153" w:type="dxa"/>
          </w:tcPr>
          <w:p w14:paraId="2144349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06CEF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44169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38" w:type="dxa"/>
          </w:tcPr>
          <w:p w14:paraId="2608053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具有健全的财务会计制度。</w:t>
            </w:r>
          </w:p>
        </w:tc>
        <w:tc>
          <w:tcPr>
            <w:tcW w:w="4153" w:type="dxa"/>
          </w:tcPr>
          <w:p w14:paraId="295643B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根据自身情况选择提供其中任意一项：（1）可提供（2023年或2024年）任一年度经审计的财务报告（包含审计报告和审计报告中所涉及的财务报表和报表附注）；（2）可提供（2023年或2024年）任一年度供应商财务报表（至少包括资产负债表、利润表、现金流量表）；（3）可提供截至响应文件提交截止日一年内银行出具的资信证明；（4）供应商注册时间截至响应文件提交截止日不足一年的，也可提供在工商管理部门备案的公司章程。</w:t>
            </w:r>
          </w:p>
        </w:tc>
      </w:tr>
      <w:tr w14:paraId="03721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7E52E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38" w:type="dxa"/>
          </w:tcPr>
          <w:p w14:paraId="7D5B13C9">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具有履行合同所必需的设备和专业技术能力。</w:t>
            </w:r>
          </w:p>
        </w:tc>
        <w:tc>
          <w:tcPr>
            <w:tcW w:w="4153" w:type="dxa"/>
          </w:tcPr>
          <w:p w14:paraId="0333209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1DE71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5155E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38" w:type="dxa"/>
          </w:tcPr>
          <w:p w14:paraId="5497B4E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有依法缴纳税收和社会保障资金的良好记录。</w:t>
            </w:r>
          </w:p>
        </w:tc>
        <w:tc>
          <w:tcPr>
            <w:tcW w:w="4153" w:type="dxa"/>
          </w:tcPr>
          <w:p w14:paraId="4F66139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27078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511AF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38" w:type="dxa"/>
          </w:tcPr>
          <w:p w14:paraId="2D8B07F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参加政府采购活动前三年内，在经营活动中没有重大违法记录。</w:t>
            </w:r>
          </w:p>
        </w:tc>
        <w:tc>
          <w:tcPr>
            <w:tcW w:w="4153" w:type="dxa"/>
          </w:tcPr>
          <w:p w14:paraId="796B761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1D237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82C45F">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38" w:type="dxa"/>
          </w:tcPr>
          <w:p w14:paraId="29C784B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法律、行政法规规定的其它条件。</w:t>
            </w:r>
          </w:p>
        </w:tc>
        <w:tc>
          <w:tcPr>
            <w:tcW w:w="4153" w:type="dxa"/>
          </w:tcPr>
          <w:p w14:paraId="0A57E2D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209A1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91F22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738" w:type="dxa"/>
          </w:tcPr>
          <w:p w14:paraId="53CB754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不存在与单位负责人为同一人或者存在直接控股、管理关系的其他供应商参与同一合同项下的政府采购活动的行为。</w:t>
            </w:r>
          </w:p>
        </w:tc>
        <w:tc>
          <w:tcPr>
            <w:tcW w:w="4153" w:type="dxa"/>
          </w:tcPr>
          <w:p w14:paraId="7BBA97A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3DB02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717AF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738" w:type="dxa"/>
          </w:tcPr>
          <w:p w14:paraId="7A570FF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不属于为本项目提供整体设计、规范编制或者项目管理、监理、检测等服务的供应商。</w:t>
            </w:r>
          </w:p>
        </w:tc>
        <w:tc>
          <w:tcPr>
            <w:tcW w:w="4153" w:type="dxa"/>
          </w:tcPr>
          <w:p w14:paraId="50DB464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供应商需在框架协议电子化采购系统中按要求填写《响应函》完成承诺并进行电子签章。</w:t>
            </w:r>
          </w:p>
        </w:tc>
      </w:tr>
      <w:tr w14:paraId="478C3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86E56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738" w:type="dxa"/>
          </w:tcPr>
          <w:p w14:paraId="17EE1DD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生产厂家或者生产厂家唯一授权供应商的证明材料。</w:t>
            </w:r>
          </w:p>
        </w:tc>
        <w:tc>
          <w:tcPr>
            <w:tcW w:w="4153" w:type="dxa"/>
          </w:tcPr>
          <w:p w14:paraId="45895D9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如是生产厂家，应当在响应文件中上传响应产品品牌的《商标注册证》的原件扫描件并进行电子签章。具体要求如下：①《商标注册证》中的注册人应与生产厂家名称一致或提供注册人授权生产厂家使用商标许可的证明材料，如因注册人工商登记信息发生变更导致名称不一致的，需提供市场监管部门变更登记的证明材料；②《商标注册证》核定使用商品分类应包括本次响应产品对应分类；③提交响应文件时，《商标注册证》应在有效期内，入围后生产厂家应确保在框架协议生效期间《商标注册证》有效。2) 供应商如是生产厂家唯一授权供应商，应当在响应文件中除提供上述要求的证明材料（加盖生产厂家公章）外，还应提供响应产品品牌的生产厂家出具的唯一授权书扫描件（加盖生产厂家公章）。授权书应当明确授权时间（授权时间至少应包含本次框架协议期限）、产品范围、代理区域（四川省），并承诺在本次封闭式框架协议征集及补充征集期间不更换唯一授权供应商。</w:t>
            </w:r>
          </w:p>
        </w:tc>
      </w:tr>
    </w:tbl>
    <w:p w14:paraId="152AE3E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738"/>
        <w:gridCol w:w="4153"/>
      </w:tblGrid>
      <w:tr w14:paraId="54EA9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CA2EA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3738" w:type="dxa"/>
          </w:tcPr>
          <w:p w14:paraId="6777489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资格要求名称</w:t>
            </w:r>
          </w:p>
        </w:tc>
        <w:tc>
          <w:tcPr>
            <w:tcW w:w="4153" w:type="dxa"/>
          </w:tcPr>
          <w:p w14:paraId="2AE9E5D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资格要求详细说明</w:t>
            </w:r>
          </w:p>
        </w:tc>
      </w:tr>
      <w:tr w14:paraId="40837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3"/>
          </w:tcPr>
          <w:p w14:paraId="5063271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6B5B273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10.入围供应商评审方法：价格优先法</w:t>
      </w:r>
    </w:p>
    <w:p w14:paraId="6FE7FE8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11.入围供应商淘汰率：</w:t>
      </w:r>
    </w:p>
    <w:p w14:paraId="44FA319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本项目征集入围供应商 ，淘汰比例为 20.00%，淘汰供应商按照向上取整进行取整，且至少淘汰 1家供应商。</w:t>
      </w:r>
    </w:p>
    <w:p w14:paraId="0D740A4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12.分包的评审条款：</w:t>
      </w:r>
    </w:p>
    <w:p w14:paraId="664BB907">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w:t>
      </w:r>
    </w:p>
    <w:p w14:paraId="3AC57C4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价格优先法是指对满足采购需求且响应报价不超过最高限制单价的货物，按照响应报价从低到高排序。评审委员会根据本项目（采购包）征集文件规定的淘汰率或者入围供应商数量上限，确定入围供应商名单。具体流程如下：</w:t>
      </w:r>
    </w:p>
    <w:p w14:paraId="0FEF43E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1）评审委员会按淘汰率计算得出淘汰供应商数量，即淘汰供应商数量=有效报价供应商数量*淘汰率。计算出的淘汰供应商数量存在小数的，按照向上取整的原则，确定需要淘汰供应商的数量；</w:t>
      </w:r>
    </w:p>
    <w:p w14:paraId="6DE6A333">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2）基于按淘汰率计算得出的淘汰供应商数量，根据入围供应商数量上限，确定还需淘汰供应商的数量，最终确定淘汰供应商的总数；</w:t>
      </w:r>
    </w:p>
    <w:p w14:paraId="6323FBA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3）根据最终确定淘汰供应商总数，按评审排序进行淘汰后，确定入围名单。如在排名并列的供应商中仍需淘汰一定数量供应商的，则在并列供应商中通过随机抽取确定相应数量入围供应商后，剩余供应商淘汰；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3"/>
        <w:gridCol w:w="2415"/>
        <w:gridCol w:w="936"/>
        <w:gridCol w:w="3448"/>
      </w:tblGrid>
      <w:tr w14:paraId="59B9F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7EA9790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423" w:type="dxa"/>
          </w:tcPr>
          <w:p w14:paraId="410ECE5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评审因素</w:t>
            </w:r>
          </w:p>
        </w:tc>
        <w:tc>
          <w:tcPr>
            <w:tcW w:w="692" w:type="dxa"/>
          </w:tcPr>
          <w:p w14:paraId="78ADA8B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扣除比例%</w:t>
            </w:r>
          </w:p>
        </w:tc>
        <w:tc>
          <w:tcPr>
            <w:tcW w:w="3461" w:type="dxa"/>
          </w:tcPr>
          <w:p w14:paraId="6CBDA68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评审标准</w:t>
            </w:r>
          </w:p>
        </w:tc>
      </w:tr>
      <w:tr w14:paraId="347F3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0" w:type="dxa"/>
          </w:tcPr>
          <w:p w14:paraId="4DDFA4D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23" w:type="dxa"/>
          </w:tcPr>
          <w:p w14:paraId="1A2946B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692" w:type="dxa"/>
          </w:tcPr>
          <w:p w14:paraId="5AEE6175">
            <w:pPr>
              <w:pStyle w:val="4"/>
              <w:keepNext w:val="0"/>
              <w:keepLines w:val="0"/>
              <w:pageBreakBefore w:val="0"/>
              <w:kinsoku/>
              <w:wordWrap/>
              <w:overflowPunct/>
              <w:topLinePunct w:val="0"/>
              <w:autoSpaceDE/>
              <w:autoSpaceDN/>
              <w:bidi w:val="0"/>
              <w:adjustRightInd/>
              <w:snapToGrid/>
              <w:ind w:firstLine="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3461" w:type="dxa"/>
          </w:tcPr>
          <w:p w14:paraId="2D572D1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对提供的全部货物制造商属于小型和微型企业的投标人的投标报价给予相应百分比的扣除，用扣除后的价格参与评审。残疾人福利性单位视同小型、微型企业，享受同等价格扣除，但同时属于残疾人福利性单位和小微企业的，不重复价格扣除。</w:t>
            </w:r>
          </w:p>
        </w:tc>
      </w:tr>
    </w:tbl>
    <w:p w14:paraId="0DF0B48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13.价格权重：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253D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DF2226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权重项编号</w:t>
            </w:r>
          </w:p>
        </w:tc>
        <w:tc>
          <w:tcPr>
            <w:tcW w:w="2769" w:type="dxa"/>
          </w:tcPr>
          <w:p w14:paraId="21C6E33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权重项</w:t>
            </w:r>
          </w:p>
        </w:tc>
        <w:tc>
          <w:tcPr>
            <w:tcW w:w="2769" w:type="dxa"/>
          </w:tcPr>
          <w:p w14:paraId="48FF828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权重值</w:t>
            </w:r>
          </w:p>
        </w:tc>
      </w:tr>
      <w:tr w14:paraId="085A0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6A5E2E">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69" w:type="dxa"/>
          </w:tcPr>
          <w:p w14:paraId="238B31A2">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标的价格</w:t>
            </w:r>
          </w:p>
        </w:tc>
        <w:tc>
          <w:tcPr>
            <w:tcW w:w="2769" w:type="dxa"/>
          </w:tcPr>
          <w:p w14:paraId="2ED7302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100.00%</w:t>
            </w:r>
          </w:p>
        </w:tc>
      </w:tr>
    </w:tbl>
    <w:p w14:paraId="54CFD70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14.第二阶段成交供应商的方式：直接选定/二次竞价</w:t>
      </w:r>
    </w:p>
    <w:p w14:paraId="5B6379ED">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单次采购20万元以下（不含20万）的采用直接选定或者二次竞价，20万元以上（含20万）的采用二次竞价。</w:t>
      </w:r>
    </w:p>
    <w:p w14:paraId="1ECC83A1">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15.资金支付方式、时间和条件：</w:t>
      </w:r>
    </w:p>
    <w:p w14:paraId="08BBC866">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 支付方式：一次性付款或分期付款</w:t>
      </w:r>
    </w:p>
    <w:p w14:paraId="0F2133C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 支付时间和条件：对于满足合同约定支付条件的，采购人应当自收到发票后10个工作日内将资金支付到合同约定的供应商账户。采购人和供应商在第二阶段有特殊约定的除外。</w:t>
      </w:r>
    </w:p>
    <w:p w14:paraId="5FD69C9C">
      <w:pPr>
        <w:pStyle w:val="4"/>
        <w:keepNext w:val="0"/>
        <w:keepLines w:val="0"/>
        <w:pageBreakBefore w:val="0"/>
        <w:kinsoku/>
        <w:wordWrap/>
        <w:overflowPunct/>
        <w:topLinePunct w:val="0"/>
        <w:autoSpaceDE/>
        <w:autoSpaceDN/>
        <w:bidi w:val="0"/>
        <w:adjustRightInd/>
        <w:snapToGrid/>
        <w:ind w:firstLine="0"/>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五、风险控制措施和替代方案</w:t>
      </w:r>
    </w:p>
    <w:p w14:paraId="77F6B544">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该采购项目按照《政府采购需求管理办法》第二十五条规定，本项目是否需要组织风险判断、提出处置措施和替代方案：</w:t>
      </w:r>
      <w:r>
        <w:rPr>
          <w:rFonts w:hint="eastAsia" w:ascii="宋体" w:hAnsi="宋体" w:eastAsia="宋体" w:cs="宋体"/>
          <w:color w:val="auto"/>
          <w:sz w:val="24"/>
          <w:szCs w:val="24"/>
          <w:lang w:val="en-US" w:eastAsia="zh-CN"/>
        </w:rPr>
        <w:t>需要</w:t>
      </w:r>
    </w:p>
    <w:p w14:paraId="6FA7B30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国家政策变化风险的应对措施：（1）根据国家政策变化调整项目采购，若项目已发布征集公告还未开标的，视情况发出更正公告或终止公告，待调整后再开标或重新发布征集公告。（2）若项目还未发布征集公告则根据新政策调整后视情况开展采购活动。</w:t>
      </w:r>
    </w:p>
    <w:p w14:paraId="5AFE1DF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实施环境变化风险的应对措施：（1）根据实施环境变化调整项目采购，若项目已发布征集公告还未开标的，视情况发出更正公告或终止公告，待调整后再开标或重新发布征集公告。（2）若项目还未发布征集公告则根据新环境调整后视情况开展采购活动。</w:t>
      </w:r>
    </w:p>
    <w:p w14:paraId="23141BA0">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重大技术变化风险的应对措施：（1）根据重大技术变化调整项目采购，若项目已发布征集公告还未开标的，视情况发出更正公告或终止公告，待调整后再开标或重新发布征集公告。（2）若项目还未发布征集公告则根据新技术调整后视情况开展采购活动。</w:t>
      </w:r>
    </w:p>
    <w:p w14:paraId="6887D2C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预算项目调整风险的应对措施：（1）预算项目调整，若项目已发布征集公告还未开标则发出终止公告，待预算调整后再次发布征集公告重新招标。（2）若项目还未发布征集公告则待预算调整后视情况开展采购活动。</w:t>
      </w:r>
    </w:p>
    <w:p w14:paraId="17FA6A6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因质疑投诉影响采购进度风险的应对措施：根据《政府采购质疑和投诉办法》（财政部令第94号）处理。在前期项目需求论证阶段，严格把握参数需求的设置，避免出现有倾向性参数而导致项目出现质疑投诉；在处理质疑投诉过程中，根据实际情况判定是否需要暂停采购活动或继续开展采购活动。</w:t>
      </w:r>
    </w:p>
    <w:p w14:paraId="3CF666BA">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采购失败风险的应对措施：（1）征集活动出现废标情况，应及时在四川政府采购网上发布废标公告。（2）根据废标情况，分析采购失败原因，梳理项目中存在的风险点及时改进，视情况判断是否需要进行需求调查，并在总结采购失败原因后，重新在四川政府采购网上发布征集公告开展采购活动。</w:t>
      </w:r>
    </w:p>
    <w:p w14:paraId="2063A0D8">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不按规定签订或者履行合同风险的应对措施：（1）采购人、采购代理机构中标、成交通知书发出后不与中标、成交供应商签订采购合同的，按照《中华人民共和国政府采购法》第七十一条的规定进行处理。（2）供应商中标或者成交后无正当理由拒不与采购人签订政府采购合同的，按照《中华人民共和国政府采购法》第七十七条、《中华人民共和国政府采购法实施条例》第七十二条的规定进行处理。（3）当事人一方不履行合同义务或者履行合同义务不符合约定的，应当承担继续履行、采取补救措施或者赔偿损失等违约责任；当事人一方明确表示或者以自己的行为表明不履行合同义务的，对方可以在履行期限届满前请求其承担违约责任。（4）对于代理商拒不履行合同义务的，征集人应当依法追究入围供应商责任，并按协议约定解除代理商在该框架协议中接受合同授予的资格。征集人不得未经入围供应商同意，擅自增减变动代理商。</w:t>
      </w:r>
    </w:p>
    <w:p w14:paraId="379224AC">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8）出现损害国家利益和社会公共利益情形风险的应对措施：按照《中华人民共和国政府采购法》第五十条的规定处理。</w:t>
      </w:r>
    </w:p>
    <w:p w14:paraId="04977C2B">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9）其他采购和合同履行过程的风险及应对措施：如出现不可抗力情况，根据具体情况按照以下方式处理：暂停采购活动待影响过去继续采购活动；影响很大已不在适合继续项目采购活动了，发出终止公告。</w:t>
      </w:r>
    </w:p>
    <w:p w14:paraId="332CAB95">
      <w:pPr>
        <w:pStyle w:val="4"/>
        <w:keepNext w:val="0"/>
        <w:keepLines w:val="0"/>
        <w:pageBreakBefore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Y2U3ZGYzMWNhMjRhYTQzNmYwM2QxNzA5MWQxNGIifQ=="/>
  </w:docVars>
  <w:rsids>
    <w:rsidRoot w:val="53B52B8D"/>
    <w:rsid w:val="01F36FCC"/>
    <w:rsid w:val="0CCF75AC"/>
    <w:rsid w:val="1358664F"/>
    <w:rsid w:val="177F50ED"/>
    <w:rsid w:val="19774F6A"/>
    <w:rsid w:val="3EC75A32"/>
    <w:rsid w:val="431C62D4"/>
    <w:rsid w:val="4AE7656F"/>
    <w:rsid w:val="53B52B8D"/>
    <w:rsid w:val="565C6928"/>
    <w:rsid w:val="57152BEC"/>
    <w:rsid w:val="6A3D585F"/>
    <w:rsid w:val="77F79321"/>
    <w:rsid w:val="7DD24CD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2040</Words>
  <Characters>2096</Characters>
  <Lines>0</Lines>
  <Paragraphs>0</Paragraphs>
  <TotalTime>0</TotalTime>
  <ScaleCrop>false</ScaleCrop>
  <LinksUpToDate>false</LinksUpToDate>
  <CharactersWithSpaces>2134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弓三</cp:lastModifiedBy>
  <dcterms:modified xsi:type="dcterms:W3CDTF">2025-09-05T06:45:35Z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4B1D825E6E314A1D8357C4B1C06B268A_13</vt:lpwstr>
  </property>
  <property fmtid="{D5CDD505-2E9C-101B-9397-08002B2CF9AE}" pid="4" name="KSOTemplateDocerSaveRecord">
    <vt:lpwstr>eyJoZGlkIjoiMzkwZWU2NjY2YTAxNDk1NGUwN2YxZjA2ZTQ1ZWMwMjQiLCJ1c2VySWQiOiIxNTE3NDQ3Mzk0In0=</vt:lpwstr>
  </property>
</Properties>
</file>