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ink/ink1.xml" ContentType="application/inkml+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8530C6">
      <w:pPr>
        <w:pStyle w:val="13"/>
        <w:keepNext w:val="0"/>
        <w:keepLines w:val="0"/>
        <w:pageBreakBefore w:val="0"/>
        <w:widowControl w:val="0"/>
        <w:kinsoku/>
        <w:wordWrap/>
        <w:overflowPunct/>
        <w:topLinePunct w:val="0"/>
        <w:autoSpaceDE/>
        <w:autoSpaceDN/>
        <w:bidi w:val="0"/>
        <w:adjustRightInd/>
        <w:snapToGrid/>
        <w:spacing w:line="700" w:lineRule="exact"/>
        <w:textAlignment w:val="auto"/>
        <w:rPr>
          <w:rFonts w:hint="default" w:ascii="Times New Roman" w:hAnsi="Times New Roman" w:eastAsia="黑体" w:cs="Times New Roman"/>
          <w:b w:val="0"/>
          <w:bCs w:val="0"/>
          <w:color w:val="000000"/>
          <w:sz w:val="44"/>
          <w:szCs w:val="44"/>
          <w:highlight w:val="none"/>
          <w:lang w:val="en-US" w:eastAsia="zh-CN"/>
        </w:rPr>
      </w:pPr>
      <w:r>
        <w:rPr>
          <w:b w:val="0"/>
          <w:bCs w:val="0"/>
          <w:color w:val="000000"/>
          <w:sz w:val="44"/>
        </w:rPr>
        <mc:AlternateContent>
          <mc:Choice Requires="wps">
            <w:drawing>
              <wp:anchor distT="0" distB="0" distL="114300" distR="114300" simplePos="0" relativeHeight="251661312" behindDoc="0" locked="0" layoutInCell="1" allowOverlap="1">
                <wp:simplePos x="0" y="0"/>
                <wp:positionH relativeFrom="column">
                  <wp:posOffset>1756410</wp:posOffset>
                </wp:positionH>
                <wp:positionV relativeFrom="paragraph">
                  <wp:posOffset>-93980</wp:posOffset>
                </wp:positionV>
                <wp:extent cx="635" cy="635"/>
                <wp:effectExtent l="0" t="0" r="0" b="0"/>
                <wp:wrapNone/>
                <wp:docPr id="1" name="墨迹 1"/>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clr" r:id="rId8">
                          <w14:nvContentPartPr>
                            <w14:cNvPr id="1" name="墨迹 1"/>
                            <w14:cNvContentPartPr>
                              <a14:cpLocks xmlns:a14="http://schemas.microsoft.com/office/drawing/2010/main" noChangeAspect="1"/>
                            </w14:cNvContentPartPr>
                          </w14:nvContentPartPr>
                          <w14:xfrm>
                            <a:off x="2899410" y="820420"/>
                            <a:ext cx="635" cy="635"/>
                          </w14:xfrm>
                        </w14:contentPart>
                      </mc:Choice>
                    </mc:AlternateContent>
                  </a:graphicData>
                </a:graphic>
              </wp:anchor>
            </w:drawing>
          </mc:Choice>
          <mc:Fallback>
            <w:pict>
              <v:shape id="_x0000_s1026" o:spid="_x0000_s1026" o:spt="75" style="position:absolute;left:0pt;margin-left:138.3pt;margin-top:-7.4pt;height:0.05pt;width:0.05pt;z-index:251661312;mso-width-relative:page;mso-height-relative:page;" coordsize="21600,21600" o:gfxdata="UEsDBAoAAAAAAIdO4kAAAAAAAAAAAAAAAAAEAAAAZHJzL1BLAwQUAAAACACHTuJAE0fDCdkAAAAL&#10;AQAADwAAAGRycy9kb3ducmV2LnhtbE2PTUvDQBCG74L/YRnBW7ubUhKN2RQR2oMIxSqCt2l23Q3u&#10;R8hu2+ivd/RSj/POw/vRrCbv2FGPqY9BQjEXwHToouqDkfD6sp7dAEsZg0IXg5bwpROs2suLBmsV&#10;T+FZH3fZMDIJqUYJNueh5jx1VntM8zjoQL+POHrMdI6GqxFPZO4dXwhRco99oASLg36wuvvcHbyE&#10;J/N+u/0ep7cNWnG/3Bi3XT86Ka+vCnEHLOspn2H4rU/VoaVO+3gIKjEnYVGVJaESZsWSNhBBSgVs&#10;/6dUwNuG/9/Q/gBQSwMEFAAAAAgAh07iQPU8W/q2AQAA8QMAAA4AAABkcnMvZTJvRG9jLnhtbK1T&#10;TY7TMBTeI3EHy3uaOIRRJ2o6QlMhjQRDF8MBjOM01sR+1rPbdK7Diiuw4jRIHIOXpKGlaKQKsbFs&#10;P+f7ee/L4mZvW7bTGAy4kotZypl2CirjNiX/9PDu1ZyzEKWrZAtOl/xJB36zfPli0flCZ9BAW2lk&#10;BOJC0fmSNzH6IkmCarSVYQZeOyrWgFZGOuImqVB2hG7bJEvTq6QDrDyC0iHQ7Wos8gMiXgIIdW2U&#10;XoHaWu3iiIq6lZEshcb4wJeD2rrWKn6s66Aja0tOTuOwEgntP/drslzIYoPSN0YdJMhLJJx5stI4&#10;Iv0NtZJRsi2av6CsUQgB6jhTYJPRyNARciHSs97cucfeicjVFgsFLpLbtcQ4dX8o/AuFbcl+9wEq&#10;mq9q8T83n2FhqpLjXSWO8t3u9mhgjUdb97s1sv694MxJS4p+fPn68/s3JvrhTObvzz+XIi+Ufw/q&#10;MUxzE/llvTjMbuz4MDnm4LaRbqPfBk+R6bUQd/Is+VR5ztS+RtungebL9iXP5tfXuaDIPZV8nqV5&#10;dsid3kemqH71+g1nior95oR4hJnITgJA2v6I2um5133ypy5/AVBLAwQKAAAAAACHTuJAAAAAAAAA&#10;AAAAAAAACAAAAGRycy9pbmsvUEsDBBQAAAAIAIdO4kBj31bIwAEAACYEAAAQAAAAZHJzL2luay9p&#10;bmsxLnhtbJ1TwY6bMBC9V+o/WN5DLw2MTZImaMneVqrUSqvuVmqPLEzAWrAj2yzJ39cYcFYq7WEv&#10;yMz4vXnzZnx7d24b8oraCCUzyiKgBGWhSiGrjP58ul/tKDE2l2XeKIkZvaChd4ePH26FfGmb1H2J&#10;Y5BmOLVNRmtrT2kc930f9UmkdBVzgCT+Kl++f6OHCVXiUUhhXUkzhwolLZ7tQJaKMqOFPUO477gf&#10;VacLDOkhoovrDavzAu+VbnMbGOtcSmyIzFun+xcl9nJyB+HqVKgp6ZwC4wq1NF6G/P4/JPYdp/+u&#10;/KDVCbUVeG1ylDQlLqQY/726UaZGo5pucIaS17zpnGC+i5L1dr3Zbvd8z5J1UM7iBe1/c7s23s89&#10;NTkJfdvRlAmjmT20okW3MO0pzMoat1RD+NFqv1YceLJisIL9E1unPEkZG2Yw1xo3YeZ71p2pA9ez&#10;vs7cZ0K/Y4+9KG0drIMINnzPg2Nv/VpC1yiq2r4bXqhGucWa5nZz3MEW4LpdSxVFJZXGBzd202kM&#10;WI+a/PCw4M7C0/EbSKYH9AOPGb3xr4d45BjwvjHOd5sIAAjbfPGHz5+cRQDjdx6A5wsF3YAP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FMHAABbQ29udGVudF9UeXBlc10ueG1sUEsBAhQACgAAAAAAh07iQAAAAAAAAAAAAAAAAAYA&#10;AAAAAAAAAAAQAAAAHgUAAF9yZWxzL1BLAQIUABQAAAAIAIdO4kCKFGY80QAAAJQBAAALAAAAAAAA&#10;AAEAIAAAAEIFAABfcmVscy8ucmVsc1BLAQIUAAoAAAAAAIdO4kAAAAAAAAAAAAAAAAAEAAAAAAAA&#10;AAAAEAAAAAAAAABkcnMvUEsBAhQACgAAAAAAh07iQAAAAAAAAAAAAAAAAAoAAAAAAAAAAAAQAAAA&#10;PAYAAGRycy9fcmVscy9QSwECFAAUAAAACACHTuJAeRi8nbgAAAAhAQAAGQAAAAAAAAABACAAAABk&#10;BgAAZHJzL19yZWxzL2Uyb0RvYy54bWwucmVsc1BLAQIUABQAAAAIAIdO4kATR8MJ2QAAAAsBAAAP&#10;AAAAAAAAAAEAIAAAACIAAABkcnMvZG93bnJldi54bWxQSwECFAAUAAAACACHTuJA9Txb+rYBAADx&#10;AwAADgAAAAAAAAABACAAAAAoAQAAZHJzL2Uyb0RvYy54bWxQSwECFAAKAAAAAACHTuJAAAAAAAAA&#10;AAAAAAAACAAAAAAAAAAAABAAAAAKAwAAZHJzL2luay9QSwECFAAUAAAACACHTuJAY99WyMABAAAm&#10;BAAAEAAAAAAAAAABACAAAAAwAwAAZHJzL2luay9pbmsxLnhtbFBLBQYAAAAACgAKAEwCAACJCAAA&#10;AAA=&#10;">
                <v:imagedata r:id="rId9" o:title=""/>
                <o:lock v:ext="edit"/>
              </v:shape>
            </w:pict>
          </mc:Fallback>
        </mc:AlternateContent>
      </w:r>
    </w:p>
    <w:p w14:paraId="2C313E74">
      <w:pPr>
        <w:keepNext w:val="0"/>
        <w:keepLines w:val="0"/>
        <w:pageBreakBefore w:val="0"/>
        <w:widowControl w:val="0"/>
        <w:kinsoku/>
        <w:wordWrap/>
        <w:overflowPunct/>
        <w:topLinePunct w:val="0"/>
        <w:autoSpaceDE/>
        <w:autoSpaceDN/>
        <w:bidi w:val="0"/>
        <w:adjustRightInd/>
        <w:snapToGrid/>
        <w:spacing w:line="700" w:lineRule="exact"/>
        <w:textAlignment w:val="auto"/>
        <w:rPr>
          <w:rFonts w:hint="default" w:ascii="Times New Roman" w:hAnsi="Times New Roman" w:eastAsia="黑体" w:cs="Times New Roman"/>
          <w:b w:val="0"/>
          <w:bCs w:val="0"/>
          <w:color w:val="000000"/>
          <w:sz w:val="44"/>
          <w:szCs w:val="44"/>
          <w:highlight w:val="none"/>
          <w:lang w:val="en-US" w:eastAsia="zh-CN"/>
        </w:rPr>
      </w:pPr>
    </w:p>
    <w:p w14:paraId="2C86901A">
      <w:pPr>
        <w:pStyle w:val="13"/>
        <w:keepNext w:val="0"/>
        <w:keepLines w:val="0"/>
        <w:pageBreakBefore w:val="0"/>
        <w:widowControl w:val="0"/>
        <w:kinsoku/>
        <w:wordWrap/>
        <w:overflowPunct/>
        <w:topLinePunct w:val="0"/>
        <w:autoSpaceDE/>
        <w:autoSpaceDN/>
        <w:bidi w:val="0"/>
        <w:adjustRightInd/>
        <w:snapToGrid/>
        <w:spacing w:line="720" w:lineRule="exact"/>
        <w:textAlignment w:val="auto"/>
        <w:rPr>
          <w:rFonts w:hint="default" w:ascii="Times New Roman" w:hAnsi="Times New Roman" w:eastAsia="黑体" w:cs="Times New Roman"/>
          <w:b w:val="0"/>
          <w:bCs w:val="0"/>
          <w:color w:val="000000"/>
          <w:sz w:val="44"/>
          <w:szCs w:val="44"/>
          <w:highlight w:val="none"/>
          <w:lang w:val="en-US" w:eastAsia="zh-CN"/>
        </w:rPr>
      </w:pPr>
    </w:p>
    <w:p w14:paraId="1DB63CD3">
      <w:pPr>
        <w:keepNext w:val="0"/>
        <w:keepLines w:val="0"/>
        <w:pageBreakBefore w:val="0"/>
        <w:widowControl w:val="0"/>
        <w:kinsoku/>
        <w:wordWrap/>
        <w:overflowPunct/>
        <w:topLinePunct w:val="0"/>
        <w:autoSpaceDE/>
        <w:autoSpaceDN/>
        <w:bidi w:val="0"/>
        <w:adjustRightInd/>
        <w:snapToGrid/>
        <w:spacing w:line="640" w:lineRule="exact"/>
        <w:textAlignment w:val="auto"/>
        <w:rPr>
          <w:rFonts w:hint="default" w:ascii="Times New Roman" w:hAnsi="Times New Roman" w:eastAsia="黑体" w:cs="Times New Roman"/>
          <w:b w:val="0"/>
          <w:bCs w:val="0"/>
          <w:color w:val="000000"/>
          <w:sz w:val="44"/>
          <w:szCs w:val="44"/>
          <w:highlight w:val="none"/>
          <w:lang w:val="en-US" w:eastAsia="zh-CN"/>
        </w:rPr>
      </w:pPr>
    </w:p>
    <w:p w14:paraId="1EFC4384">
      <w:pPr>
        <w:pStyle w:val="13"/>
        <w:keepNext w:val="0"/>
        <w:keepLines w:val="0"/>
        <w:pageBreakBefore w:val="0"/>
        <w:widowControl w:val="0"/>
        <w:kinsoku/>
        <w:wordWrap/>
        <w:overflowPunct/>
        <w:topLinePunct w:val="0"/>
        <w:autoSpaceDE/>
        <w:autoSpaceDN/>
        <w:bidi w:val="0"/>
        <w:adjustRightInd/>
        <w:snapToGrid/>
        <w:spacing w:line="580" w:lineRule="exact"/>
        <w:ind w:firstLine="624"/>
        <w:textAlignment w:val="auto"/>
        <w:rPr>
          <w:rFonts w:hint="default"/>
          <w:b w:val="0"/>
          <w:bCs w:val="0"/>
          <w:color w:val="000000"/>
          <w:lang w:val="en-US" w:eastAsia="zh-CN"/>
        </w:rPr>
      </w:pPr>
    </w:p>
    <w:p w14:paraId="3366A010">
      <w:pPr>
        <w:rPr>
          <w:rFonts w:hint="default"/>
          <w:b w:val="0"/>
          <w:bCs w:val="0"/>
          <w:color w:val="000000"/>
          <w:lang w:val="en-US" w:eastAsia="zh-CN"/>
        </w:rPr>
      </w:pPr>
    </w:p>
    <w:p w14:paraId="289B4F3C">
      <w:pPr>
        <w:pStyle w:val="2"/>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lang w:val="en-US" w:eastAsia="zh-CN"/>
        </w:rPr>
      </w:pPr>
    </w:p>
    <w:p w14:paraId="0B147E74">
      <w:pPr>
        <w:keepNext w:val="0"/>
        <w:keepLines w:val="0"/>
        <w:pageBreakBefore w:val="0"/>
        <w:widowControl w:val="0"/>
        <w:kinsoku/>
        <w:wordWrap/>
        <w:overflowPunct/>
        <w:topLinePunct w:val="0"/>
        <w:autoSpaceDE/>
        <w:autoSpaceDN/>
        <w:bidi w:val="0"/>
        <w:adjustRightInd/>
        <w:snapToGrid/>
        <w:spacing w:line="100" w:lineRule="exact"/>
        <w:textAlignment w:val="auto"/>
        <w:rPr>
          <w:rFonts w:hint="default"/>
          <w:b w:val="0"/>
          <w:bCs w:val="0"/>
          <w:color w:val="000000"/>
          <w:lang w:val="en-US" w:eastAsia="zh-CN"/>
        </w:rPr>
      </w:pPr>
    </w:p>
    <w:p w14:paraId="2B396392">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60" w:lineRule="exact"/>
        <w:ind w:firstLine="0" w:firstLineChars="0"/>
        <w:jc w:val="center"/>
        <w:textAlignment w:val="auto"/>
        <w:rPr>
          <w:rFonts w:hint="default" w:ascii="Times New Roman" w:hAnsi="Times New Roman" w:eastAsia="仿宋" w:cs="Times New Roman"/>
          <w:b w:val="0"/>
          <w:bCs w:val="0"/>
          <w:color w:val="000000"/>
          <w:sz w:val="32"/>
          <w:szCs w:val="32"/>
          <w:u w:val="none"/>
        </w:rPr>
      </w:pPr>
      <w:r>
        <w:rPr>
          <w:rFonts w:hint="default" w:ascii="Times New Roman" w:hAnsi="Times New Roman" w:eastAsia="仿宋" w:cs="Times New Roman"/>
          <w:b w:val="0"/>
          <w:bCs w:val="0"/>
          <w:color w:val="000000"/>
          <w:sz w:val="32"/>
          <w:szCs w:val="32"/>
          <w:u w:val="none"/>
        </w:rPr>
        <w:t>川政公〔</w:t>
      </w:r>
      <w:r>
        <w:rPr>
          <w:rFonts w:hint="default" w:ascii="Times New Roman" w:hAnsi="Times New Roman" w:eastAsia="仿宋" w:cs="Times New Roman"/>
          <w:b w:val="0"/>
          <w:bCs w:val="0"/>
          <w:color w:val="000000"/>
          <w:sz w:val="32"/>
          <w:szCs w:val="32"/>
          <w:u w:val="none"/>
          <w:lang w:eastAsia="zh-CN"/>
        </w:rPr>
        <w:t>202</w:t>
      </w:r>
      <w:r>
        <w:rPr>
          <w:rFonts w:hint="default" w:ascii="Times New Roman" w:hAnsi="Times New Roman" w:eastAsia="仿宋" w:cs="Times New Roman"/>
          <w:b w:val="0"/>
          <w:bCs w:val="0"/>
          <w:color w:val="000000"/>
          <w:sz w:val="32"/>
          <w:szCs w:val="32"/>
          <w:u w:val="none"/>
          <w:lang w:val="en-US" w:eastAsia="zh-CN"/>
        </w:rPr>
        <w:t>4</w:t>
      </w:r>
      <w:r>
        <w:rPr>
          <w:rFonts w:hint="default" w:ascii="Times New Roman" w:hAnsi="Times New Roman" w:eastAsia="仿宋" w:cs="Times New Roman"/>
          <w:b w:val="0"/>
          <w:bCs w:val="0"/>
          <w:color w:val="000000"/>
          <w:sz w:val="32"/>
          <w:szCs w:val="32"/>
          <w:u w:val="none"/>
        </w:rPr>
        <w:t>〕</w:t>
      </w:r>
      <w:r>
        <w:rPr>
          <w:rFonts w:hint="default" w:ascii="Times New Roman" w:hAnsi="Times New Roman" w:eastAsia="仿宋" w:cs="Times New Roman"/>
          <w:b w:val="0"/>
          <w:bCs w:val="0"/>
          <w:color w:val="000000"/>
          <w:sz w:val="32"/>
          <w:szCs w:val="32"/>
          <w:u w:val="none"/>
          <w:lang w:val="en-US" w:eastAsia="zh-CN"/>
        </w:rPr>
        <w:t>4</w:t>
      </w:r>
      <w:r>
        <w:rPr>
          <w:rFonts w:hint="eastAsia" w:ascii="Times New Roman" w:hAnsi="Times New Roman" w:eastAsia="仿宋" w:cs="Times New Roman"/>
          <w:b w:val="0"/>
          <w:bCs w:val="0"/>
          <w:color w:val="000000"/>
          <w:sz w:val="32"/>
          <w:szCs w:val="32"/>
          <w:u w:val="none"/>
          <w:lang w:val="en-US" w:eastAsia="zh-CN"/>
        </w:rPr>
        <w:t>3</w:t>
      </w:r>
      <w:r>
        <w:rPr>
          <w:rFonts w:hint="default" w:ascii="Times New Roman" w:hAnsi="Times New Roman" w:eastAsia="仿宋" w:cs="Times New Roman"/>
          <w:b w:val="0"/>
          <w:bCs w:val="0"/>
          <w:color w:val="000000"/>
          <w:sz w:val="32"/>
          <w:szCs w:val="32"/>
          <w:u w:val="none"/>
        </w:rPr>
        <w:t>号</w:t>
      </w:r>
    </w:p>
    <w:p w14:paraId="322E9AF2">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840" w:lineRule="exact"/>
        <w:jc w:val="center"/>
        <w:textAlignment w:val="auto"/>
        <w:rPr>
          <w:rFonts w:hint="default" w:ascii="Times New Roman" w:hAnsi="Times New Roman" w:eastAsia="仿宋" w:cs="Times New Roman"/>
          <w:b w:val="0"/>
          <w:bCs w:val="0"/>
          <w:color w:val="000000"/>
          <w:sz w:val="32"/>
          <w:szCs w:val="32"/>
          <w:u w:val="none"/>
        </w:rPr>
      </w:pPr>
    </w:p>
    <w:p w14:paraId="0E7B94ED">
      <w:pPr>
        <w:keepNext w:val="0"/>
        <w:keepLines w:val="0"/>
        <w:pageBreakBefore w:val="0"/>
        <w:widowControl w:val="0"/>
        <w:kinsoku/>
        <w:wordWrap/>
        <w:overflowPunct/>
        <w:topLinePunct w:val="0"/>
        <w:autoSpaceDE/>
        <w:autoSpaceDN/>
        <w:bidi w:val="0"/>
        <w:adjustRightInd/>
        <w:snapToGrid/>
        <w:spacing w:line="620" w:lineRule="exact"/>
        <w:textAlignment w:val="auto"/>
        <w:rPr>
          <w:rFonts w:hint="default" w:ascii="方正小标宋简体" w:hAnsi="方正小标宋简体" w:eastAsia="方正小标宋简体" w:cs="方正小标宋简体"/>
          <w:spacing w:val="0"/>
          <w:w w:val="100"/>
          <w:kern w:val="2"/>
          <w:sz w:val="44"/>
          <w:szCs w:val="44"/>
          <w:lang w:val="en-US" w:eastAsia="zh-CN" w:bidi="ar"/>
        </w:rPr>
      </w:pPr>
      <w:r>
        <w:rPr>
          <w:rFonts w:hint="default" w:ascii="方正小标宋简体" w:hAnsi="方正小标宋简体" w:eastAsia="方正小标宋简体" w:cs="方正小标宋简体"/>
          <w:spacing w:val="0"/>
          <w:w w:val="100"/>
          <w:kern w:val="2"/>
          <w:sz w:val="44"/>
          <w:szCs w:val="44"/>
          <w:lang w:val="en-US" w:eastAsia="zh-CN" w:bidi="ar"/>
        </w:rPr>
        <w:t>四川省政府政务服务和公共资源交易服务中心</w:t>
      </w:r>
    </w:p>
    <w:p w14:paraId="0105114E">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640" w:lineRule="exact"/>
        <w:jc w:val="center"/>
        <w:textAlignment w:val="auto"/>
        <w:rPr>
          <w:rFonts w:hint="eastAsia" w:ascii="方正小标宋简体" w:hAnsi="方正小标宋简体" w:eastAsia="方正小标宋简体" w:cs="方正小标宋简体"/>
          <w:spacing w:val="0"/>
          <w:w w:val="100"/>
          <w:kern w:val="2"/>
          <w:sz w:val="44"/>
          <w:szCs w:val="44"/>
        </w:rPr>
      </w:pPr>
      <w:r>
        <w:rPr>
          <w:rFonts w:hint="eastAsia" w:ascii="方正小标宋简体" w:hAnsi="方正小标宋简体" w:eastAsia="方正小标宋简体" w:cs="方正小标宋简体"/>
          <w:color w:val="auto"/>
          <w:spacing w:val="-11"/>
          <w:w w:val="100"/>
          <w:kern w:val="2"/>
          <w:sz w:val="44"/>
          <w:szCs w:val="44"/>
        </w:rPr>
        <w:t>关于印发《四川省政府政务服务和公共资源交易</w:t>
      </w:r>
      <w:r>
        <w:rPr>
          <w:rFonts w:hint="eastAsia" w:ascii="方正小标宋简体" w:hAnsi="方正小标宋简体" w:eastAsia="方正小标宋简体" w:cs="方正小标宋简体"/>
          <w:spacing w:val="0"/>
          <w:w w:val="100"/>
          <w:kern w:val="2"/>
          <w:sz w:val="44"/>
          <w:szCs w:val="44"/>
        </w:rPr>
        <w:t>服务中心公共资源交易见证服务管理暂行</w:t>
      </w:r>
    </w:p>
    <w:p w14:paraId="670FB349">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640" w:lineRule="exact"/>
        <w:jc w:val="center"/>
        <w:textAlignment w:val="auto"/>
        <w:rPr>
          <w:rFonts w:hint="eastAsia" w:ascii="方正小标宋简体" w:hAnsi="方正小标宋简体" w:eastAsia="方正小标宋简体" w:cs="方正小标宋简体"/>
          <w:spacing w:val="0"/>
          <w:w w:val="100"/>
          <w:kern w:val="2"/>
          <w:sz w:val="44"/>
          <w:szCs w:val="44"/>
        </w:rPr>
      </w:pPr>
      <w:r>
        <w:rPr>
          <w:rFonts w:hint="eastAsia" w:ascii="方正小标宋简体" w:hAnsi="方正小标宋简体" w:eastAsia="方正小标宋简体" w:cs="方正小标宋简体"/>
          <w:spacing w:val="0"/>
          <w:w w:val="100"/>
          <w:kern w:val="2"/>
          <w:sz w:val="44"/>
          <w:szCs w:val="44"/>
        </w:rPr>
        <w:t>办法（修订）》的通知</w:t>
      </w:r>
    </w:p>
    <w:p w14:paraId="700AB439">
      <w:pPr>
        <w:keepNext w:val="0"/>
        <w:keepLines w:val="0"/>
        <w:pageBreakBefore w:val="0"/>
        <w:widowControl w:val="0"/>
        <w:kinsoku/>
        <w:wordWrap/>
        <w:overflowPunct/>
        <w:topLinePunct w:val="0"/>
        <w:autoSpaceDE/>
        <w:autoSpaceDN/>
        <w:bidi w:val="0"/>
        <w:adjustRightInd/>
        <w:snapToGrid/>
        <w:spacing w:line="620" w:lineRule="exact"/>
        <w:textAlignment w:val="auto"/>
        <w:rPr>
          <w:rFonts w:hint="default" w:ascii="Times New Roman" w:hAnsi="Times New Roman" w:eastAsia="仿宋_GB2312" w:cs="Times New Roman"/>
          <w:sz w:val="32"/>
          <w:szCs w:val="32"/>
        </w:rPr>
      </w:pPr>
    </w:p>
    <w:p w14:paraId="128B0D18">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中心各处室、直属单位：</w:t>
      </w:r>
    </w:p>
    <w:p w14:paraId="7EC99ED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《四川省政府政务服务和公共资源交易服务中心公共资源交易见证服务管理暂行办法（修订）》已经202</w:t>
      </w:r>
      <w:r>
        <w:rPr>
          <w:rFonts w:hint="default" w:ascii="Times New Roman" w:hAnsi="Times New Roman" w:eastAsia="方正仿宋_GB2312" w:cs="Times New Roman"/>
          <w:sz w:val="32"/>
          <w:szCs w:val="32"/>
          <w:lang w:val="en-US" w:eastAsia="zh-CN"/>
        </w:rPr>
        <w:t>4</w:t>
      </w:r>
      <w:r>
        <w:rPr>
          <w:rFonts w:hint="default" w:ascii="Times New Roman" w:hAnsi="Times New Roman" w:eastAsia="方正仿宋_GB2312" w:cs="Times New Roman"/>
          <w:sz w:val="32"/>
          <w:szCs w:val="32"/>
        </w:rPr>
        <w:t>年</w:t>
      </w:r>
      <w:bookmarkStart w:id="0" w:name="_GoBack"/>
      <w:bookmarkEnd w:id="0"/>
      <w:r>
        <w:rPr>
          <w:rFonts w:hint="default" w:ascii="Times New Roman" w:hAnsi="Times New Roman" w:eastAsia="方正仿宋_GB2312" w:cs="Times New Roman"/>
          <w:sz w:val="32"/>
          <w:szCs w:val="32"/>
        </w:rPr>
        <w:t>第</w:t>
      </w:r>
      <w:r>
        <w:rPr>
          <w:rFonts w:hint="eastAsia" w:ascii="Times New Roman" w:hAnsi="Times New Roman" w:eastAsia="方正仿宋_GB2312" w:cs="Times New Roman"/>
          <w:sz w:val="32"/>
          <w:szCs w:val="32"/>
          <w:lang w:val="en-US" w:eastAsia="zh-CN"/>
        </w:rPr>
        <w:t>十</w:t>
      </w:r>
      <w:r>
        <w:rPr>
          <w:rFonts w:hint="default" w:ascii="Times New Roman" w:hAnsi="Times New Roman" w:eastAsia="方正仿宋_GB2312" w:cs="Times New Roman"/>
          <w:sz w:val="32"/>
          <w:szCs w:val="32"/>
        </w:rPr>
        <w:t>次</w:t>
      </w:r>
      <w:r>
        <w:rPr>
          <w:rFonts w:hint="default" w:ascii="Times New Roman" w:hAnsi="Times New Roman" w:eastAsia="方正仿宋_GB2312" w:cs="Times New Roman"/>
          <w:sz w:val="32"/>
          <w:szCs w:val="32"/>
          <w:lang w:val="en-US" w:eastAsia="zh-CN"/>
        </w:rPr>
        <w:t>党委</w:t>
      </w:r>
      <w:r>
        <w:rPr>
          <w:rFonts w:hint="default" w:ascii="Times New Roman" w:hAnsi="Times New Roman" w:eastAsia="方正仿宋_GB2312" w:cs="Times New Roman"/>
          <w:sz w:val="32"/>
          <w:szCs w:val="32"/>
        </w:rPr>
        <w:t>会审议通过，现印发你们，请认真贯彻执行。</w:t>
      </w:r>
    </w:p>
    <w:p w14:paraId="6E98964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2312" w:cs="Times New Roman"/>
          <w:sz w:val="32"/>
          <w:szCs w:val="32"/>
        </w:rPr>
      </w:pPr>
    </w:p>
    <w:p w14:paraId="09098613">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方正仿宋_GB2312" w:cs="Times New Roman"/>
          <w:sz w:val="32"/>
          <w:szCs w:val="32"/>
        </w:rPr>
      </w:pPr>
    </w:p>
    <w:p w14:paraId="2CBBEA36">
      <w:pPr>
        <w:keepNext w:val="0"/>
        <w:keepLines w:val="0"/>
        <w:pageBreakBefore w:val="0"/>
        <w:widowControl w:val="0"/>
        <w:kinsoku/>
        <w:wordWrap/>
        <w:overflowPunct/>
        <w:topLinePunct w:val="0"/>
        <w:autoSpaceDE/>
        <w:autoSpaceDN/>
        <w:bidi w:val="0"/>
        <w:adjustRightInd/>
        <w:snapToGrid/>
        <w:spacing w:line="580" w:lineRule="exact"/>
        <w:ind w:firstLine="1920" w:firstLineChars="600"/>
        <w:jc w:val="right"/>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四川省政府政务服务和公共资源交易服务中心</w:t>
      </w:r>
    </w:p>
    <w:p w14:paraId="609911B9">
      <w:pPr>
        <w:keepNext w:val="0"/>
        <w:keepLines w:val="0"/>
        <w:pageBreakBefore w:val="0"/>
        <w:widowControl w:val="0"/>
        <w:kinsoku/>
        <w:wordWrap/>
        <w:overflowPunct/>
        <w:topLinePunct w:val="0"/>
        <w:autoSpaceDE/>
        <w:autoSpaceDN/>
        <w:bidi w:val="0"/>
        <w:adjustRightInd/>
        <w:snapToGrid/>
        <w:spacing w:line="580" w:lineRule="exact"/>
        <w:ind w:firstLine="1920" w:firstLineChars="600"/>
        <w:jc w:val="center"/>
        <w:textAlignment w:val="auto"/>
        <w:rPr>
          <w:rFonts w:hint="default" w:ascii="Times New Roman" w:hAnsi="Times New Roman" w:eastAsia="仿宋" w:cs="Times New Roman"/>
          <w:sz w:val="32"/>
          <w:szCs w:val="32"/>
        </w:rPr>
      </w:pPr>
      <w:r>
        <w:rPr>
          <w:rFonts w:hint="eastAsia" w:ascii="Times New Roman" w:hAnsi="Times New Roman" w:eastAsia="方正仿宋_GB2312" w:cs="Times New Roman"/>
          <w:sz w:val="32"/>
          <w:szCs w:val="32"/>
          <w:lang w:val="en-US" w:eastAsia="zh-CN"/>
        </w:rPr>
        <w:t xml:space="preserve">     </w:t>
      </w:r>
      <w:r>
        <w:rPr>
          <w:rFonts w:hint="default" w:ascii="Times New Roman" w:hAnsi="Times New Roman" w:eastAsia="方正仿宋_GB2312" w:cs="Times New Roman"/>
          <w:sz w:val="32"/>
          <w:szCs w:val="32"/>
        </w:rPr>
        <w:t>202</w:t>
      </w:r>
      <w:r>
        <w:rPr>
          <w:rFonts w:hint="default" w:ascii="Times New Roman" w:hAnsi="Times New Roman" w:eastAsia="方正仿宋_GB2312" w:cs="Times New Roman"/>
          <w:sz w:val="32"/>
          <w:szCs w:val="32"/>
          <w:lang w:val="en-US" w:eastAsia="zh-CN"/>
        </w:rPr>
        <w:t>4</w:t>
      </w:r>
      <w:r>
        <w:rPr>
          <w:rFonts w:hint="default" w:ascii="Times New Roman" w:hAnsi="Times New Roman" w:eastAsia="方正仿宋_GB2312" w:cs="Times New Roman"/>
          <w:sz w:val="32"/>
          <w:szCs w:val="32"/>
        </w:rPr>
        <w:t>年</w:t>
      </w:r>
      <w:r>
        <w:rPr>
          <w:rFonts w:hint="default" w:ascii="Times New Roman" w:hAnsi="Times New Roman" w:eastAsia="方正仿宋_GB2312" w:cs="Times New Roman"/>
          <w:sz w:val="32"/>
          <w:szCs w:val="32"/>
          <w:lang w:val="en-US" w:eastAsia="zh-CN"/>
        </w:rPr>
        <w:t>10</w:t>
      </w:r>
      <w:r>
        <w:rPr>
          <w:rFonts w:hint="default" w:ascii="Times New Roman" w:hAnsi="Times New Roman" w:eastAsia="方正仿宋_GB2312" w:cs="Times New Roman"/>
          <w:sz w:val="32"/>
          <w:szCs w:val="32"/>
        </w:rPr>
        <w:t>月</w:t>
      </w:r>
      <w:r>
        <w:rPr>
          <w:rFonts w:hint="eastAsia" w:ascii="Times New Roman" w:hAnsi="Times New Roman" w:eastAsia="方正仿宋_GB2312" w:cs="Times New Roman"/>
          <w:sz w:val="32"/>
          <w:szCs w:val="32"/>
          <w:lang w:val="en-US" w:eastAsia="zh-CN"/>
        </w:rPr>
        <w:t>22</w:t>
      </w:r>
      <w:r>
        <w:rPr>
          <w:rFonts w:hint="default" w:ascii="Times New Roman" w:hAnsi="Times New Roman" w:eastAsia="方正仿宋_GB2312" w:cs="Times New Roman"/>
          <w:sz w:val="32"/>
          <w:szCs w:val="32"/>
        </w:rPr>
        <w:t>日</w:t>
      </w:r>
    </w:p>
    <w:p w14:paraId="2BC54A6C">
      <w:pPr>
        <w:keepNext w:val="0"/>
        <w:keepLines w:val="0"/>
        <w:pageBreakBefore w:val="0"/>
        <w:widowControl w:val="0"/>
        <w:kinsoku/>
        <w:wordWrap/>
        <w:overflowPunct/>
        <w:topLinePunct w:val="0"/>
        <w:autoSpaceDE/>
        <w:autoSpaceDN/>
        <w:bidi w:val="0"/>
        <w:adjustRightInd/>
        <w:snapToGrid/>
        <w:spacing w:line="620" w:lineRule="exact"/>
        <w:textAlignment w:val="auto"/>
        <w:rPr>
          <w:rFonts w:hint="default" w:ascii="Times New Roman" w:hAnsi="Times New Roman" w:cs="Times New Roman"/>
        </w:rPr>
        <w:sectPr>
          <w:footerReference r:id="rId3" w:type="default"/>
          <w:pgSz w:w="11906" w:h="16838"/>
          <w:pgMar w:top="1440" w:right="1474" w:bottom="1440" w:left="1587" w:header="851" w:footer="1417" w:gutter="0"/>
          <w:pgNumType w:fmt="decimal"/>
          <w:cols w:space="425" w:num="1"/>
          <w:titlePg/>
          <w:docGrid w:type="lines" w:linePitch="312" w:charSpace="0"/>
        </w:sectPr>
      </w:pPr>
    </w:p>
    <w:p w14:paraId="3EA35FF4">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jc w:val="center"/>
        <w:textAlignment w:val="auto"/>
        <w:rPr>
          <w:rFonts w:hint="eastAsia" w:ascii="方正小标宋简体" w:hAnsi="方正小标宋简体" w:eastAsia="方正小标宋简体" w:cs="方正小标宋简体"/>
          <w:b w:val="0"/>
          <w:bCs w:val="0"/>
          <w:color w:val="auto"/>
          <w:w w:val="100"/>
          <w:kern w:val="0"/>
          <w:sz w:val="44"/>
          <w:szCs w:val="44"/>
          <w:lang w:val="en-US" w:eastAsia="zh-CN" w:bidi="ar"/>
        </w:rPr>
      </w:pPr>
      <w:r>
        <w:rPr>
          <w:rFonts w:hint="eastAsia" w:ascii="方正小标宋简体" w:hAnsi="方正小标宋简体" w:eastAsia="方正小标宋简体" w:cs="方正小标宋简体"/>
          <w:b w:val="0"/>
          <w:bCs w:val="0"/>
          <w:color w:val="auto"/>
          <w:w w:val="100"/>
          <w:kern w:val="0"/>
          <w:sz w:val="44"/>
          <w:szCs w:val="44"/>
          <w:lang w:val="en-US" w:eastAsia="zh-CN" w:bidi="ar"/>
        </w:rPr>
        <w:t>四川省政府政务服务和公共资源交易服务中心</w:t>
      </w:r>
    </w:p>
    <w:p w14:paraId="06635288">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jc w:val="center"/>
        <w:textAlignment w:val="auto"/>
        <w:rPr>
          <w:rFonts w:hint="eastAsia" w:ascii="方正小标宋简体" w:hAnsi="方正小标宋简体" w:eastAsia="方正小标宋简体" w:cs="方正小标宋简体"/>
          <w:b w:val="0"/>
          <w:bCs/>
          <w:color w:val="auto"/>
          <w:kern w:val="2"/>
          <w:sz w:val="44"/>
          <w:szCs w:val="44"/>
          <w:lang w:val="en-US" w:eastAsia="zh-CN" w:bidi="ar"/>
        </w:rPr>
      </w:pPr>
      <w:r>
        <w:rPr>
          <w:rFonts w:hint="eastAsia" w:ascii="方正小标宋简体" w:hAnsi="方正小标宋简体" w:eastAsia="方正小标宋简体" w:cs="方正小标宋简体"/>
          <w:b w:val="0"/>
          <w:bCs w:val="0"/>
          <w:color w:val="auto"/>
          <w:w w:val="98"/>
          <w:kern w:val="0"/>
          <w:sz w:val="44"/>
          <w:szCs w:val="44"/>
          <w:lang w:val="en-US" w:eastAsia="zh-CN" w:bidi="ar"/>
        </w:rPr>
        <w:t>公共资源交易见证服务管理暂行办法（修订）</w:t>
      </w:r>
    </w:p>
    <w:p w14:paraId="5A7A1086">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jc w:val="center"/>
        <w:textAlignment w:val="auto"/>
        <w:rPr>
          <w:rFonts w:hint="default" w:ascii="Times New Roman" w:hAnsi="Times New Roman" w:eastAsia="仿宋" w:cs="Times New Roman"/>
          <w:b w:val="0"/>
          <w:bCs/>
          <w:color w:val="auto"/>
          <w:kern w:val="2"/>
          <w:sz w:val="44"/>
          <w:szCs w:val="44"/>
          <w:lang w:eastAsia="zh-CN" w:bidi="ar"/>
        </w:rPr>
      </w:pPr>
    </w:p>
    <w:p w14:paraId="75AB283C">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jc w:val="center"/>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b w:val="0"/>
          <w:bCs w:val="0"/>
          <w:color w:val="auto"/>
          <w:kern w:val="0"/>
          <w:sz w:val="32"/>
          <w:szCs w:val="32"/>
          <w:lang w:val="en-US" w:eastAsia="zh-CN" w:bidi="ar"/>
        </w:rPr>
        <w:t>第一章 总则</w:t>
      </w:r>
    </w:p>
    <w:p w14:paraId="32F3EE1E">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3" w:firstLineChars="2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b/>
          <w:bCs/>
          <w:color w:val="auto"/>
          <w:kern w:val="0"/>
          <w:sz w:val="32"/>
          <w:szCs w:val="32"/>
          <w:lang w:val="en-US" w:eastAsia="zh-CN" w:bidi="ar"/>
        </w:rPr>
        <w:t>第一条</w:t>
      </w:r>
      <w:r>
        <w:rPr>
          <w:rFonts w:hint="default" w:ascii="Times New Roman" w:hAnsi="Times New Roman" w:eastAsia="仿宋" w:cs="Times New Roman"/>
          <w:color w:val="auto"/>
          <w:kern w:val="0"/>
          <w:sz w:val="32"/>
          <w:szCs w:val="32"/>
          <w:lang w:val="en-US" w:eastAsia="zh-CN" w:bidi="ar"/>
        </w:rPr>
        <w:t xml:space="preserve"> 为维护四川省政府政务服务和公共资源交易服务中心（以下简称“省中心”）进场交易项目交易现场规范性、交易行为合法性、交易数据真实性，确保交易过程公平</w:t>
      </w:r>
      <w:r>
        <w:rPr>
          <w:rFonts w:hint="eastAsia" w:ascii="Times New Roman" w:hAnsi="Times New Roman" w:eastAsia="仿宋" w:cs="Times New Roman"/>
          <w:color w:val="auto"/>
          <w:kern w:val="0"/>
          <w:sz w:val="32"/>
          <w:szCs w:val="32"/>
          <w:lang w:val="en-US" w:eastAsia="zh-CN" w:bidi="ar"/>
        </w:rPr>
        <w:t>、</w:t>
      </w:r>
      <w:r>
        <w:rPr>
          <w:rFonts w:hint="default" w:ascii="Times New Roman" w:hAnsi="Times New Roman" w:eastAsia="仿宋" w:cs="Times New Roman"/>
          <w:color w:val="auto"/>
          <w:kern w:val="0"/>
          <w:sz w:val="32"/>
          <w:szCs w:val="32"/>
          <w:lang w:val="en-US" w:eastAsia="zh-CN" w:bidi="ar"/>
        </w:rPr>
        <w:t>公正，助力优化营商环境，根据《中华人民共和国招标投标法》和《中华人民共和国政府采购法》及其实施条例、《国务院办公厅转发国家发展改革委关于深化公共资源交易平台整合共享指导意见的通知》（国办函〔2019〕41号）、《公共资源交易平台服务标准（试行）》（发改办法规〔2019〕509号）、《四川省公共资源交易平台管理实施细则》（川办发〔2020〕78号）等有关法律法规、规章和规范性文件规定，结合工作实际，修订本办法。</w:t>
      </w:r>
    </w:p>
    <w:p w14:paraId="50CBFC7C">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3" w:firstLineChars="2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b/>
          <w:bCs/>
          <w:color w:val="auto"/>
          <w:kern w:val="0"/>
          <w:sz w:val="32"/>
          <w:szCs w:val="32"/>
          <w:lang w:val="en-US" w:eastAsia="zh-CN" w:bidi="ar"/>
        </w:rPr>
        <w:t>第二条</w:t>
      </w:r>
      <w:r>
        <w:rPr>
          <w:rFonts w:hint="default" w:ascii="Times New Roman" w:hAnsi="Times New Roman" w:eastAsia="仿宋" w:cs="Times New Roman"/>
          <w:color w:val="auto"/>
          <w:kern w:val="0"/>
          <w:sz w:val="32"/>
          <w:szCs w:val="32"/>
          <w:lang w:val="en-US" w:eastAsia="zh-CN" w:bidi="ar"/>
        </w:rPr>
        <w:t xml:space="preserve"> 公共资源交易见证服务管理（以下简称“见证服务”）是对进场交易项目交易程序、交易环节、交易过程和交易数据通过数据传输、音视频、区块链、大数据分析、自动预警等</w:t>
      </w:r>
      <w:r>
        <w:rPr>
          <w:rFonts w:hint="eastAsia" w:ascii="Times New Roman" w:hAnsi="Times New Roman" w:eastAsia="仿宋" w:cs="Times New Roman"/>
          <w:color w:val="auto"/>
          <w:kern w:val="0"/>
          <w:sz w:val="32"/>
          <w:szCs w:val="32"/>
          <w:lang w:val="en-US" w:eastAsia="zh-CN" w:bidi="ar"/>
        </w:rPr>
        <w:t>电子信息</w:t>
      </w:r>
      <w:r>
        <w:rPr>
          <w:rFonts w:hint="default" w:ascii="Times New Roman" w:hAnsi="Times New Roman" w:eastAsia="仿宋" w:cs="Times New Roman"/>
          <w:color w:val="auto"/>
          <w:kern w:val="0"/>
          <w:sz w:val="32"/>
          <w:szCs w:val="32"/>
          <w:lang w:val="en-US" w:eastAsia="zh-CN" w:bidi="ar"/>
        </w:rPr>
        <w:t>技术手段以及现场查验、查看等方式进行记录见证的一种活动。</w:t>
      </w:r>
    </w:p>
    <w:p w14:paraId="5210A47E">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3" w:firstLineChars="2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b/>
          <w:bCs/>
          <w:color w:val="auto"/>
          <w:kern w:val="0"/>
          <w:sz w:val="32"/>
          <w:szCs w:val="32"/>
          <w:lang w:val="en-US" w:eastAsia="zh-CN" w:bidi="ar"/>
        </w:rPr>
        <w:t>第三条</w:t>
      </w:r>
      <w:r>
        <w:rPr>
          <w:rFonts w:hint="default" w:ascii="Times New Roman" w:hAnsi="Times New Roman" w:eastAsia="仿宋" w:cs="Times New Roman"/>
          <w:color w:val="auto"/>
          <w:kern w:val="0"/>
          <w:sz w:val="32"/>
          <w:szCs w:val="32"/>
          <w:lang w:val="en-US" w:eastAsia="zh-CN" w:bidi="ar"/>
        </w:rPr>
        <w:t xml:space="preserve"> 凡由省中心受理进场的交易项目，以及所涉及</w:t>
      </w:r>
      <w:r>
        <w:rPr>
          <w:rFonts w:hint="default" w:ascii="Times New Roman" w:hAnsi="Times New Roman" w:eastAsia="仿宋" w:cs="Times New Roman"/>
          <w:color w:val="auto"/>
          <w:kern w:val="0"/>
          <w:sz w:val="32"/>
          <w:szCs w:val="32"/>
          <w:highlight w:val="none"/>
          <w:lang w:val="en-US" w:eastAsia="zh-CN" w:bidi="ar"/>
        </w:rPr>
        <w:t>参与交易的各方主体</w:t>
      </w:r>
      <w:r>
        <w:rPr>
          <w:rFonts w:hint="default" w:ascii="Times New Roman" w:hAnsi="Times New Roman" w:eastAsia="仿宋" w:cs="Times New Roman"/>
          <w:color w:val="auto"/>
          <w:kern w:val="0"/>
          <w:sz w:val="32"/>
          <w:szCs w:val="32"/>
          <w:lang w:val="en-US" w:eastAsia="zh-CN" w:bidi="ar"/>
        </w:rPr>
        <w:t>行为均纳入见证服务范围。</w:t>
      </w:r>
    </w:p>
    <w:p w14:paraId="119AB708">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3" w:firstLineChars="2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b/>
          <w:bCs/>
          <w:color w:val="auto"/>
          <w:kern w:val="0"/>
          <w:sz w:val="32"/>
          <w:szCs w:val="32"/>
          <w:lang w:val="en-US" w:eastAsia="zh-CN" w:bidi="ar"/>
        </w:rPr>
        <w:t>第四条</w:t>
      </w:r>
      <w:r>
        <w:rPr>
          <w:rFonts w:hint="default" w:ascii="Times New Roman" w:hAnsi="Times New Roman" w:eastAsia="仿宋" w:cs="Times New Roman"/>
          <w:color w:val="auto"/>
          <w:kern w:val="0"/>
          <w:sz w:val="32"/>
          <w:szCs w:val="32"/>
          <w:lang w:val="en-US" w:eastAsia="zh-CN" w:bidi="ar"/>
        </w:rPr>
        <w:t xml:space="preserve"> 省中心履行见证</w:t>
      </w:r>
      <w:r>
        <w:rPr>
          <w:rFonts w:hint="eastAsia" w:ascii="Times New Roman" w:hAnsi="Times New Roman" w:eastAsia="仿宋" w:cs="Times New Roman"/>
          <w:color w:val="auto"/>
          <w:kern w:val="0"/>
          <w:sz w:val="32"/>
          <w:szCs w:val="32"/>
          <w:lang w:val="en-US" w:eastAsia="zh-CN" w:bidi="ar"/>
        </w:rPr>
        <w:t>服务</w:t>
      </w:r>
      <w:r>
        <w:rPr>
          <w:rFonts w:hint="default" w:ascii="Times New Roman" w:hAnsi="Times New Roman" w:eastAsia="仿宋" w:cs="Times New Roman"/>
          <w:color w:val="auto"/>
          <w:kern w:val="0"/>
          <w:sz w:val="32"/>
          <w:szCs w:val="32"/>
          <w:lang w:val="en-US" w:eastAsia="zh-CN" w:bidi="ar"/>
        </w:rPr>
        <w:t>工作的</w:t>
      </w:r>
      <w:r>
        <w:rPr>
          <w:rFonts w:hint="eastAsia" w:ascii="Times New Roman" w:hAnsi="Times New Roman" w:eastAsia="仿宋" w:cs="Times New Roman"/>
          <w:color w:val="auto"/>
          <w:kern w:val="0"/>
          <w:sz w:val="32"/>
          <w:szCs w:val="32"/>
          <w:lang w:val="en-US" w:eastAsia="zh-CN" w:bidi="ar"/>
        </w:rPr>
        <w:t>交易业务处室及其</w:t>
      </w:r>
      <w:r>
        <w:rPr>
          <w:rFonts w:hint="default" w:ascii="Times New Roman" w:hAnsi="Times New Roman" w:eastAsia="仿宋" w:cs="Times New Roman"/>
          <w:color w:val="auto"/>
          <w:kern w:val="0"/>
          <w:sz w:val="32"/>
          <w:szCs w:val="32"/>
          <w:lang w:val="en-US" w:eastAsia="zh-CN" w:bidi="ar"/>
        </w:rPr>
        <w:t>工作人员</w:t>
      </w:r>
      <w:r>
        <w:rPr>
          <w:rFonts w:hint="eastAsia" w:ascii="Times New Roman" w:hAnsi="Times New Roman" w:eastAsia="仿宋" w:cs="Times New Roman"/>
          <w:color w:val="auto"/>
          <w:kern w:val="0"/>
          <w:sz w:val="32"/>
          <w:szCs w:val="32"/>
          <w:lang w:val="en-US" w:eastAsia="zh-CN" w:bidi="ar"/>
        </w:rPr>
        <w:t>（以</w:t>
      </w:r>
      <w:r>
        <w:rPr>
          <w:rFonts w:hint="default" w:ascii="Times New Roman" w:hAnsi="Times New Roman" w:eastAsia="仿宋" w:cs="Times New Roman"/>
          <w:color w:val="auto"/>
          <w:kern w:val="0"/>
          <w:sz w:val="32"/>
          <w:szCs w:val="32"/>
          <w:lang w:val="en-US" w:eastAsia="zh-CN" w:bidi="ar"/>
        </w:rPr>
        <w:t>下简称“见证工作人员”）是进场交易项目见证服务工作的责任主体，履行见证服务职责，对见证过程、见证内容及见证结果负责，并负责见证档案资料管理。</w:t>
      </w:r>
    </w:p>
    <w:p w14:paraId="5765D8A0">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3" w:firstLineChars="200"/>
        <w:jc w:val="both"/>
        <w:textAlignment w:val="auto"/>
        <w:rPr>
          <w:rFonts w:hint="default" w:ascii="Times New Roman" w:hAnsi="Times New Roman" w:eastAsia="仿宋" w:cs="Times New Roman"/>
          <w:color w:val="auto"/>
          <w:kern w:val="0"/>
          <w:sz w:val="32"/>
          <w:szCs w:val="32"/>
          <w:highlight w:val="none"/>
          <w:lang w:val="en-US" w:eastAsia="zh-CN" w:bidi="ar"/>
        </w:rPr>
      </w:pPr>
      <w:r>
        <w:rPr>
          <w:rFonts w:hint="default" w:ascii="Times New Roman" w:hAnsi="Times New Roman" w:eastAsia="仿宋" w:cs="Times New Roman"/>
          <w:b/>
          <w:bCs/>
          <w:color w:val="auto"/>
          <w:kern w:val="0"/>
          <w:sz w:val="32"/>
          <w:szCs w:val="32"/>
          <w:highlight w:val="none"/>
          <w:lang w:val="en-US" w:eastAsia="zh-CN" w:bidi="ar"/>
        </w:rPr>
        <w:t>第五条  </w:t>
      </w:r>
      <w:r>
        <w:rPr>
          <w:rFonts w:hint="default" w:ascii="Times New Roman" w:hAnsi="Times New Roman" w:eastAsia="仿宋" w:cs="Times New Roman"/>
          <w:color w:val="auto"/>
          <w:kern w:val="0"/>
          <w:sz w:val="32"/>
          <w:szCs w:val="32"/>
          <w:highlight w:val="none"/>
          <w:lang w:val="en-US" w:eastAsia="zh-CN" w:bidi="ar"/>
        </w:rPr>
        <w:t>招标人（包括采购人、出让人等）及其代理机构是公共资源交易项目的责任主体，依法确定交易方式，依法组织交易活动，对交易活动的真实性、合法性、完整性负责。</w:t>
      </w:r>
    </w:p>
    <w:p w14:paraId="627C6197">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3" w:firstLineChars="200"/>
        <w:jc w:val="both"/>
        <w:textAlignment w:val="auto"/>
        <w:rPr>
          <w:rFonts w:hint="default" w:ascii="Times New Roman" w:hAnsi="Times New Roman" w:eastAsia="仿宋" w:cs="Times New Roman"/>
          <w:color w:val="auto"/>
          <w:kern w:val="0"/>
          <w:sz w:val="32"/>
          <w:szCs w:val="32"/>
          <w:highlight w:val="none"/>
          <w:u w:val="single"/>
          <w:lang w:val="en-US" w:eastAsia="zh-CN" w:bidi="ar"/>
        </w:rPr>
      </w:pPr>
      <w:r>
        <w:rPr>
          <w:rFonts w:hint="default" w:ascii="Times New Roman" w:hAnsi="Times New Roman" w:eastAsia="仿宋" w:cs="Times New Roman"/>
          <w:b/>
          <w:bCs/>
          <w:color w:val="auto"/>
          <w:kern w:val="0"/>
          <w:sz w:val="32"/>
          <w:szCs w:val="32"/>
          <w:highlight w:val="none"/>
          <w:lang w:val="en-US" w:eastAsia="zh-CN" w:bidi="ar"/>
        </w:rPr>
        <w:t>第六条</w:t>
      </w:r>
      <w:r>
        <w:rPr>
          <w:rFonts w:hint="default" w:ascii="Times New Roman" w:hAnsi="Times New Roman" w:eastAsia="仿宋" w:cs="Times New Roman"/>
          <w:color w:val="auto"/>
          <w:kern w:val="0"/>
          <w:sz w:val="32"/>
          <w:szCs w:val="32"/>
          <w:highlight w:val="none"/>
          <w:lang w:val="en-US" w:eastAsia="zh-CN" w:bidi="ar"/>
        </w:rPr>
        <w:t xml:space="preserve"> 见证服务应当准确记录各项交易数据，通过电子信息技术手段防止交易数据伪造、篡改、泄露、破坏等风险发生，保障交易活动动态留痕、数据完备、流程可溯、责任可究。</w:t>
      </w:r>
    </w:p>
    <w:p w14:paraId="63B814D6">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3" w:firstLineChars="200"/>
        <w:jc w:val="both"/>
        <w:textAlignment w:val="auto"/>
        <w:rPr>
          <w:rFonts w:hint="default" w:ascii="Times New Roman" w:hAnsi="Times New Roman" w:eastAsia="仿宋" w:cs="Times New Roman"/>
          <w:color w:val="auto"/>
          <w:kern w:val="0"/>
          <w:sz w:val="32"/>
          <w:szCs w:val="32"/>
          <w:highlight w:val="none"/>
          <w:lang w:val="en-US" w:eastAsia="zh-CN" w:bidi="ar"/>
        </w:rPr>
      </w:pPr>
      <w:r>
        <w:rPr>
          <w:rFonts w:hint="default" w:ascii="Times New Roman" w:hAnsi="Times New Roman" w:eastAsia="仿宋" w:cs="Times New Roman"/>
          <w:b/>
          <w:bCs/>
          <w:color w:val="auto"/>
          <w:kern w:val="0"/>
          <w:sz w:val="32"/>
          <w:szCs w:val="32"/>
          <w:highlight w:val="none"/>
          <w:lang w:val="en-US" w:eastAsia="zh-CN" w:bidi="ar"/>
        </w:rPr>
        <w:t>第七条</w:t>
      </w:r>
      <w:r>
        <w:rPr>
          <w:rFonts w:hint="default" w:ascii="Times New Roman" w:hAnsi="Times New Roman" w:eastAsia="仿宋" w:cs="Times New Roman"/>
          <w:color w:val="auto"/>
          <w:kern w:val="0"/>
          <w:sz w:val="32"/>
          <w:szCs w:val="32"/>
          <w:highlight w:val="none"/>
          <w:lang w:val="en-US" w:eastAsia="zh-CN" w:bidi="ar"/>
        </w:rPr>
        <w:t xml:space="preserve"> 见证服务应当立足公共服务职能定位，遵循开放透明、资源共享、及时准确、高效便民的服务原则，推动公共资源交易活动公开、公平、公正和诚实信用。</w:t>
      </w:r>
    </w:p>
    <w:p w14:paraId="3E78547E">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jc w:val="center"/>
        <w:textAlignment w:val="auto"/>
        <w:rPr>
          <w:rFonts w:hint="default" w:ascii="Times New Roman" w:hAnsi="Times New Roman" w:eastAsia="黑体" w:cs="Times New Roman"/>
          <w:b w:val="0"/>
          <w:bCs w:val="0"/>
          <w:color w:val="auto"/>
          <w:kern w:val="0"/>
          <w:sz w:val="32"/>
          <w:szCs w:val="32"/>
          <w:lang w:val="en-US" w:eastAsia="zh-CN" w:bidi="ar"/>
        </w:rPr>
      </w:pPr>
      <w:r>
        <w:rPr>
          <w:rFonts w:hint="default" w:ascii="Times New Roman" w:hAnsi="Times New Roman" w:eastAsia="黑体" w:cs="Times New Roman"/>
          <w:b w:val="0"/>
          <w:bCs w:val="0"/>
          <w:color w:val="auto"/>
          <w:kern w:val="0"/>
          <w:sz w:val="32"/>
          <w:szCs w:val="32"/>
          <w:lang w:val="en-US" w:eastAsia="zh-CN" w:bidi="ar"/>
        </w:rPr>
        <w:t>第二章 见证服务内容</w:t>
      </w:r>
    </w:p>
    <w:p w14:paraId="1394A453">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3" w:firstLineChars="200"/>
        <w:jc w:val="both"/>
        <w:textAlignment w:val="auto"/>
        <w:rPr>
          <w:rFonts w:hint="default" w:ascii="Times New Roman" w:hAnsi="Times New Roman" w:eastAsia="仿宋" w:cs="Times New Roman"/>
          <w:color w:val="auto"/>
          <w:kern w:val="0"/>
          <w:sz w:val="32"/>
          <w:szCs w:val="32"/>
          <w:highlight w:val="none"/>
          <w:lang w:val="en-US" w:eastAsia="zh-CN" w:bidi="ar"/>
        </w:rPr>
      </w:pPr>
      <w:r>
        <w:rPr>
          <w:rFonts w:hint="default" w:ascii="Times New Roman" w:hAnsi="Times New Roman" w:eastAsia="仿宋" w:cs="Times New Roman"/>
          <w:b/>
          <w:bCs/>
          <w:color w:val="auto"/>
          <w:kern w:val="0"/>
          <w:sz w:val="32"/>
          <w:szCs w:val="32"/>
          <w:highlight w:val="none"/>
          <w:lang w:val="en-US" w:eastAsia="zh-CN" w:bidi="ar"/>
        </w:rPr>
        <w:t>第八条</w:t>
      </w:r>
      <w:r>
        <w:rPr>
          <w:rFonts w:hint="default" w:ascii="Times New Roman" w:hAnsi="Times New Roman" w:eastAsia="仿宋" w:cs="Times New Roman"/>
          <w:color w:val="auto"/>
          <w:kern w:val="0"/>
          <w:sz w:val="32"/>
          <w:szCs w:val="32"/>
          <w:highlight w:val="none"/>
          <w:lang w:val="en-US" w:eastAsia="zh-CN" w:bidi="ar"/>
        </w:rPr>
        <w:t xml:space="preserve"> 省中心对进场交易项目开展全流程见证服务，包括项目类别、交易方式、交易流程和项目受理、信息发布、专家抽取、开标、评标（审）、隔夜评标（审）管理、拍卖、竞价等直至交易结果确认和公示、合同公示</w:t>
      </w:r>
      <w:r>
        <w:rPr>
          <w:rFonts w:hint="eastAsia" w:ascii="Times New Roman" w:hAnsi="Times New Roman" w:eastAsia="仿宋" w:cs="Times New Roman"/>
          <w:color w:val="auto"/>
          <w:kern w:val="0"/>
          <w:sz w:val="32"/>
          <w:szCs w:val="32"/>
          <w:highlight w:val="none"/>
          <w:lang w:val="en-US" w:eastAsia="zh-CN" w:bidi="ar"/>
        </w:rPr>
        <w:t>，逐步扩大到</w:t>
      </w:r>
      <w:r>
        <w:rPr>
          <w:rFonts w:hint="default" w:ascii="Times New Roman" w:hAnsi="Times New Roman" w:eastAsia="仿宋" w:cs="Times New Roman"/>
          <w:color w:val="auto"/>
          <w:kern w:val="0"/>
          <w:sz w:val="32"/>
          <w:szCs w:val="32"/>
          <w:highlight w:val="none"/>
          <w:lang w:val="en-US" w:eastAsia="zh-CN" w:bidi="ar"/>
        </w:rPr>
        <w:t>合同</w:t>
      </w:r>
      <w:r>
        <w:rPr>
          <w:rFonts w:hint="default" w:ascii="Times New Roman" w:hAnsi="Times New Roman" w:eastAsia="仿宋" w:cs="Times New Roman"/>
          <w:b w:val="0"/>
          <w:color w:val="auto"/>
          <w:kern w:val="2"/>
          <w:sz w:val="32"/>
          <w:szCs w:val="32"/>
          <w:highlight w:val="none"/>
          <w:lang w:val="en-US" w:eastAsia="zh-CN" w:bidi="ar-SA"/>
        </w:rPr>
        <w:t>变更公示、</w:t>
      </w:r>
      <w:r>
        <w:rPr>
          <w:rFonts w:hint="eastAsia" w:ascii="Times New Roman" w:hAnsi="Times New Roman" w:eastAsia="仿宋" w:cs="Times New Roman"/>
          <w:b w:val="0"/>
          <w:color w:val="auto"/>
          <w:kern w:val="2"/>
          <w:sz w:val="32"/>
          <w:szCs w:val="32"/>
          <w:highlight w:val="none"/>
          <w:lang w:val="en-US" w:eastAsia="zh-CN" w:bidi="ar-SA"/>
        </w:rPr>
        <w:t>决算</w:t>
      </w:r>
      <w:r>
        <w:rPr>
          <w:rFonts w:hint="default" w:ascii="Times New Roman" w:hAnsi="Times New Roman" w:eastAsia="仿宋" w:cs="Times New Roman"/>
          <w:b w:val="0"/>
          <w:color w:val="auto"/>
          <w:kern w:val="2"/>
          <w:sz w:val="32"/>
          <w:szCs w:val="32"/>
          <w:highlight w:val="none"/>
          <w:lang w:val="en-US" w:eastAsia="zh-CN" w:bidi="ar-SA"/>
        </w:rPr>
        <w:t>公示、</w:t>
      </w:r>
      <w:r>
        <w:rPr>
          <w:rFonts w:hint="default" w:ascii="Times New Roman" w:hAnsi="Times New Roman" w:eastAsia="仿宋" w:cs="Times New Roman"/>
          <w:color w:val="auto"/>
          <w:kern w:val="0"/>
          <w:sz w:val="32"/>
          <w:szCs w:val="32"/>
          <w:highlight w:val="none"/>
          <w:lang w:val="en-US" w:eastAsia="zh-CN" w:bidi="ar"/>
        </w:rPr>
        <w:t>履约情况等各交易环节。</w:t>
      </w:r>
    </w:p>
    <w:p w14:paraId="37478203">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3" w:firstLineChars="200"/>
        <w:jc w:val="both"/>
        <w:textAlignment w:val="auto"/>
        <w:rPr>
          <w:rFonts w:hint="default" w:ascii="Times New Roman" w:hAnsi="Times New Roman" w:eastAsia="仿宋" w:cs="Times New Roman"/>
          <w:color w:val="auto"/>
          <w:kern w:val="0"/>
          <w:sz w:val="32"/>
          <w:szCs w:val="32"/>
          <w:highlight w:val="none"/>
          <w:lang w:val="en-US" w:eastAsia="zh-CN" w:bidi="ar"/>
        </w:rPr>
      </w:pPr>
      <w:r>
        <w:rPr>
          <w:rFonts w:hint="default" w:ascii="Times New Roman" w:hAnsi="Times New Roman" w:eastAsia="仿宋" w:cs="Times New Roman"/>
          <w:b/>
          <w:bCs/>
          <w:color w:val="auto"/>
          <w:kern w:val="0"/>
          <w:sz w:val="32"/>
          <w:szCs w:val="32"/>
          <w:highlight w:val="none"/>
          <w:lang w:val="en-US" w:eastAsia="zh-CN" w:bidi="ar"/>
        </w:rPr>
        <w:t>第九条</w:t>
      </w:r>
      <w:r>
        <w:rPr>
          <w:rFonts w:hint="default" w:ascii="Times New Roman" w:hAnsi="Times New Roman" w:eastAsia="仿宋" w:cs="Times New Roman"/>
          <w:color w:val="auto"/>
          <w:kern w:val="0"/>
          <w:sz w:val="32"/>
          <w:szCs w:val="32"/>
          <w:highlight w:val="none"/>
          <w:lang w:val="en-US" w:eastAsia="zh-CN" w:bidi="ar"/>
        </w:rPr>
        <w:t xml:space="preserve"> 参与交易的各方主体包括招标人（采购人、出让人等）、投标人（供应商、竞买人等）、招标（采购）代理机构以及评标（审）专家、项目监督</w:t>
      </w:r>
      <w:r>
        <w:rPr>
          <w:rFonts w:hint="eastAsia" w:ascii="Times New Roman" w:hAnsi="Times New Roman" w:eastAsia="仿宋" w:cs="Times New Roman"/>
          <w:color w:val="auto"/>
          <w:kern w:val="0"/>
          <w:sz w:val="32"/>
          <w:szCs w:val="32"/>
          <w:highlight w:val="none"/>
          <w:lang w:val="en-US" w:eastAsia="zh-CN" w:bidi="ar"/>
        </w:rPr>
        <w:t>人员</w:t>
      </w:r>
      <w:r>
        <w:rPr>
          <w:rFonts w:hint="default" w:ascii="Times New Roman" w:hAnsi="Times New Roman" w:eastAsia="仿宋" w:cs="Times New Roman"/>
          <w:color w:val="auto"/>
          <w:kern w:val="0"/>
          <w:sz w:val="32"/>
          <w:szCs w:val="32"/>
          <w:highlight w:val="none"/>
          <w:lang w:val="en-US" w:eastAsia="zh-CN" w:bidi="ar"/>
        </w:rPr>
        <w:t>、信息系统运维单位等。</w:t>
      </w:r>
    </w:p>
    <w:p w14:paraId="64E99000">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仿宋" w:cs="Times New Roman"/>
          <w:color w:val="auto"/>
          <w:kern w:val="0"/>
          <w:sz w:val="32"/>
          <w:szCs w:val="32"/>
          <w:highlight w:val="none"/>
          <w:lang w:val="en-US" w:eastAsia="zh-CN" w:bidi="ar"/>
        </w:rPr>
      </w:pPr>
      <w:r>
        <w:rPr>
          <w:rFonts w:hint="default" w:ascii="Times New Roman" w:hAnsi="Times New Roman" w:eastAsia="仿宋" w:cs="Times New Roman"/>
          <w:color w:val="auto"/>
          <w:kern w:val="0"/>
          <w:sz w:val="32"/>
          <w:szCs w:val="32"/>
          <w:highlight w:val="none"/>
          <w:lang w:val="en-US" w:eastAsia="zh-CN" w:bidi="ar"/>
        </w:rPr>
        <w:t>参与交易的各方主体行为是指交易</w:t>
      </w:r>
      <w:r>
        <w:rPr>
          <w:rFonts w:hint="eastAsia" w:ascii="Times New Roman" w:hAnsi="Times New Roman" w:eastAsia="仿宋" w:cs="Times New Roman"/>
          <w:color w:val="auto"/>
          <w:kern w:val="0"/>
          <w:sz w:val="32"/>
          <w:szCs w:val="32"/>
          <w:highlight w:val="none"/>
          <w:lang w:val="en-US" w:eastAsia="zh-CN" w:bidi="ar"/>
        </w:rPr>
        <w:t>的</w:t>
      </w:r>
      <w:r>
        <w:rPr>
          <w:rFonts w:hint="default" w:ascii="Times New Roman" w:hAnsi="Times New Roman" w:eastAsia="仿宋" w:cs="Times New Roman"/>
          <w:color w:val="auto"/>
          <w:kern w:val="0"/>
          <w:sz w:val="32"/>
          <w:szCs w:val="32"/>
          <w:highlight w:val="none"/>
          <w:lang w:val="en-US" w:eastAsia="zh-CN" w:bidi="ar"/>
        </w:rPr>
        <w:t>各</w:t>
      </w:r>
      <w:r>
        <w:rPr>
          <w:rFonts w:hint="eastAsia" w:ascii="Times New Roman" w:hAnsi="Times New Roman" w:eastAsia="仿宋" w:cs="Times New Roman"/>
          <w:color w:val="auto"/>
          <w:kern w:val="0"/>
          <w:sz w:val="32"/>
          <w:szCs w:val="32"/>
          <w:highlight w:val="none"/>
          <w:lang w:val="en-US" w:eastAsia="zh-CN" w:bidi="ar"/>
        </w:rPr>
        <w:t>方</w:t>
      </w:r>
      <w:r>
        <w:rPr>
          <w:rFonts w:hint="default" w:ascii="Times New Roman" w:hAnsi="Times New Roman" w:eastAsia="仿宋" w:cs="Times New Roman"/>
          <w:color w:val="auto"/>
          <w:kern w:val="0"/>
          <w:sz w:val="32"/>
          <w:szCs w:val="32"/>
          <w:highlight w:val="none"/>
          <w:lang w:val="en-US" w:eastAsia="zh-CN" w:bidi="ar"/>
        </w:rPr>
        <w:t>主体在交易活动过程中语言、工作态度、行动轨迹以及项目监督人员的监督行为、信息系统运维人员的服务行为等。</w:t>
      </w:r>
    </w:p>
    <w:p w14:paraId="5B6454A7">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3" w:firstLineChars="200"/>
        <w:jc w:val="both"/>
        <w:textAlignment w:val="auto"/>
        <w:rPr>
          <w:rFonts w:hint="default" w:ascii="Times New Roman" w:hAnsi="Times New Roman" w:eastAsia="仿宋" w:cs="Times New Roman"/>
          <w:color w:val="auto"/>
          <w:kern w:val="0"/>
          <w:sz w:val="32"/>
          <w:szCs w:val="32"/>
          <w:highlight w:val="none"/>
          <w:lang w:val="en-US" w:eastAsia="zh-CN" w:bidi="ar"/>
        </w:rPr>
      </w:pPr>
      <w:r>
        <w:rPr>
          <w:rFonts w:hint="default" w:ascii="Times New Roman" w:hAnsi="Times New Roman" w:eastAsia="仿宋" w:cs="Times New Roman"/>
          <w:b/>
          <w:bCs/>
          <w:color w:val="auto"/>
          <w:kern w:val="0"/>
          <w:sz w:val="32"/>
          <w:szCs w:val="32"/>
          <w:highlight w:val="none"/>
          <w:lang w:val="en-US" w:eastAsia="zh-CN" w:bidi="ar"/>
        </w:rPr>
        <w:t>第十条</w:t>
      </w:r>
      <w:r>
        <w:rPr>
          <w:rFonts w:hint="default" w:ascii="Times New Roman" w:hAnsi="Times New Roman" w:eastAsia="仿宋" w:cs="Times New Roman"/>
          <w:color w:val="auto"/>
          <w:kern w:val="0"/>
          <w:sz w:val="32"/>
          <w:szCs w:val="32"/>
          <w:highlight w:val="none"/>
          <w:lang w:val="en-US" w:eastAsia="zh-CN" w:bidi="ar"/>
        </w:rPr>
        <w:t xml:space="preserve"> 省中心交易服务工作人员的服务行为适用本办法。</w:t>
      </w:r>
    </w:p>
    <w:p w14:paraId="241692CD">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jc w:val="center"/>
        <w:textAlignment w:val="auto"/>
        <w:rPr>
          <w:rFonts w:hint="default" w:ascii="Times New Roman" w:hAnsi="Times New Roman" w:eastAsia="黑体" w:cs="Times New Roman"/>
          <w:b w:val="0"/>
          <w:bCs w:val="0"/>
          <w:color w:val="auto"/>
          <w:kern w:val="0"/>
          <w:sz w:val="32"/>
          <w:szCs w:val="32"/>
          <w:lang w:val="en-US" w:eastAsia="zh-CN" w:bidi="ar"/>
        </w:rPr>
      </w:pPr>
      <w:r>
        <w:rPr>
          <w:rFonts w:hint="default" w:ascii="Times New Roman" w:hAnsi="Times New Roman" w:eastAsia="仿宋" w:cs="Times New Roman"/>
          <w:color w:val="auto"/>
          <w:kern w:val="0"/>
          <w:sz w:val="32"/>
          <w:szCs w:val="32"/>
          <w:lang w:val="en-US" w:eastAsia="zh-CN" w:bidi="ar"/>
        </w:rPr>
        <w:t xml:space="preserve"> </w:t>
      </w:r>
      <w:r>
        <w:rPr>
          <w:rFonts w:hint="default" w:ascii="Times New Roman" w:hAnsi="Times New Roman" w:eastAsia="黑体" w:cs="Times New Roman"/>
          <w:b w:val="0"/>
          <w:bCs w:val="0"/>
          <w:color w:val="auto"/>
          <w:kern w:val="0"/>
          <w:sz w:val="32"/>
          <w:szCs w:val="32"/>
          <w:lang w:val="en-US" w:eastAsia="zh-CN" w:bidi="ar"/>
        </w:rPr>
        <w:t>第三章 见证服务方式</w:t>
      </w:r>
    </w:p>
    <w:p w14:paraId="552570F9">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3" w:firstLineChars="200"/>
        <w:jc w:val="both"/>
        <w:textAlignment w:val="auto"/>
        <w:rPr>
          <w:rFonts w:hint="default" w:ascii="Times New Roman" w:hAnsi="Times New Roman" w:eastAsia="仿宋" w:cs="Times New Roman"/>
          <w:color w:val="auto"/>
          <w:kern w:val="0"/>
          <w:sz w:val="32"/>
          <w:szCs w:val="32"/>
          <w:highlight w:val="none"/>
          <w:lang w:val="en-US" w:eastAsia="zh-CN" w:bidi="ar"/>
        </w:rPr>
      </w:pPr>
      <w:r>
        <w:rPr>
          <w:rFonts w:hint="default" w:ascii="Times New Roman" w:hAnsi="Times New Roman" w:eastAsia="仿宋" w:cs="Times New Roman"/>
          <w:b/>
          <w:bCs/>
          <w:color w:val="auto"/>
          <w:kern w:val="0"/>
          <w:sz w:val="32"/>
          <w:szCs w:val="32"/>
          <w:highlight w:val="none"/>
          <w:lang w:val="en-US" w:eastAsia="zh-CN" w:bidi="ar"/>
        </w:rPr>
        <w:t>第十一条</w:t>
      </w:r>
      <w:r>
        <w:rPr>
          <w:rFonts w:hint="default" w:ascii="Times New Roman" w:hAnsi="Times New Roman" w:eastAsia="仿宋" w:cs="Times New Roman"/>
          <w:color w:val="auto"/>
          <w:kern w:val="0"/>
          <w:sz w:val="32"/>
          <w:szCs w:val="32"/>
          <w:highlight w:val="none"/>
          <w:lang w:val="en-US" w:eastAsia="zh-CN" w:bidi="ar"/>
        </w:rPr>
        <w:t xml:space="preserve"> 见证服务采取“线上+线下、现场见证+数字见证 ”相结合的方式，主要通过资料查验（含人工查验）、现场查看、录音录像、自动记录、自动存证、多视图、多视角、多维联动等进行完整性查验和如实记录，客观非干预的对交易活动进行大数据分析，对交易活动异常情况进行预警提示。</w:t>
      </w:r>
    </w:p>
    <w:p w14:paraId="5AE9C6DB">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3" w:firstLineChars="200"/>
        <w:jc w:val="both"/>
        <w:textAlignment w:val="auto"/>
        <w:rPr>
          <w:rFonts w:hint="default" w:ascii="Times New Roman" w:hAnsi="Times New Roman" w:eastAsia="仿宋" w:cs="Times New Roman"/>
          <w:color w:val="auto"/>
          <w:kern w:val="0"/>
          <w:sz w:val="32"/>
          <w:szCs w:val="32"/>
          <w:highlight w:val="none"/>
          <w:lang w:val="en-US" w:eastAsia="zh-CN" w:bidi="ar"/>
        </w:rPr>
      </w:pPr>
      <w:r>
        <w:rPr>
          <w:rFonts w:hint="default" w:ascii="Times New Roman" w:hAnsi="Times New Roman" w:eastAsia="仿宋" w:cs="Times New Roman"/>
          <w:b/>
          <w:bCs/>
          <w:color w:val="auto"/>
          <w:kern w:val="0"/>
          <w:sz w:val="32"/>
          <w:szCs w:val="32"/>
          <w:highlight w:val="none"/>
          <w:lang w:val="en-US" w:eastAsia="zh-CN" w:bidi="ar"/>
        </w:rPr>
        <w:t>第十二条</w:t>
      </w:r>
      <w:r>
        <w:rPr>
          <w:rFonts w:hint="default" w:ascii="Times New Roman" w:hAnsi="Times New Roman" w:eastAsia="仿宋" w:cs="Times New Roman"/>
          <w:color w:val="auto"/>
          <w:kern w:val="0"/>
          <w:sz w:val="32"/>
          <w:szCs w:val="32"/>
          <w:highlight w:val="none"/>
          <w:lang w:val="en-US" w:eastAsia="zh-CN" w:bidi="ar"/>
        </w:rPr>
        <w:t xml:space="preserve"> 见证服务实行“一项目一见证”，对发现的不良、负面和违法违规异常行为，见证</w:t>
      </w:r>
      <w:r>
        <w:rPr>
          <w:rFonts w:hint="eastAsia" w:ascii="Times New Roman" w:hAnsi="Times New Roman" w:eastAsia="仿宋" w:cs="Times New Roman"/>
          <w:color w:val="auto"/>
          <w:kern w:val="0"/>
          <w:sz w:val="32"/>
          <w:szCs w:val="32"/>
          <w:highlight w:val="none"/>
          <w:lang w:val="en-US" w:eastAsia="zh-CN" w:bidi="ar"/>
        </w:rPr>
        <w:t>工作</w:t>
      </w:r>
      <w:r>
        <w:rPr>
          <w:rFonts w:hint="default" w:ascii="Times New Roman" w:hAnsi="Times New Roman" w:eastAsia="仿宋" w:cs="Times New Roman"/>
          <w:color w:val="auto"/>
          <w:kern w:val="0"/>
          <w:sz w:val="32"/>
          <w:szCs w:val="32"/>
          <w:highlight w:val="none"/>
          <w:lang w:val="en-US" w:eastAsia="zh-CN" w:bidi="ar"/>
        </w:rPr>
        <w:t>人员及时依法制止、纠正、记录、汇报、处理、移送。</w:t>
      </w:r>
    </w:p>
    <w:p w14:paraId="0871755F">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3" w:firstLineChars="200"/>
        <w:jc w:val="both"/>
        <w:textAlignment w:val="auto"/>
        <w:rPr>
          <w:rFonts w:hint="default" w:ascii="Times New Roman" w:hAnsi="Times New Roman" w:eastAsia="仿宋" w:cs="Times New Roman"/>
          <w:color w:val="auto"/>
          <w:kern w:val="0"/>
          <w:sz w:val="32"/>
          <w:szCs w:val="32"/>
          <w:highlight w:val="none"/>
          <w:lang w:val="en-US" w:eastAsia="zh-CN" w:bidi="ar"/>
        </w:rPr>
      </w:pPr>
      <w:r>
        <w:rPr>
          <w:rFonts w:hint="default" w:ascii="Times New Roman" w:hAnsi="Times New Roman" w:eastAsia="仿宋" w:cs="Times New Roman"/>
          <w:b/>
          <w:bCs/>
          <w:color w:val="auto"/>
          <w:kern w:val="0"/>
          <w:sz w:val="32"/>
          <w:szCs w:val="32"/>
          <w:highlight w:val="none"/>
          <w:lang w:val="en-US" w:eastAsia="zh-CN" w:bidi="ar"/>
        </w:rPr>
        <w:t>第十三条</w:t>
      </w:r>
      <w:r>
        <w:rPr>
          <w:rFonts w:hint="default" w:ascii="Times New Roman" w:hAnsi="Times New Roman" w:eastAsia="仿宋" w:cs="Times New Roman"/>
          <w:color w:val="auto"/>
          <w:kern w:val="0"/>
          <w:sz w:val="32"/>
          <w:szCs w:val="32"/>
          <w:highlight w:val="none"/>
          <w:lang w:val="en-US" w:eastAsia="zh-CN" w:bidi="ar"/>
        </w:rPr>
        <w:t xml:space="preserve"> 见证服务实行清单制管理，主要针对受理、开标、评标（审）环节以及专家等候室、专家抽取室和监控室等重点区域</w:t>
      </w:r>
      <w:r>
        <w:rPr>
          <w:rFonts w:hint="default" w:ascii="Times New Roman" w:hAnsi="Times New Roman" w:eastAsia="仿宋" w:cs="Times New Roman"/>
          <w:strike w:val="0"/>
          <w:dstrike w:val="0"/>
          <w:color w:val="auto"/>
          <w:kern w:val="0"/>
          <w:sz w:val="32"/>
          <w:szCs w:val="32"/>
          <w:highlight w:val="none"/>
          <w:lang w:val="en-US" w:eastAsia="zh-CN" w:bidi="ar"/>
        </w:rPr>
        <w:t>（附件1—6）</w:t>
      </w:r>
      <w:r>
        <w:rPr>
          <w:rFonts w:hint="default" w:ascii="Times New Roman" w:hAnsi="Times New Roman" w:eastAsia="仿宋" w:cs="Times New Roman"/>
          <w:color w:val="auto"/>
          <w:kern w:val="0"/>
          <w:sz w:val="32"/>
          <w:szCs w:val="32"/>
          <w:highlight w:val="none"/>
          <w:lang w:val="en-US" w:eastAsia="zh-CN" w:bidi="ar"/>
        </w:rPr>
        <w:t>。</w:t>
      </w:r>
    </w:p>
    <w:p w14:paraId="67F2ACAC">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仿宋" w:cs="Times New Roman"/>
          <w:color w:val="auto"/>
          <w:kern w:val="0"/>
          <w:sz w:val="32"/>
          <w:szCs w:val="32"/>
          <w:highlight w:val="none"/>
          <w:lang w:val="en-US" w:eastAsia="zh-CN" w:bidi="ar"/>
        </w:rPr>
      </w:pPr>
      <w:r>
        <w:rPr>
          <w:rFonts w:hint="default" w:ascii="Times New Roman" w:hAnsi="Times New Roman" w:eastAsia="仿宋" w:cs="Times New Roman"/>
          <w:color w:val="auto"/>
          <w:kern w:val="0"/>
          <w:sz w:val="32"/>
          <w:szCs w:val="32"/>
          <w:highlight w:val="none"/>
          <w:lang w:val="en-US" w:eastAsia="zh-CN" w:bidi="ar"/>
        </w:rPr>
        <w:t>1.见证服务清单实行动态管理，省中心根据国家和四川省有关规定进行调整，以及工作中出现的新情况新问题进行适时更新、完善。</w:t>
      </w:r>
    </w:p>
    <w:p w14:paraId="01B66823">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仿宋" w:cs="Times New Roman"/>
          <w:color w:val="auto"/>
          <w:kern w:val="0"/>
          <w:sz w:val="32"/>
          <w:szCs w:val="32"/>
          <w:highlight w:val="none"/>
          <w:lang w:val="en-US" w:eastAsia="zh-CN" w:bidi="ar"/>
        </w:rPr>
      </w:pPr>
      <w:r>
        <w:rPr>
          <w:rFonts w:hint="default" w:ascii="Times New Roman" w:hAnsi="Times New Roman" w:eastAsia="仿宋" w:cs="Times New Roman"/>
          <w:color w:val="auto"/>
          <w:kern w:val="0"/>
          <w:sz w:val="32"/>
          <w:szCs w:val="32"/>
          <w:highlight w:val="none"/>
          <w:lang w:val="en-US" w:eastAsia="zh-CN" w:bidi="ar"/>
        </w:rPr>
        <w:t>2.在见证服务工作中发现的需补充或更新、调整的不良行为情形，应及时提出预警级别建议，经批准后，纳入清单管理。</w:t>
      </w:r>
    </w:p>
    <w:p w14:paraId="26764D2E">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3" w:firstLineChars="200"/>
        <w:jc w:val="both"/>
        <w:textAlignment w:val="auto"/>
        <w:rPr>
          <w:rFonts w:hint="default" w:ascii="Times New Roman" w:hAnsi="Times New Roman" w:eastAsia="仿宋" w:cs="Times New Roman"/>
          <w:color w:val="auto"/>
          <w:kern w:val="0"/>
          <w:sz w:val="32"/>
          <w:szCs w:val="32"/>
          <w:highlight w:val="none"/>
          <w:lang w:val="en-US" w:eastAsia="zh-CN" w:bidi="ar"/>
        </w:rPr>
      </w:pPr>
      <w:r>
        <w:rPr>
          <w:rFonts w:hint="default" w:ascii="Times New Roman" w:hAnsi="Times New Roman" w:eastAsia="仿宋" w:cs="Times New Roman"/>
          <w:b/>
          <w:bCs/>
          <w:color w:val="auto"/>
          <w:kern w:val="0"/>
          <w:sz w:val="32"/>
          <w:szCs w:val="32"/>
          <w:highlight w:val="none"/>
          <w:lang w:val="en-US" w:eastAsia="zh-CN" w:bidi="ar"/>
        </w:rPr>
        <w:t xml:space="preserve">第十四条 </w:t>
      </w:r>
      <w:r>
        <w:rPr>
          <w:rFonts w:hint="default" w:ascii="Times New Roman" w:hAnsi="Times New Roman" w:eastAsia="仿宋" w:cs="Times New Roman"/>
          <w:color w:val="auto"/>
          <w:kern w:val="0"/>
          <w:sz w:val="32"/>
          <w:szCs w:val="32"/>
          <w:highlight w:val="none"/>
          <w:lang w:val="en-US" w:eastAsia="zh-CN" w:bidi="ar"/>
        </w:rPr>
        <w:t>见证服务结束后，形成交易项目见证报告和相关数据统计，供各行政监督部门、</w:t>
      </w:r>
      <w:r>
        <w:rPr>
          <w:rFonts w:hint="default" w:ascii="Times New Roman" w:hAnsi="Times New Roman" w:eastAsia="仿宋" w:cs="Times New Roman"/>
          <w:color w:val="auto"/>
          <w:kern w:val="0"/>
          <w:sz w:val="32"/>
          <w:szCs w:val="32"/>
          <w:lang w:val="en-US" w:eastAsia="zh-CN" w:bidi="ar"/>
        </w:rPr>
        <w:t>司法机关、纪检监察部门、审计部门等</w:t>
      </w:r>
      <w:r>
        <w:rPr>
          <w:rFonts w:hint="eastAsia" w:ascii="Times New Roman" w:hAnsi="Times New Roman" w:eastAsia="仿宋" w:cs="Times New Roman"/>
          <w:color w:val="auto"/>
          <w:kern w:val="0"/>
          <w:sz w:val="32"/>
          <w:szCs w:val="32"/>
          <w:lang w:val="en-US" w:eastAsia="zh-CN" w:bidi="ar"/>
        </w:rPr>
        <w:t>依法按需求</w:t>
      </w:r>
      <w:r>
        <w:rPr>
          <w:rFonts w:hint="default" w:ascii="Times New Roman" w:hAnsi="Times New Roman" w:eastAsia="仿宋" w:cs="Times New Roman"/>
          <w:color w:val="auto"/>
          <w:kern w:val="0"/>
          <w:sz w:val="32"/>
          <w:szCs w:val="32"/>
          <w:highlight w:val="none"/>
          <w:lang w:val="en-US" w:eastAsia="zh-CN" w:bidi="ar"/>
        </w:rPr>
        <w:t>调阅使用。</w:t>
      </w:r>
    </w:p>
    <w:p w14:paraId="7169F96B">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jc w:val="center"/>
        <w:textAlignment w:val="auto"/>
        <w:rPr>
          <w:rFonts w:hint="default" w:ascii="Times New Roman" w:hAnsi="Times New Roman" w:eastAsia="仿宋" w:cs="Times New Roman"/>
          <w:b/>
          <w:bCs/>
          <w:color w:val="auto"/>
          <w:kern w:val="0"/>
          <w:sz w:val="32"/>
          <w:szCs w:val="32"/>
          <w:lang w:val="en-US" w:eastAsia="zh-CN" w:bidi="ar"/>
        </w:rPr>
      </w:pPr>
      <w:r>
        <w:rPr>
          <w:rFonts w:hint="default" w:ascii="Times New Roman" w:hAnsi="Times New Roman" w:eastAsia="黑体" w:cs="Times New Roman"/>
          <w:b w:val="0"/>
          <w:bCs w:val="0"/>
          <w:color w:val="auto"/>
          <w:kern w:val="0"/>
          <w:sz w:val="32"/>
          <w:szCs w:val="32"/>
          <w:lang w:val="en-US" w:eastAsia="zh-CN" w:bidi="ar"/>
        </w:rPr>
        <w:t>第四章 见证服务异常行为处置</w:t>
      </w:r>
    </w:p>
    <w:p w14:paraId="1C1FE199">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3" w:firstLineChars="200"/>
        <w:jc w:val="both"/>
        <w:textAlignment w:val="auto"/>
        <w:rPr>
          <w:rFonts w:hint="default" w:ascii="Times New Roman" w:hAnsi="Times New Roman" w:eastAsia="仿宋" w:cs="Times New Roman"/>
          <w:color w:val="auto"/>
          <w:kern w:val="0"/>
          <w:sz w:val="32"/>
          <w:szCs w:val="32"/>
          <w:highlight w:val="none"/>
          <w:lang w:val="en-US" w:eastAsia="zh-CN" w:bidi="ar"/>
        </w:rPr>
      </w:pPr>
      <w:r>
        <w:rPr>
          <w:rFonts w:hint="default" w:ascii="Times New Roman" w:hAnsi="Times New Roman" w:eastAsia="仿宋" w:cs="Times New Roman"/>
          <w:b/>
          <w:bCs/>
          <w:color w:val="auto"/>
          <w:kern w:val="0"/>
          <w:sz w:val="32"/>
          <w:szCs w:val="32"/>
          <w:highlight w:val="none"/>
          <w:lang w:val="en-US" w:eastAsia="zh-CN" w:bidi="ar"/>
        </w:rPr>
        <w:t>第十五条</w:t>
      </w:r>
      <w:r>
        <w:rPr>
          <w:rFonts w:hint="default" w:ascii="Times New Roman" w:hAnsi="Times New Roman" w:eastAsia="仿宋" w:cs="Times New Roman"/>
          <w:color w:val="auto"/>
          <w:kern w:val="0"/>
          <w:sz w:val="32"/>
          <w:szCs w:val="32"/>
          <w:highlight w:val="none"/>
          <w:lang w:val="en-US" w:eastAsia="zh-CN" w:bidi="ar"/>
        </w:rPr>
        <w:t xml:space="preserve"> 见证服务清单实行分级预警。对见证过程中发现的不良、负面和违法违规异常行为，按照见证内容和责任主体，实行“一级、二级、三级”预警。</w:t>
      </w:r>
    </w:p>
    <w:p w14:paraId="38AF7B6F">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仿宋" w:cs="Times New Roman"/>
          <w:color w:val="auto"/>
          <w:kern w:val="0"/>
          <w:sz w:val="32"/>
          <w:szCs w:val="32"/>
          <w:highlight w:val="none"/>
          <w:lang w:val="en-US" w:eastAsia="zh-CN" w:bidi="ar"/>
        </w:rPr>
      </w:pPr>
      <w:r>
        <w:rPr>
          <w:rFonts w:hint="default" w:ascii="Times New Roman" w:hAnsi="Times New Roman" w:eastAsia="仿宋" w:cs="Times New Roman"/>
          <w:color w:val="auto"/>
          <w:kern w:val="0"/>
          <w:sz w:val="32"/>
          <w:szCs w:val="32"/>
          <w:highlight w:val="none"/>
          <w:lang w:val="en-US" w:eastAsia="zh-CN" w:bidi="ar"/>
        </w:rPr>
        <w:t>1.“一级”，表示违反法律法规和部门规章</w:t>
      </w:r>
      <w:r>
        <w:rPr>
          <w:rFonts w:hint="eastAsia" w:ascii="Times New Roman" w:hAnsi="Times New Roman" w:eastAsia="仿宋" w:cs="Times New Roman"/>
          <w:color w:val="auto"/>
          <w:kern w:val="0"/>
          <w:sz w:val="32"/>
          <w:szCs w:val="32"/>
          <w:highlight w:val="none"/>
          <w:lang w:val="en-US" w:eastAsia="zh-CN" w:bidi="ar"/>
        </w:rPr>
        <w:t>、规范性文件</w:t>
      </w:r>
      <w:r>
        <w:rPr>
          <w:rFonts w:hint="default" w:ascii="Times New Roman" w:hAnsi="Times New Roman" w:eastAsia="仿宋" w:cs="Times New Roman"/>
          <w:color w:val="auto"/>
          <w:kern w:val="0"/>
          <w:sz w:val="32"/>
          <w:szCs w:val="32"/>
          <w:highlight w:val="none"/>
          <w:lang w:val="en-US" w:eastAsia="zh-CN" w:bidi="ar"/>
        </w:rPr>
        <w:t>等规定的不良、负面和违法违规异常行为。</w:t>
      </w:r>
    </w:p>
    <w:p w14:paraId="2BE56E94">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仿宋" w:cs="Times New Roman"/>
          <w:color w:val="auto"/>
          <w:kern w:val="0"/>
          <w:sz w:val="32"/>
          <w:szCs w:val="32"/>
          <w:highlight w:val="none"/>
          <w:lang w:val="en-US" w:eastAsia="zh-CN" w:bidi="ar"/>
        </w:rPr>
      </w:pPr>
      <w:r>
        <w:rPr>
          <w:rFonts w:hint="default" w:ascii="Times New Roman" w:hAnsi="Times New Roman" w:eastAsia="仿宋" w:cs="Times New Roman"/>
          <w:color w:val="auto"/>
          <w:kern w:val="0"/>
          <w:sz w:val="32"/>
          <w:szCs w:val="32"/>
          <w:highlight w:val="none"/>
          <w:lang w:val="en-US" w:eastAsia="zh-CN" w:bidi="ar"/>
        </w:rPr>
        <w:t>2.“二级”，表示违反省中心交易管理制度等规定的不良、负面和违法违规异常行为。</w:t>
      </w:r>
    </w:p>
    <w:p w14:paraId="2F7BBE9D">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仿宋" w:cs="Times New Roman"/>
          <w:color w:val="auto"/>
          <w:kern w:val="0"/>
          <w:sz w:val="32"/>
          <w:szCs w:val="32"/>
          <w:highlight w:val="none"/>
          <w:lang w:val="en-US" w:eastAsia="zh-CN" w:bidi="ar"/>
        </w:rPr>
      </w:pPr>
      <w:r>
        <w:rPr>
          <w:rFonts w:hint="default" w:ascii="Times New Roman" w:hAnsi="Times New Roman" w:eastAsia="仿宋" w:cs="Times New Roman"/>
          <w:color w:val="auto"/>
          <w:kern w:val="0"/>
          <w:sz w:val="32"/>
          <w:szCs w:val="32"/>
          <w:highlight w:val="none"/>
          <w:lang w:val="en-US" w:eastAsia="zh-CN" w:bidi="ar"/>
        </w:rPr>
        <w:t>3.“三级”，表示违反省中心交易现场纪律规定的不良、负面和违法违规异常行为。</w:t>
      </w:r>
    </w:p>
    <w:p w14:paraId="5043C1AE">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3" w:firstLineChars="200"/>
        <w:jc w:val="both"/>
        <w:textAlignment w:val="auto"/>
        <w:rPr>
          <w:rFonts w:hint="default" w:ascii="Times New Roman" w:hAnsi="Times New Roman" w:eastAsia="仿宋" w:cs="Times New Roman"/>
          <w:color w:val="auto"/>
          <w:kern w:val="0"/>
          <w:sz w:val="32"/>
          <w:szCs w:val="32"/>
          <w:highlight w:val="none"/>
          <w:lang w:val="en-US" w:eastAsia="zh-CN" w:bidi="ar"/>
        </w:rPr>
      </w:pPr>
      <w:r>
        <w:rPr>
          <w:rFonts w:hint="default" w:ascii="Times New Roman" w:hAnsi="Times New Roman" w:eastAsia="仿宋" w:cs="Times New Roman"/>
          <w:b/>
          <w:bCs/>
          <w:color w:val="auto"/>
          <w:kern w:val="0"/>
          <w:sz w:val="32"/>
          <w:szCs w:val="32"/>
          <w:highlight w:val="none"/>
          <w:lang w:val="en-US" w:eastAsia="zh-CN" w:bidi="ar"/>
        </w:rPr>
        <w:t>第十六条</w:t>
      </w:r>
      <w:r>
        <w:rPr>
          <w:rFonts w:hint="default" w:ascii="Times New Roman" w:hAnsi="Times New Roman" w:eastAsia="仿宋" w:cs="Times New Roman"/>
          <w:color w:val="auto"/>
          <w:kern w:val="0"/>
          <w:sz w:val="32"/>
          <w:szCs w:val="32"/>
          <w:highlight w:val="none"/>
          <w:lang w:val="en-US" w:eastAsia="zh-CN" w:bidi="ar"/>
        </w:rPr>
        <w:t xml:space="preserve"> 见证服务实行分级处理及推送。将见证</w:t>
      </w:r>
      <w:r>
        <w:rPr>
          <w:rFonts w:hint="eastAsia" w:ascii="Times New Roman" w:hAnsi="Times New Roman" w:eastAsia="仿宋" w:cs="Times New Roman"/>
          <w:color w:val="auto"/>
          <w:kern w:val="0"/>
          <w:sz w:val="32"/>
          <w:szCs w:val="32"/>
          <w:highlight w:val="none"/>
          <w:lang w:val="en-US" w:eastAsia="zh-CN" w:bidi="ar"/>
        </w:rPr>
        <w:t>服务</w:t>
      </w:r>
      <w:r>
        <w:rPr>
          <w:rFonts w:hint="default" w:ascii="Times New Roman" w:hAnsi="Times New Roman" w:eastAsia="仿宋" w:cs="Times New Roman"/>
          <w:color w:val="auto"/>
          <w:kern w:val="0"/>
          <w:sz w:val="32"/>
          <w:szCs w:val="32"/>
          <w:highlight w:val="none"/>
          <w:lang w:val="en-US" w:eastAsia="zh-CN" w:bidi="ar"/>
        </w:rPr>
        <w:t>工作与内控管理相结合，对见证</w:t>
      </w:r>
      <w:r>
        <w:rPr>
          <w:rFonts w:hint="eastAsia" w:ascii="Times New Roman" w:hAnsi="Times New Roman" w:eastAsia="仿宋" w:cs="Times New Roman"/>
          <w:color w:val="auto"/>
          <w:kern w:val="0"/>
          <w:sz w:val="32"/>
          <w:szCs w:val="32"/>
          <w:highlight w:val="none"/>
          <w:lang w:val="en-US" w:eastAsia="zh-CN" w:bidi="ar"/>
        </w:rPr>
        <w:t>服务过程</w:t>
      </w:r>
      <w:r>
        <w:rPr>
          <w:rFonts w:hint="default" w:ascii="Times New Roman" w:hAnsi="Times New Roman" w:eastAsia="仿宋" w:cs="Times New Roman"/>
          <w:color w:val="auto"/>
          <w:kern w:val="0"/>
          <w:sz w:val="32"/>
          <w:szCs w:val="32"/>
          <w:highlight w:val="none"/>
          <w:lang w:val="en-US" w:eastAsia="zh-CN" w:bidi="ar"/>
        </w:rPr>
        <w:t>中发现的不良、负面和违法违规异常行为实行分级处理、分级推送。</w:t>
      </w:r>
    </w:p>
    <w:p w14:paraId="7FDF4CC9">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仿宋" w:cs="Times New Roman"/>
          <w:color w:val="auto"/>
          <w:kern w:val="0"/>
          <w:sz w:val="32"/>
          <w:szCs w:val="32"/>
          <w:highlight w:val="none"/>
          <w:lang w:val="en-US" w:eastAsia="zh-CN" w:bidi="ar"/>
        </w:rPr>
      </w:pPr>
      <w:r>
        <w:rPr>
          <w:rFonts w:hint="default" w:ascii="Times New Roman" w:hAnsi="Times New Roman" w:eastAsia="仿宋" w:cs="Times New Roman"/>
          <w:color w:val="auto"/>
          <w:kern w:val="0"/>
          <w:sz w:val="32"/>
          <w:szCs w:val="32"/>
          <w:highlight w:val="none"/>
          <w:lang w:val="en-US" w:eastAsia="zh-CN" w:bidi="ar"/>
        </w:rPr>
        <w:t>1.“二级”和“三级”预警信息，由省中心会同项目监督</w:t>
      </w:r>
      <w:r>
        <w:rPr>
          <w:rFonts w:hint="eastAsia" w:ascii="Times New Roman" w:hAnsi="Times New Roman" w:eastAsia="仿宋" w:cs="Times New Roman"/>
          <w:color w:val="auto"/>
          <w:kern w:val="0"/>
          <w:sz w:val="32"/>
          <w:szCs w:val="32"/>
          <w:highlight w:val="none"/>
          <w:lang w:val="en-US" w:eastAsia="zh-CN" w:bidi="ar"/>
        </w:rPr>
        <w:t>人员</w:t>
      </w:r>
      <w:r>
        <w:rPr>
          <w:rFonts w:hint="default" w:ascii="Times New Roman" w:hAnsi="Times New Roman" w:eastAsia="仿宋" w:cs="Times New Roman"/>
          <w:color w:val="auto"/>
          <w:kern w:val="0"/>
          <w:sz w:val="32"/>
          <w:szCs w:val="32"/>
          <w:highlight w:val="none"/>
          <w:lang w:val="en-US" w:eastAsia="zh-CN" w:bidi="ar"/>
        </w:rPr>
        <w:t>通过以下方式处理：</w:t>
      </w:r>
    </w:p>
    <w:p w14:paraId="2BFFF3FB">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仿宋" w:cs="Times New Roman"/>
          <w:color w:val="auto"/>
          <w:kern w:val="0"/>
          <w:sz w:val="32"/>
          <w:szCs w:val="32"/>
          <w:highlight w:val="none"/>
          <w:lang w:val="en-US" w:eastAsia="zh-CN" w:bidi="ar"/>
        </w:rPr>
      </w:pPr>
      <w:r>
        <w:rPr>
          <w:rFonts w:hint="default" w:ascii="Times New Roman" w:hAnsi="Times New Roman" w:eastAsia="仿宋" w:cs="Times New Roman"/>
          <w:color w:val="auto"/>
          <w:kern w:val="0"/>
          <w:sz w:val="32"/>
          <w:szCs w:val="32"/>
          <w:highlight w:val="none"/>
          <w:lang w:val="en-US" w:eastAsia="zh-CN" w:bidi="ar"/>
        </w:rPr>
        <w:t>（1）情节较轻、可及时纠正、不影响开标（拍卖、竞价）、评标（审）工作正常开展的，可采取提醒、提示、劝说等方式处理。</w:t>
      </w:r>
    </w:p>
    <w:p w14:paraId="70B470B1">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仿宋" w:cs="Times New Roman"/>
          <w:color w:val="auto"/>
          <w:kern w:val="0"/>
          <w:sz w:val="32"/>
          <w:szCs w:val="32"/>
          <w:highlight w:val="none"/>
          <w:lang w:val="en-US" w:eastAsia="zh-CN" w:bidi="ar"/>
        </w:rPr>
      </w:pPr>
      <w:r>
        <w:rPr>
          <w:rFonts w:hint="default" w:ascii="Times New Roman" w:hAnsi="Times New Roman" w:eastAsia="仿宋" w:cs="Times New Roman"/>
          <w:color w:val="auto"/>
          <w:kern w:val="0"/>
          <w:sz w:val="32"/>
          <w:szCs w:val="32"/>
          <w:highlight w:val="none"/>
          <w:lang w:val="en-US" w:eastAsia="zh-CN" w:bidi="ar"/>
        </w:rPr>
        <w:t>（2）经提醒或劝说拒不改正的，记录并推送至相关行政监督部门，同时按照相关行政监督部门信用管理有关规定开展信用评价。</w:t>
      </w:r>
    </w:p>
    <w:p w14:paraId="53F4FBE8">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仿宋" w:cs="Times New Roman"/>
          <w:color w:val="auto"/>
          <w:kern w:val="0"/>
          <w:sz w:val="32"/>
          <w:szCs w:val="32"/>
          <w:highlight w:val="none"/>
          <w:lang w:val="en-US" w:eastAsia="zh-CN" w:bidi="ar"/>
        </w:rPr>
      </w:pPr>
      <w:r>
        <w:rPr>
          <w:rFonts w:hint="default" w:ascii="Times New Roman" w:hAnsi="Times New Roman" w:eastAsia="仿宋" w:cs="Times New Roman"/>
          <w:color w:val="auto"/>
          <w:kern w:val="0"/>
          <w:sz w:val="32"/>
          <w:szCs w:val="32"/>
          <w:highlight w:val="none"/>
          <w:lang w:val="en-US" w:eastAsia="zh-CN" w:bidi="ar"/>
        </w:rPr>
        <w:t>（3）省中心交易</w:t>
      </w:r>
      <w:r>
        <w:rPr>
          <w:rFonts w:hint="eastAsia" w:ascii="Times New Roman" w:hAnsi="Times New Roman" w:eastAsia="仿宋" w:cs="Times New Roman"/>
          <w:color w:val="auto"/>
          <w:kern w:val="0"/>
          <w:sz w:val="32"/>
          <w:szCs w:val="32"/>
          <w:highlight w:val="none"/>
          <w:lang w:val="en-US" w:eastAsia="zh-CN" w:bidi="ar"/>
        </w:rPr>
        <w:t>服务</w:t>
      </w:r>
      <w:r>
        <w:rPr>
          <w:rFonts w:hint="default" w:ascii="Times New Roman" w:hAnsi="Times New Roman" w:eastAsia="仿宋" w:cs="Times New Roman"/>
          <w:color w:val="auto"/>
          <w:kern w:val="0"/>
          <w:sz w:val="32"/>
          <w:szCs w:val="32"/>
          <w:highlight w:val="none"/>
          <w:lang w:val="en-US" w:eastAsia="zh-CN" w:bidi="ar"/>
        </w:rPr>
        <w:t>工作人员不良服务行为</w:t>
      </w:r>
      <w:r>
        <w:rPr>
          <w:rFonts w:hint="eastAsia" w:ascii="Times New Roman" w:hAnsi="Times New Roman" w:eastAsia="仿宋" w:cs="Times New Roman"/>
          <w:color w:val="auto"/>
          <w:kern w:val="0"/>
          <w:sz w:val="32"/>
          <w:szCs w:val="32"/>
          <w:highlight w:val="none"/>
          <w:lang w:val="en-US" w:eastAsia="zh-CN" w:bidi="ar"/>
        </w:rPr>
        <w:t>，</w:t>
      </w:r>
      <w:r>
        <w:rPr>
          <w:rFonts w:hint="default" w:ascii="Times New Roman" w:hAnsi="Times New Roman" w:eastAsia="仿宋" w:cs="Times New Roman"/>
          <w:color w:val="auto"/>
          <w:kern w:val="0"/>
          <w:sz w:val="32"/>
          <w:szCs w:val="32"/>
          <w:highlight w:val="none"/>
          <w:lang w:val="en-US" w:eastAsia="zh-CN" w:bidi="ar"/>
        </w:rPr>
        <w:t>按照相关管理规定处理，情节严重的，报同级组织人事部门或纪检监察机关处理。</w:t>
      </w:r>
    </w:p>
    <w:p w14:paraId="4D8977F4">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仿宋" w:cs="Times New Roman"/>
          <w:color w:val="auto"/>
          <w:kern w:val="0"/>
          <w:sz w:val="32"/>
          <w:szCs w:val="32"/>
          <w:highlight w:val="none"/>
          <w:lang w:val="en-US" w:eastAsia="zh-CN" w:bidi="ar"/>
        </w:rPr>
      </w:pPr>
      <w:r>
        <w:rPr>
          <w:rFonts w:hint="default" w:ascii="Times New Roman" w:hAnsi="Times New Roman" w:eastAsia="仿宋" w:cs="Times New Roman"/>
          <w:color w:val="auto"/>
          <w:kern w:val="0"/>
          <w:sz w:val="32"/>
          <w:szCs w:val="32"/>
          <w:highlight w:val="none"/>
          <w:lang w:val="en-US" w:eastAsia="zh-CN" w:bidi="ar"/>
        </w:rPr>
        <w:t>2.“一级”预警信息，经省中心和项目监督人员确认后，移送至各相关行政监督部门处理。</w:t>
      </w:r>
    </w:p>
    <w:p w14:paraId="2477B787">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jc w:val="center"/>
        <w:textAlignment w:val="auto"/>
        <w:rPr>
          <w:rFonts w:hint="default" w:ascii="Times New Roman" w:hAnsi="Times New Roman" w:eastAsia="黑体" w:cs="Times New Roman"/>
          <w:b w:val="0"/>
          <w:bCs w:val="0"/>
          <w:color w:val="auto"/>
          <w:kern w:val="0"/>
          <w:sz w:val="32"/>
          <w:szCs w:val="32"/>
          <w:lang w:val="en-US" w:eastAsia="zh-CN" w:bidi="ar"/>
        </w:rPr>
      </w:pPr>
      <w:r>
        <w:rPr>
          <w:rFonts w:hint="default" w:ascii="Times New Roman" w:hAnsi="Times New Roman" w:eastAsia="黑体" w:cs="Times New Roman"/>
          <w:b w:val="0"/>
          <w:bCs w:val="0"/>
          <w:color w:val="auto"/>
          <w:kern w:val="0"/>
          <w:sz w:val="32"/>
          <w:szCs w:val="32"/>
          <w:lang w:val="en-US" w:eastAsia="zh-CN" w:bidi="ar"/>
        </w:rPr>
        <w:t>第五章 见证服务档案归档和调阅</w:t>
      </w:r>
    </w:p>
    <w:p w14:paraId="5C480F81">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3" w:firstLineChars="2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b/>
          <w:bCs/>
          <w:color w:val="auto"/>
          <w:kern w:val="0"/>
          <w:sz w:val="32"/>
          <w:szCs w:val="32"/>
          <w:lang w:val="en-US" w:eastAsia="zh-CN" w:bidi="ar"/>
        </w:rPr>
        <w:t xml:space="preserve">第十七条 </w:t>
      </w:r>
      <w:r>
        <w:rPr>
          <w:rFonts w:hint="default" w:ascii="Times New Roman" w:hAnsi="Times New Roman" w:eastAsia="仿宋" w:cs="Times New Roman"/>
          <w:color w:val="auto"/>
          <w:kern w:val="0"/>
          <w:sz w:val="32"/>
          <w:szCs w:val="32"/>
          <w:lang w:val="en-US" w:eastAsia="zh-CN" w:bidi="ar"/>
        </w:rPr>
        <w:t>见证服务过程中产生的纸质资料、电子文书、音视频资料等，应当作为进场交易项目见证服务档案，按照档案管理相关规定进行归档保存。</w:t>
      </w:r>
    </w:p>
    <w:p w14:paraId="1BAEBD30">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3" w:firstLineChars="2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b/>
          <w:bCs/>
          <w:color w:val="auto"/>
          <w:kern w:val="0"/>
          <w:sz w:val="32"/>
          <w:szCs w:val="32"/>
          <w:lang w:val="en-US" w:eastAsia="zh-CN" w:bidi="ar"/>
        </w:rPr>
        <w:t>第十八条</w:t>
      </w:r>
      <w:r>
        <w:rPr>
          <w:rFonts w:hint="default" w:ascii="Times New Roman" w:hAnsi="Times New Roman" w:eastAsia="仿宋" w:cs="Times New Roman"/>
          <w:color w:val="auto"/>
          <w:kern w:val="0"/>
          <w:sz w:val="32"/>
          <w:szCs w:val="32"/>
          <w:lang w:val="en-US" w:eastAsia="zh-CN" w:bidi="ar"/>
        </w:rPr>
        <w:t xml:space="preserve"> 交易相关主体可依法依规向省中心申请办理《进场交易见证报告》（附件7—10）或调阅（包括</w:t>
      </w:r>
      <w:r>
        <w:rPr>
          <w:rFonts w:hint="eastAsia" w:ascii="Times New Roman" w:hAnsi="Times New Roman" w:eastAsia="方正仿宋_GB2312" w:cs="Times New Roman"/>
          <w:sz w:val="32"/>
          <w:szCs w:val="32"/>
          <w:lang w:val="en-US" w:eastAsia="zh-CN"/>
        </w:rPr>
        <w:t>但不限于</w:t>
      </w:r>
      <w:r>
        <w:rPr>
          <w:rFonts w:hint="default" w:ascii="Times New Roman" w:hAnsi="Times New Roman" w:eastAsia="方正仿宋_GB2312" w:cs="Times New Roman"/>
          <w:sz w:val="32"/>
          <w:szCs w:val="32"/>
          <w:lang w:val="en-US" w:eastAsia="zh-CN"/>
        </w:rPr>
        <w:t>查看、拷贝、复制等</w:t>
      </w:r>
      <w:r>
        <w:rPr>
          <w:rFonts w:hint="default" w:ascii="Times New Roman" w:hAnsi="Times New Roman" w:eastAsia="仿宋" w:cs="Times New Roman"/>
          <w:color w:val="auto"/>
          <w:kern w:val="0"/>
          <w:sz w:val="32"/>
          <w:szCs w:val="32"/>
          <w:lang w:val="en-US" w:eastAsia="zh-CN" w:bidi="ar"/>
        </w:rPr>
        <w:t>，下同）项目见证服务档案（附件11），并承担相应法律责任。</w:t>
      </w:r>
    </w:p>
    <w:p w14:paraId="031555BB">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3" w:firstLineChars="2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b/>
          <w:bCs/>
          <w:color w:val="auto"/>
          <w:kern w:val="0"/>
          <w:sz w:val="32"/>
          <w:szCs w:val="32"/>
          <w:lang w:val="en-US" w:eastAsia="zh-CN" w:bidi="ar"/>
        </w:rPr>
        <w:t>第十九条</w:t>
      </w:r>
      <w:r>
        <w:rPr>
          <w:rFonts w:hint="default" w:ascii="Times New Roman" w:hAnsi="Times New Roman" w:eastAsia="仿宋" w:cs="Times New Roman"/>
          <w:color w:val="auto"/>
          <w:kern w:val="0"/>
          <w:sz w:val="32"/>
          <w:szCs w:val="32"/>
          <w:lang w:val="en-US" w:eastAsia="zh-CN" w:bidi="ar"/>
        </w:rPr>
        <w:t xml:space="preserve"> 行政监督部门、司法机关、纪检监察部门和审计部门等需调阅项目见证服务档案的，参照第十八条执行。</w:t>
      </w:r>
    </w:p>
    <w:p w14:paraId="69CB56E9">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jc w:val="center"/>
        <w:textAlignment w:val="auto"/>
        <w:rPr>
          <w:rFonts w:hint="default" w:ascii="Times New Roman" w:hAnsi="Times New Roman" w:eastAsia="黑体" w:cs="Times New Roman"/>
          <w:b w:val="0"/>
          <w:bCs w:val="0"/>
          <w:color w:val="auto"/>
          <w:kern w:val="0"/>
          <w:sz w:val="32"/>
          <w:szCs w:val="32"/>
          <w:lang w:val="en-US" w:eastAsia="zh-CN" w:bidi="ar"/>
        </w:rPr>
      </w:pPr>
      <w:r>
        <w:rPr>
          <w:rFonts w:hint="default" w:ascii="Times New Roman" w:hAnsi="Times New Roman" w:eastAsia="黑体" w:cs="Times New Roman"/>
          <w:b w:val="0"/>
          <w:bCs w:val="0"/>
          <w:color w:val="auto"/>
          <w:kern w:val="0"/>
          <w:sz w:val="32"/>
          <w:szCs w:val="32"/>
          <w:lang w:val="en-US" w:eastAsia="zh-CN" w:bidi="ar"/>
        </w:rPr>
        <w:t>第六章 见证服务结果运用</w:t>
      </w:r>
    </w:p>
    <w:p w14:paraId="729A0CFE">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3" w:firstLineChars="2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b/>
          <w:bCs/>
          <w:color w:val="auto"/>
          <w:kern w:val="0"/>
          <w:sz w:val="32"/>
          <w:szCs w:val="32"/>
          <w:lang w:val="en-US" w:eastAsia="zh-CN" w:bidi="ar"/>
        </w:rPr>
        <w:t>第二十条</w:t>
      </w:r>
      <w:r>
        <w:rPr>
          <w:rFonts w:hint="default" w:ascii="Times New Roman" w:hAnsi="Times New Roman" w:eastAsia="仿宋" w:cs="Times New Roman"/>
          <w:color w:val="auto"/>
          <w:kern w:val="0"/>
          <w:sz w:val="32"/>
          <w:szCs w:val="32"/>
          <w:lang w:val="en-US" w:eastAsia="zh-CN" w:bidi="ar"/>
        </w:rPr>
        <w:t xml:space="preserve"> 见证预警信息移送反馈机制。</w:t>
      </w:r>
    </w:p>
    <w:p w14:paraId="7D78DFDE">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color w:val="auto"/>
          <w:kern w:val="0"/>
          <w:sz w:val="32"/>
          <w:szCs w:val="32"/>
          <w:lang w:val="en-US" w:eastAsia="zh-CN" w:bidi="ar"/>
        </w:rPr>
        <w:t>1.对见证服务中发现的不良、负面和违法违规异常行为及时记录和处理，与相关行政监督部门建立推送反馈机制。</w:t>
      </w:r>
    </w:p>
    <w:p w14:paraId="628F830F">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color w:val="auto"/>
          <w:kern w:val="0"/>
          <w:sz w:val="32"/>
          <w:szCs w:val="32"/>
          <w:lang w:val="en-US" w:eastAsia="zh-CN" w:bidi="ar"/>
        </w:rPr>
        <w:t>2.需由相关行政监督部门处理的，及时填写相关移送表格（附件12—17）进行记录、移送、存证。行政监督部门对移送的不良、负面和违法违规异常行为有异议的，省中心配合调取音视频等相关资料，协助行政监督部门处理。</w:t>
      </w:r>
    </w:p>
    <w:p w14:paraId="33248261">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3" w:firstLineChars="2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b/>
          <w:bCs/>
          <w:color w:val="auto"/>
          <w:kern w:val="0"/>
          <w:sz w:val="32"/>
          <w:szCs w:val="32"/>
          <w:lang w:val="en-US" w:eastAsia="zh-CN" w:bidi="ar"/>
        </w:rPr>
        <w:t>第二十一条</w:t>
      </w:r>
      <w:r>
        <w:rPr>
          <w:rFonts w:hint="default" w:ascii="Times New Roman" w:hAnsi="Times New Roman" w:eastAsia="仿宋" w:cs="Times New Roman"/>
          <w:color w:val="auto"/>
          <w:kern w:val="0"/>
          <w:sz w:val="32"/>
          <w:szCs w:val="32"/>
          <w:lang w:val="en-US" w:eastAsia="zh-CN" w:bidi="ar"/>
        </w:rPr>
        <w:t xml:space="preserve"> 见证信息公开和统计报告制度。通过交易受理大厅和专家等候区电子显示屏、四川省公共资源交易信息网曝光台、新闻媒体等，适时将行政监督部门对不良行为的处罚信息（信用信息）、核查结果</w:t>
      </w:r>
      <w:r>
        <w:rPr>
          <w:rFonts w:hint="eastAsia" w:ascii="Times New Roman" w:hAnsi="Times New Roman" w:eastAsia="仿宋" w:cs="Times New Roman"/>
          <w:color w:val="auto"/>
          <w:kern w:val="0"/>
          <w:sz w:val="32"/>
          <w:szCs w:val="32"/>
          <w:lang w:val="en-US" w:eastAsia="zh-CN" w:bidi="ar"/>
        </w:rPr>
        <w:t>以及相关见证信息</w:t>
      </w:r>
      <w:r>
        <w:rPr>
          <w:rFonts w:hint="default" w:ascii="Times New Roman" w:hAnsi="Times New Roman" w:eastAsia="仿宋" w:cs="Times New Roman"/>
          <w:color w:val="auto"/>
          <w:kern w:val="0"/>
          <w:sz w:val="32"/>
          <w:szCs w:val="32"/>
          <w:lang w:val="en-US" w:eastAsia="zh-CN" w:bidi="ar"/>
        </w:rPr>
        <w:t>进行公开。见证情况实行“月、季、半年、年报告”制度，省中心对交易项目进场交易见证情况按照项目类别进行分类统计</w:t>
      </w:r>
      <w:r>
        <w:rPr>
          <w:rFonts w:hint="default" w:ascii="Times New Roman" w:hAnsi="Times New Roman" w:eastAsia="仿宋" w:cs="Times New Roman"/>
          <w:strike w:val="0"/>
          <w:dstrike w:val="0"/>
          <w:color w:val="auto"/>
          <w:kern w:val="0"/>
          <w:sz w:val="32"/>
          <w:szCs w:val="32"/>
          <w:lang w:val="en-US" w:eastAsia="zh-CN" w:bidi="ar"/>
        </w:rPr>
        <w:t>（附件18—19）</w:t>
      </w:r>
      <w:r>
        <w:rPr>
          <w:rFonts w:hint="default" w:ascii="Times New Roman" w:hAnsi="Times New Roman" w:eastAsia="仿宋" w:cs="Times New Roman"/>
          <w:color w:val="auto"/>
          <w:kern w:val="0"/>
          <w:sz w:val="32"/>
          <w:szCs w:val="32"/>
          <w:lang w:val="en-US" w:eastAsia="zh-CN" w:bidi="ar"/>
        </w:rPr>
        <w:t>。</w:t>
      </w:r>
    </w:p>
    <w:p w14:paraId="02A86917">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3" w:firstLineChars="200"/>
        <w:jc w:val="both"/>
        <w:textAlignment w:val="auto"/>
        <w:rPr>
          <w:rFonts w:hint="default" w:ascii="Times New Roman" w:hAnsi="Times New Roman" w:eastAsia="仿宋" w:cs="Times New Roman"/>
          <w:color w:val="auto"/>
          <w:kern w:val="0"/>
          <w:sz w:val="32"/>
          <w:szCs w:val="32"/>
          <w:highlight w:val="none"/>
          <w:lang w:val="en-US" w:eastAsia="zh-CN" w:bidi="ar"/>
        </w:rPr>
      </w:pPr>
      <w:r>
        <w:rPr>
          <w:rFonts w:hint="default" w:ascii="Times New Roman" w:hAnsi="Times New Roman" w:eastAsia="仿宋" w:cs="Times New Roman"/>
          <w:b/>
          <w:bCs/>
          <w:color w:val="auto"/>
          <w:kern w:val="0"/>
          <w:sz w:val="32"/>
          <w:szCs w:val="32"/>
          <w:lang w:val="en-US" w:eastAsia="zh-CN" w:bidi="ar"/>
        </w:rPr>
        <w:t>第二十二条</w:t>
      </w:r>
      <w:r>
        <w:rPr>
          <w:rFonts w:hint="default" w:ascii="Times New Roman" w:hAnsi="Times New Roman" w:eastAsia="仿宋" w:cs="Times New Roman"/>
          <w:color w:val="auto"/>
          <w:kern w:val="0"/>
          <w:sz w:val="32"/>
          <w:szCs w:val="32"/>
          <w:lang w:val="en-US" w:eastAsia="zh-CN" w:bidi="ar"/>
        </w:rPr>
        <w:t xml:space="preserve"> </w:t>
      </w:r>
      <w:r>
        <w:rPr>
          <w:rFonts w:hint="default" w:ascii="Times New Roman" w:hAnsi="Times New Roman" w:eastAsia="仿宋" w:cs="Times New Roman"/>
          <w:color w:val="auto"/>
          <w:kern w:val="0"/>
          <w:sz w:val="32"/>
          <w:szCs w:val="32"/>
          <w:highlight w:val="none"/>
          <w:lang w:val="en-US" w:eastAsia="zh-CN" w:bidi="ar"/>
        </w:rPr>
        <w:t>见证信息和线索研判处置、案件移送协调机制。见证工作人员要认真总结见证工作中好的做法和经验，搜集、整理见证中的案件（例），及时将见证信息和案件（例）按照统一格式</w:t>
      </w:r>
      <w:r>
        <w:rPr>
          <w:rFonts w:hint="default" w:ascii="Times New Roman" w:hAnsi="Times New Roman" w:eastAsia="仿宋" w:cs="Times New Roman"/>
          <w:strike w:val="0"/>
          <w:dstrike w:val="0"/>
          <w:color w:val="auto"/>
          <w:kern w:val="0"/>
          <w:sz w:val="32"/>
          <w:szCs w:val="32"/>
          <w:highlight w:val="none"/>
          <w:lang w:val="en-US" w:eastAsia="zh-CN" w:bidi="ar"/>
        </w:rPr>
        <w:t>（附件20）</w:t>
      </w:r>
      <w:r>
        <w:rPr>
          <w:rFonts w:hint="default" w:ascii="Times New Roman" w:hAnsi="Times New Roman" w:eastAsia="仿宋" w:cs="Times New Roman"/>
          <w:color w:val="auto"/>
          <w:kern w:val="0"/>
          <w:sz w:val="32"/>
          <w:szCs w:val="32"/>
          <w:highlight w:val="none"/>
          <w:lang w:val="en-US" w:eastAsia="zh-CN" w:bidi="ar"/>
        </w:rPr>
        <w:t>报省中心</w:t>
      </w:r>
      <w:r>
        <w:rPr>
          <w:rFonts w:hint="eastAsia" w:ascii="Times New Roman" w:hAnsi="Times New Roman" w:eastAsia="仿宋" w:cs="Times New Roman"/>
          <w:color w:val="auto"/>
          <w:kern w:val="0"/>
          <w:sz w:val="32"/>
          <w:szCs w:val="32"/>
          <w:highlight w:val="none"/>
          <w:lang w:val="en-US" w:eastAsia="zh-CN" w:bidi="ar"/>
        </w:rPr>
        <w:t>领导批准</w:t>
      </w:r>
      <w:r>
        <w:rPr>
          <w:rFonts w:hint="default" w:ascii="Times New Roman" w:hAnsi="Times New Roman" w:eastAsia="仿宋" w:cs="Times New Roman"/>
          <w:color w:val="auto"/>
          <w:kern w:val="0"/>
          <w:sz w:val="32"/>
          <w:szCs w:val="32"/>
          <w:highlight w:val="none"/>
          <w:lang w:val="en-US" w:eastAsia="zh-CN" w:bidi="ar"/>
        </w:rPr>
        <w:t>后报送或移送。</w:t>
      </w:r>
    </w:p>
    <w:p w14:paraId="3B98D928">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jc w:val="center"/>
        <w:textAlignment w:val="auto"/>
        <w:rPr>
          <w:rFonts w:hint="default" w:ascii="Times New Roman" w:hAnsi="Times New Roman" w:eastAsia="黑体" w:cs="Times New Roman"/>
          <w:color w:val="auto"/>
          <w:kern w:val="0"/>
          <w:sz w:val="32"/>
          <w:szCs w:val="32"/>
          <w:lang w:val="en-US" w:eastAsia="zh-CN" w:bidi="ar"/>
        </w:rPr>
      </w:pPr>
      <w:r>
        <w:rPr>
          <w:rFonts w:hint="default" w:ascii="Times New Roman" w:hAnsi="Times New Roman" w:eastAsia="黑体" w:cs="Times New Roman"/>
          <w:b w:val="0"/>
          <w:bCs w:val="0"/>
          <w:color w:val="auto"/>
          <w:kern w:val="0"/>
          <w:sz w:val="32"/>
          <w:szCs w:val="32"/>
          <w:lang w:val="en-US" w:eastAsia="zh-CN" w:bidi="ar"/>
        </w:rPr>
        <w:t>第七章 附则</w:t>
      </w:r>
    </w:p>
    <w:p w14:paraId="2E64AE1C">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3" w:firstLineChars="2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b/>
          <w:bCs/>
          <w:color w:val="auto"/>
          <w:kern w:val="0"/>
          <w:sz w:val="32"/>
          <w:szCs w:val="32"/>
          <w:lang w:val="en-US" w:eastAsia="zh-CN" w:bidi="ar"/>
        </w:rPr>
        <w:t xml:space="preserve">第二十三条 </w:t>
      </w:r>
      <w:r>
        <w:rPr>
          <w:rFonts w:hint="default" w:ascii="Times New Roman" w:hAnsi="Times New Roman" w:eastAsia="仿宋" w:cs="Times New Roman"/>
          <w:color w:val="auto"/>
          <w:kern w:val="0"/>
          <w:sz w:val="32"/>
          <w:szCs w:val="32"/>
          <w:lang w:val="en-US" w:eastAsia="zh-CN" w:bidi="ar"/>
        </w:rPr>
        <w:t>远程异地评标项目副场的见证服务，按照相关要求执行。</w:t>
      </w:r>
    </w:p>
    <w:p w14:paraId="1A11030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226" w:firstLine="643" w:firstLineChars="200"/>
        <w:jc w:val="both"/>
        <w:textAlignment w:val="auto"/>
        <w:rPr>
          <w:rFonts w:hint="default" w:ascii="Times New Roman" w:hAnsi="Times New Roman" w:cs="Times New Roman"/>
          <w:color w:val="auto"/>
          <w:sz w:val="32"/>
          <w:szCs w:val="32"/>
        </w:rPr>
      </w:pPr>
      <w:r>
        <w:rPr>
          <w:rFonts w:hint="default" w:ascii="Times New Roman" w:hAnsi="Times New Roman" w:eastAsia="仿宋" w:cs="Times New Roman"/>
          <w:b/>
          <w:bCs/>
          <w:color w:val="auto"/>
          <w:kern w:val="0"/>
          <w:sz w:val="32"/>
          <w:szCs w:val="32"/>
          <w:lang w:val="en-US" w:eastAsia="zh-CN" w:bidi="ar"/>
        </w:rPr>
        <w:t xml:space="preserve">第二十四条 </w:t>
      </w:r>
      <w:r>
        <w:rPr>
          <w:rFonts w:hint="default" w:ascii="Times New Roman" w:hAnsi="Times New Roman" w:eastAsia="仿宋" w:cs="Times New Roman"/>
          <w:i w:val="0"/>
          <w:caps w:val="0"/>
          <w:color w:val="auto"/>
          <w:spacing w:val="0"/>
          <w:sz w:val="32"/>
          <w:szCs w:val="32"/>
          <w:shd w:val="clear" w:fill="FFFFFF"/>
        </w:rPr>
        <w:t>国家法律、法规及政府相关部门另有规定的，从其规定。</w:t>
      </w:r>
    </w:p>
    <w:p w14:paraId="180E0091">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3" w:firstLineChars="2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b/>
          <w:bCs/>
          <w:color w:val="auto"/>
          <w:kern w:val="0"/>
          <w:sz w:val="32"/>
          <w:szCs w:val="32"/>
          <w:lang w:val="en-US" w:eastAsia="zh-CN" w:bidi="ar"/>
        </w:rPr>
        <w:t xml:space="preserve">第二十五条 </w:t>
      </w:r>
      <w:r>
        <w:rPr>
          <w:rFonts w:hint="default" w:ascii="Times New Roman" w:hAnsi="Times New Roman" w:eastAsia="仿宋" w:cs="Times New Roman"/>
          <w:color w:val="auto"/>
          <w:kern w:val="0"/>
          <w:sz w:val="32"/>
          <w:szCs w:val="32"/>
          <w:lang w:val="en-US" w:eastAsia="zh-CN" w:bidi="ar"/>
        </w:rPr>
        <w:t>各市（州）、县（市、区）公共资源交易服务中心可参照执行。</w:t>
      </w:r>
    </w:p>
    <w:p w14:paraId="6AC4C0C7">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3" w:firstLineChars="2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b/>
          <w:bCs/>
          <w:color w:val="auto"/>
          <w:kern w:val="0"/>
          <w:sz w:val="32"/>
          <w:szCs w:val="32"/>
          <w:lang w:val="en-US" w:eastAsia="zh-CN" w:bidi="ar"/>
        </w:rPr>
        <w:t>第二十六条</w:t>
      </w:r>
      <w:r>
        <w:rPr>
          <w:rFonts w:hint="default" w:ascii="Times New Roman" w:hAnsi="Times New Roman" w:eastAsia="仿宋" w:cs="Times New Roman"/>
          <w:color w:val="auto"/>
          <w:kern w:val="0"/>
          <w:sz w:val="32"/>
          <w:szCs w:val="32"/>
          <w:lang w:val="en-US" w:eastAsia="zh-CN" w:bidi="ar"/>
        </w:rPr>
        <w:t xml:space="preserve"> 本办法由四川省政府政务服务和公共资源交易服务中心负责解释。</w:t>
      </w:r>
    </w:p>
    <w:p w14:paraId="16632BC6">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3" w:firstLineChars="2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b/>
          <w:bCs/>
          <w:color w:val="auto"/>
          <w:kern w:val="0"/>
          <w:sz w:val="32"/>
          <w:szCs w:val="32"/>
          <w:lang w:val="en-US" w:eastAsia="zh-CN" w:bidi="ar"/>
        </w:rPr>
        <w:t>第二十七条</w:t>
      </w:r>
      <w:r>
        <w:rPr>
          <w:rFonts w:hint="default" w:ascii="Times New Roman" w:hAnsi="Times New Roman" w:eastAsia="仿宋" w:cs="Times New Roman"/>
          <w:color w:val="auto"/>
          <w:kern w:val="0"/>
          <w:sz w:val="32"/>
          <w:szCs w:val="32"/>
          <w:lang w:val="en-US" w:eastAsia="zh-CN" w:bidi="ar"/>
        </w:rPr>
        <w:t xml:space="preserve"> 本办法自发布之日起实施。</w:t>
      </w:r>
    </w:p>
    <w:p w14:paraId="35C76572">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仿宋" w:cs="Times New Roman"/>
          <w:color w:val="auto"/>
          <w:kern w:val="0"/>
          <w:sz w:val="32"/>
          <w:szCs w:val="32"/>
          <w:lang w:val="en-US" w:eastAsia="zh-CN" w:bidi="ar"/>
        </w:rPr>
      </w:pPr>
    </w:p>
    <w:p w14:paraId="481F3230">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color w:val="auto"/>
          <w:kern w:val="0"/>
          <w:sz w:val="32"/>
          <w:szCs w:val="32"/>
          <w:lang w:val="en-US" w:eastAsia="zh-CN" w:bidi="ar"/>
        </w:rPr>
        <w:t>附件：1.受理环节见证服务清单</w:t>
      </w:r>
    </w:p>
    <w:p w14:paraId="50DA73F7">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1600" w:firstLineChars="5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color w:val="auto"/>
          <w:kern w:val="0"/>
          <w:sz w:val="32"/>
          <w:szCs w:val="32"/>
          <w:lang w:val="en-US" w:eastAsia="zh-CN" w:bidi="ar"/>
        </w:rPr>
        <w:t>2.开标环节见证服务清单</w:t>
      </w:r>
    </w:p>
    <w:p w14:paraId="0068A704">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1600" w:firstLineChars="5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color w:val="auto"/>
          <w:kern w:val="0"/>
          <w:sz w:val="32"/>
          <w:szCs w:val="32"/>
          <w:lang w:val="en-US" w:eastAsia="zh-CN" w:bidi="ar"/>
        </w:rPr>
        <w:t>3.评标（审）环节见证服务清单</w:t>
      </w:r>
    </w:p>
    <w:p w14:paraId="5B646E56">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1600" w:firstLineChars="5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color w:val="auto"/>
          <w:kern w:val="0"/>
          <w:sz w:val="32"/>
          <w:szCs w:val="32"/>
          <w:lang w:val="en-US" w:eastAsia="zh-CN" w:bidi="ar"/>
        </w:rPr>
        <w:t>4.专家等候室见证服务清单</w:t>
      </w:r>
    </w:p>
    <w:p w14:paraId="33E0E7F1">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1600" w:firstLineChars="5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color w:val="auto"/>
          <w:kern w:val="0"/>
          <w:sz w:val="32"/>
          <w:szCs w:val="32"/>
          <w:lang w:val="en-US" w:eastAsia="zh-CN" w:bidi="ar"/>
        </w:rPr>
        <w:t>5.专家抽取室见证服务清单</w:t>
      </w:r>
    </w:p>
    <w:p w14:paraId="0402E655">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1600" w:firstLineChars="5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color w:val="auto"/>
          <w:kern w:val="0"/>
          <w:sz w:val="32"/>
          <w:szCs w:val="32"/>
          <w:lang w:val="en-US" w:eastAsia="zh-CN" w:bidi="ar"/>
        </w:rPr>
        <w:t>6.监控室见证服务清单</w:t>
      </w:r>
    </w:p>
    <w:p w14:paraId="56615D79">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1600" w:firstLineChars="5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color w:val="auto"/>
          <w:kern w:val="0"/>
          <w:sz w:val="32"/>
          <w:szCs w:val="32"/>
          <w:lang w:val="en-US" w:eastAsia="zh-CN" w:bidi="ar"/>
        </w:rPr>
        <w:t>7.工程建设项目进场交易见证报告</w:t>
      </w:r>
    </w:p>
    <w:p w14:paraId="3E370382">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1600" w:firstLineChars="5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color w:val="auto"/>
          <w:kern w:val="0"/>
          <w:sz w:val="32"/>
          <w:szCs w:val="32"/>
          <w:lang w:val="en-US" w:eastAsia="zh-CN" w:bidi="ar"/>
        </w:rPr>
        <w:t>8.国有资产处置项目进场交易见证报告</w:t>
      </w:r>
    </w:p>
    <w:p w14:paraId="17BDECB0">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1600" w:firstLineChars="5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color w:val="auto"/>
          <w:kern w:val="0"/>
          <w:sz w:val="32"/>
          <w:szCs w:val="32"/>
          <w:lang w:val="en-US" w:eastAsia="zh-CN" w:bidi="ar"/>
        </w:rPr>
        <w:t>9.矿业权出让项目进场交易见证报告</w:t>
      </w:r>
    </w:p>
    <w:p w14:paraId="2F44E409">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1600" w:firstLineChars="5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color w:val="auto"/>
          <w:kern w:val="0"/>
          <w:sz w:val="32"/>
          <w:szCs w:val="32"/>
          <w:lang w:val="en-US" w:eastAsia="zh-CN" w:bidi="ar"/>
        </w:rPr>
        <w:t>10.政府采购项目进场交易见证报告</w:t>
      </w:r>
    </w:p>
    <w:p w14:paraId="4604F8AC">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1600" w:firstLineChars="5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color w:val="auto"/>
          <w:kern w:val="0"/>
          <w:sz w:val="32"/>
          <w:szCs w:val="32"/>
          <w:lang w:val="en-US" w:eastAsia="zh-CN" w:bidi="ar"/>
        </w:rPr>
        <w:t>11.进场交易项目档案调阅申请表</w:t>
      </w:r>
    </w:p>
    <w:p w14:paraId="5744517C">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1600" w:firstLineChars="5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color w:val="auto"/>
          <w:kern w:val="0"/>
          <w:sz w:val="32"/>
          <w:szCs w:val="32"/>
          <w:lang w:val="en-US" w:eastAsia="zh-CN" w:bidi="ar"/>
        </w:rPr>
        <w:t>12.进场交易项目异常情况见证处理内部流转表</w:t>
      </w:r>
    </w:p>
    <w:p w14:paraId="28CC5091">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1600" w:firstLineChars="5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color w:val="auto"/>
          <w:kern w:val="0"/>
          <w:sz w:val="32"/>
          <w:szCs w:val="32"/>
          <w:lang w:val="en-US" w:eastAsia="zh-CN" w:bidi="ar"/>
        </w:rPr>
        <w:t>13.代理机构不良行为现场见证移送表</w:t>
      </w:r>
    </w:p>
    <w:p w14:paraId="16694E56">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1600" w:firstLineChars="5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color w:val="auto"/>
          <w:kern w:val="0"/>
          <w:sz w:val="32"/>
          <w:szCs w:val="32"/>
          <w:lang w:val="en-US" w:eastAsia="zh-CN" w:bidi="ar"/>
        </w:rPr>
        <w:t>14.评标（审）专家负面行为现场见证移送表</w:t>
      </w:r>
    </w:p>
    <w:p w14:paraId="1662D820">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1600" w:firstLineChars="5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color w:val="auto"/>
          <w:kern w:val="0"/>
          <w:sz w:val="32"/>
          <w:szCs w:val="32"/>
          <w:lang w:val="en-US" w:eastAsia="zh-CN" w:bidi="ar"/>
        </w:rPr>
        <w:t>15.招标（采购）人不良行为现场见证移送表</w:t>
      </w:r>
    </w:p>
    <w:p w14:paraId="0992C182">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1600" w:firstLineChars="5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color w:val="auto"/>
          <w:kern w:val="0"/>
          <w:sz w:val="32"/>
          <w:szCs w:val="32"/>
          <w:lang w:val="en-US" w:eastAsia="zh-CN" w:bidi="ar"/>
        </w:rPr>
        <w:t>16.投标人（供应商）不良行为现场见证移送表</w:t>
      </w:r>
    </w:p>
    <w:p w14:paraId="7095B754">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1600" w:firstLineChars="5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color w:val="auto"/>
          <w:kern w:val="0"/>
          <w:sz w:val="32"/>
          <w:szCs w:val="32"/>
          <w:lang w:val="en-US" w:eastAsia="zh-CN" w:bidi="ar"/>
        </w:rPr>
        <w:t>17.项目监督</w:t>
      </w:r>
      <w:r>
        <w:rPr>
          <w:rFonts w:hint="eastAsia" w:ascii="Times New Roman" w:hAnsi="Times New Roman" w:eastAsia="仿宋" w:cs="Times New Roman"/>
          <w:color w:val="auto"/>
          <w:kern w:val="0"/>
          <w:sz w:val="32"/>
          <w:szCs w:val="32"/>
          <w:lang w:val="en-US" w:eastAsia="zh-CN" w:bidi="ar"/>
        </w:rPr>
        <w:t>人员</w:t>
      </w:r>
      <w:r>
        <w:rPr>
          <w:rFonts w:hint="default" w:ascii="Times New Roman" w:hAnsi="Times New Roman" w:eastAsia="仿宋" w:cs="Times New Roman"/>
          <w:color w:val="auto"/>
          <w:kern w:val="0"/>
          <w:sz w:val="32"/>
          <w:szCs w:val="32"/>
          <w:lang w:val="en-US" w:eastAsia="zh-CN" w:bidi="ar"/>
        </w:rPr>
        <w:t>不良行为现场见证移送表</w:t>
      </w:r>
    </w:p>
    <w:p w14:paraId="1E63DC96">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1600" w:firstLineChars="5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color w:val="auto"/>
          <w:kern w:val="0"/>
          <w:sz w:val="32"/>
          <w:szCs w:val="32"/>
          <w:lang w:val="en-US" w:eastAsia="zh-CN" w:bidi="ar"/>
        </w:rPr>
        <w:t>18.进场交易项目现场异常情况见证统计表</w:t>
      </w:r>
    </w:p>
    <w:p w14:paraId="6C051FE5">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1600" w:firstLineChars="5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color w:val="auto"/>
          <w:kern w:val="0"/>
          <w:sz w:val="32"/>
          <w:szCs w:val="32"/>
          <w:lang w:val="en-US" w:eastAsia="zh-CN" w:bidi="ar"/>
        </w:rPr>
        <w:t>19.进场交易项目见证情况汇总统计表</w:t>
      </w:r>
    </w:p>
    <w:p w14:paraId="3A9BA48E">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1600" w:firstLineChars="500"/>
        <w:jc w:val="both"/>
        <w:textAlignment w:val="auto"/>
        <w:rPr>
          <w:rFonts w:hint="default" w:ascii="Times New Roman" w:hAnsi="Times New Roman" w:eastAsia="仿宋" w:cs="Times New Roman"/>
          <w:color w:val="auto"/>
          <w:kern w:val="0"/>
          <w:sz w:val="32"/>
          <w:szCs w:val="32"/>
          <w:lang w:val="en-US" w:eastAsia="zh-CN" w:bidi="ar"/>
        </w:rPr>
      </w:pPr>
      <w:r>
        <w:rPr>
          <w:rFonts w:hint="default" w:ascii="Times New Roman" w:hAnsi="Times New Roman" w:eastAsia="仿宋" w:cs="Times New Roman"/>
          <w:color w:val="auto"/>
          <w:kern w:val="0"/>
          <w:sz w:val="32"/>
          <w:szCs w:val="32"/>
          <w:lang w:val="en-US" w:eastAsia="zh-CN" w:bidi="ar"/>
        </w:rPr>
        <w:t>20.进场交易项目</w:t>
      </w:r>
      <w:r>
        <w:rPr>
          <w:rFonts w:hint="default" w:ascii="Times New Roman" w:hAnsi="Times New Roman" w:eastAsia="仿宋" w:cs="Times New Roman"/>
          <w:color w:val="auto"/>
          <w:kern w:val="0"/>
          <w:sz w:val="32"/>
          <w:szCs w:val="32"/>
          <w:highlight w:val="none"/>
          <w:lang w:val="en-US" w:eastAsia="zh-CN" w:bidi="ar"/>
        </w:rPr>
        <w:t>案件（例）</w:t>
      </w:r>
      <w:r>
        <w:rPr>
          <w:rFonts w:hint="default" w:ascii="Times New Roman" w:hAnsi="Times New Roman" w:eastAsia="仿宋" w:cs="Times New Roman"/>
          <w:color w:val="auto"/>
          <w:kern w:val="0"/>
          <w:sz w:val="32"/>
          <w:szCs w:val="32"/>
          <w:lang w:val="en-US" w:eastAsia="zh-CN" w:bidi="ar"/>
        </w:rPr>
        <w:t>见证呈报表</w:t>
      </w:r>
    </w:p>
    <w:p w14:paraId="679B6921">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1600" w:firstLineChars="500"/>
        <w:jc w:val="both"/>
        <w:textAlignment w:val="auto"/>
        <w:rPr>
          <w:rFonts w:hint="default" w:ascii="Times New Roman" w:hAnsi="Times New Roman" w:eastAsia="仿宋" w:cs="Times New Roman"/>
          <w:color w:val="auto"/>
          <w:kern w:val="0"/>
          <w:sz w:val="32"/>
          <w:szCs w:val="32"/>
          <w:lang w:val="en-US" w:eastAsia="zh-CN" w:bidi="ar"/>
        </w:rPr>
      </w:pPr>
    </w:p>
    <w:p w14:paraId="25732E10">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1600" w:firstLineChars="500"/>
        <w:jc w:val="both"/>
        <w:textAlignment w:val="auto"/>
        <w:rPr>
          <w:rFonts w:hint="default" w:ascii="Times New Roman" w:hAnsi="Times New Roman" w:eastAsia="仿宋" w:cs="Times New Roman"/>
          <w:color w:val="auto"/>
          <w:kern w:val="0"/>
          <w:sz w:val="32"/>
          <w:szCs w:val="32"/>
          <w:lang w:val="en-US" w:eastAsia="zh-CN" w:bidi="ar"/>
        </w:rPr>
      </w:pPr>
    </w:p>
    <w:p w14:paraId="04E7A336">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1600" w:firstLineChars="500"/>
        <w:jc w:val="both"/>
        <w:textAlignment w:val="auto"/>
        <w:rPr>
          <w:rFonts w:hint="default" w:ascii="Times New Roman" w:hAnsi="Times New Roman" w:eastAsia="仿宋" w:cs="Times New Roman"/>
          <w:color w:val="auto"/>
          <w:kern w:val="0"/>
          <w:sz w:val="32"/>
          <w:szCs w:val="32"/>
          <w:lang w:val="en-US" w:eastAsia="zh-CN" w:bidi="ar"/>
        </w:rPr>
      </w:pPr>
    </w:p>
    <w:p w14:paraId="629F34DF">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1600" w:firstLineChars="500"/>
        <w:jc w:val="both"/>
        <w:textAlignment w:val="auto"/>
        <w:rPr>
          <w:rFonts w:hint="default" w:ascii="Times New Roman" w:hAnsi="Times New Roman" w:eastAsia="仿宋" w:cs="Times New Roman"/>
          <w:color w:val="auto"/>
          <w:kern w:val="0"/>
          <w:sz w:val="32"/>
          <w:szCs w:val="32"/>
          <w:lang w:val="en-US" w:eastAsia="zh-CN" w:bidi="ar"/>
        </w:rPr>
      </w:pPr>
    </w:p>
    <w:p w14:paraId="77E38EEC">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1600" w:firstLineChars="500"/>
        <w:jc w:val="both"/>
        <w:textAlignment w:val="auto"/>
        <w:rPr>
          <w:rFonts w:hint="default" w:ascii="Times New Roman" w:hAnsi="Times New Roman" w:eastAsia="仿宋" w:cs="Times New Roman"/>
          <w:color w:val="auto"/>
          <w:kern w:val="0"/>
          <w:sz w:val="32"/>
          <w:szCs w:val="32"/>
          <w:lang w:val="en-US" w:eastAsia="zh-CN" w:bidi="ar"/>
        </w:rPr>
      </w:pPr>
    </w:p>
    <w:p w14:paraId="00EA759F">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jc w:val="both"/>
        <w:textAlignment w:val="auto"/>
        <w:rPr>
          <w:rFonts w:hint="default" w:ascii="Times New Roman" w:hAnsi="Times New Roman" w:eastAsia="仿宋" w:cs="Times New Roman"/>
          <w:color w:val="auto"/>
          <w:kern w:val="0"/>
          <w:sz w:val="32"/>
          <w:szCs w:val="32"/>
          <w:lang w:val="en-US" w:eastAsia="zh-CN" w:bidi="ar"/>
        </w:rPr>
      </w:pPr>
    </w:p>
    <w:p w14:paraId="0AF572F7">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jc w:val="both"/>
        <w:textAlignment w:val="auto"/>
        <w:rPr>
          <w:rFonts w:hint="default" w:ascii="Times New Roman" w:hAnsi="Times New Roman" w:eastAsia="仿宋" w:cs="Times New Roman"/>
          <w:color w:val="auto"/>
          <w:kern w:val="0"/>
          <w:sz w:val="32"/>
          <w:szCs w:val="32"/>
          <w:lang w:val="en-US" w:eastAsia="zh-CN" w:bidi="ar"/>
        </w:rPr>
        <w:sectPr>
          <w:footerReference r:id="rId4" w:type="default"/>
          <w:pgSz w:w="11906" w:h="16838"/>
          <w:pgMar w:top="2098" w:right="1474" w:bottom="1984" w:left="1587" w:header="851" w:footer="1587" w:gutter="0"/>
          <w:pgNumType w:fmt="decimal"/>
          <w:cols w:space="425" w:num="1"/>
          <w:docGrid w:type="lines" w:linePitch="312" w:charSpace="0"/>
        </w:sectPr>
      </w:pPr>
    </w:p>
    <w:p w14:paraId="40B31201">
      <w:pPr>
        <w:jc w:val="both"/>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附件1</w:t>
      </w:r>
    </w:p>
    <w:p w14:paraId="6F772EE6">
      <w:pPr>
        <w:jc w:val="center"/>
        <w:rPr>
          <w:rFonts w:hint="default" w:ascii="Times New Roman" w:hAnsi="Times New Roman" w:eastAsia="方正小标宋简体" w:cs="Times New Roman"/>
          <w:color w:val="auto"/>
          <w:sz w:val="44"/>
          <w:szCs w:val="44"/>
          <w:highlight w:val="none"/>
          <w:lang w:val="en-US" w:eastAsia="zh-CN"/>
        </w:rPr>
      </w:pPr>
      <w:r>
        <w:rPr>
          <w:rFonts w:hint="default" w:ascii="Times New Roman" w:hAnsi="Times New Roman" w:eastAsia="方正小标宋简体" w:cs="Times New Roman"/>
          <w:color w:val="auto"/>
          <w:sz w:val="44"/>
          <w:szCs w:val="44"/>
          <w:highlight w:val="none"/>
          <w:lang w:val="en-US" w:eastAsia="zh-CN"/>
        </w:rPr>
        <w:t>受理环节见证服务清单</w:t>
      </w:r>
    </w:p>
    <w:tbl>
      <w:tblPr>
        <w:tblStyle w:val="1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1621"/>
        <w:gridCol w:w="5479"/>
        <w:gridCol w:w="5229"/>
        <w:gridCol w:w="1026"/>
      </w:tblGrid>
      <w:tr w14:paraId="18163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6EDF437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序号</w:t>
            </w:r>
          </w:p>
        </w:tc>
        <w:tc>
          <w:tcPr>
            <w:tcW w:w="572" w:type="pct"/>
            <w:vAlign w:val="center"/>
          </w:tcPr>
          <w:p w14:paraId="01BCAEA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见证对象</w:t>
            </w:r>
          </w:p>
        </w:tc>
        <w:tc>
          <w:tcPr>
            <w:tcW w:w="1933" w:type="pct"/>
            <w:vAlign w:val="center"/>
          </w:tcPr>
          <w:p w14:paraId="6D64E30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见证内容</w:t>
            </w:r>
          </w:p>
        </w:tc>
        <w:tc>
          <w:tcPr>
            <w:tcW w:w="1845" w:type="pct"/>
            <w:vAlign w:val="center"/>
          </w:tcPr>
          <w:p w14:paraId="36EC3AF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依据</w:t>
            </w:r>
          </w:p>
        </w:tc>
        <w:tc>
          <w:tcPr>
            <w:tcW w:w="362" w:type="pct"/>
            <w:vAlign w:val="center"/>
          </w:tcPr>
          <w:p w14:paraId="27AC5BB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预警</w:t>
            </w:r>
          </w:p>
          <w:p w14:paraId="0C1B82C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级别</w:t>
            </w:r>
          </w:p>
        </w:tc>
      </w:tr>
      <w:tr w14:paraId="77BDD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285" w:type="pct"/>
            <w:vAlign w:val="center"/>
          </w:tcPr>
          <w:p w14:paraId="4C9A755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w:t>
            </w:r>
          </w:p>
        </w:tc>
        <w:tc>
          <w:tcPr>
            <w:tcW w:w="572" w:type="pct"/>
            <w:vMerge w:val="restart"/>
            <w:vAlign w:val="center"/>
          </w:tcPr>
          <w:p w14:paraId="18F9577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招标人</w:t>
            </w:r>
          </w:p>
          <w:p w14:paraId="121617B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（采购人、</w:t>
            </w:r>
          </w:p>
          <w:p w14:paraId="7D647D4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出让人、</w:t>
            </w:r>
          </w:p>
          <w:p w14:paraId="4F0AD6A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代理机构）</w:t>
            </w:r>
          </w:p>
        </w:tc>
        <w:tc>
          <w:tcPr>
            <w:tcW w:w="1933" w:type="pct"/>
            <w:vAlign w:val="center"/>
          </w:tcPr>
          <w:p w14:paraId="07B311D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未</w:t>
            </w:r>
            <w:r>
              <w:rPr>
                <w:rFonts w:hint="default" w:ascii="Times New Roman" w:hAnsi="Times New Roman" w:eastAsia="仿宋" w:cs="Times New Roman"/>
                <w:color w:val="auto"/>
                <w:sz w:val="24"/>
                <w:szCs w:val="24"/>
                <w:highlight w:val="none"/>
                <w:vertAlign w:val="baseline"/>
                <w:lang w:val="en-US" w:eastAsia="zh-CN"/>
              </w:rPr>
              <w:t>按照公共资源交易目录及相关要求进场交易。</w:t>
            </w:r>
          </w:p>
        </w:tc>
        <w:tc>
          <w:tcPr>
            <w:tcW w:w="1845" w:type="pct"/>
            <w:vMerge w:val="restart"/>
            <w:vAlign w:val="center"/>
          </w:tcPr>
          <w:p w14:paraId="7C5605B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《中华人民共和国政府采购法》及实施条例</w:t>
            </w:r>
          </w:p>
          <w:p w14:paraId="4D3AFAC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《中华人民共和国招标投标法》及实施条例</w:t>
            </w:r>
          </w:p>
          <w:p w14:paraId="72D3D49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《四川省公共资源交易平台管理实施细则》</w:t>
            </w:r>
          </w:p>
          <w:p w14:paraId="584DB703">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（川办发〔2020〕78号）</w:t>
            </w:r>
          </w:p>
          <w:p w14:paraId="0524CB2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《四川省公共资源交易现场服务公开工作规范》</w:t>
            </w:r>
          </w:p>
          <w:p w14:paraId="2923B22E">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（川政公〔2019〕17号）</w:t>
            </w:r>
          </w:p>
          <w:p w14:paraId="14FC5E2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2" w:type="pct"/>
            <w:vAlign w:val="center"/>
          </w:tcPr>
          <w:p w14:paraId="0D3721F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6768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85" w:type="pct"/>
            <w:vAlign w:val="center"/>
          </w:tcPr>
          <w:p w14:paraId="33E2D06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2</w:t>
            </w:r>
          </w:p>
        </w:tc>
        <w:tc>
          <w:tcPr>
            <w:tcW w:w="572" w:type="pct"/>
            <w:vMerge w:val="continue"/>
            <w:vAlign w:val="center"/>
          </w:tcPr>
          <w:p w14:paraId="50ABDBB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33" w:type="pct"/>
            <w:vAlign w:val="center"/>
          </w:tcPr>
          <w:p w14:paraId="1DDD0DF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未</w:t>
            </w:r>
            <w:r>
              <w:rPr>
                <w:rFonts w:hint="default" w:ascii="Times New Roman" w:hAnsi="Times New Roman" w:eastAsia="仿宋" w:cs="Times New Roman"/>
                <w:color w:val="auto"/>
                <w:sz w:val="24"/>
                <w:szCs w:val="24"/>
                <w:highlight w:val="none"/>
                <w:vertAlign w:val="baseline"/>
                <w:lang w:val="en-US" w:eastAsia="zh-CN"/>
              </w:rPr>
              <w:t>按照交易场所规定完成项目注册、场地预约、信息发布等。</w:t>
            </w:r>
          </w:p>
        </w:tc>
        <w:tc>
          <w:tcPr>
            <w:tcW w:w="1845" w:type="pct"/>
            <w:vMerge w:val="continue"/>
            <w:vAlign w:val="center"/>
          </w:tcPr>
          <w:p w14:paraId="4662797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2" w:type="pct"/>
            <w:vAlign w:val="center"/>
          </w:tcPr>
          <w:p w14:paraId="4AD7822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45C7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285" w:type="pct"/>
            <w:vAlign w:val="center"/>
          </w:tcPr>
          <w:p w14:paraId="64AF43F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3</w:t>
            </w:r>
          </w:p>
        </w:tc>
        <w:tc>
          <w:tcPr>
            <w:tcW w:w="572" w:type="pct"/>
            <w:vMerge w:val="continue"/>
            <w:vAlign w:val="center"/>
          </w:tcPr>
          <w:p w14:paraId="4A72A06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33" w:type="pct"/>
            <w:vAlign w:val="center"/>
          </w:tcPr>
          <w:p w14:paraId="1B96C5D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未参照行政监督管理部门制定的交易文件范本编制交易文件。</w:t>
            </w:r>
          </w:p>
        </w:tc>
        <w:tc>
          <w:tcPr>
            <w:tcW w:w="1845" w:type="pct"/>
            <w:vMerge w:val="continue"/>
            <w:vAlign w:val="center"/>
          </w:tcPr>
          <w:p w14:paraId="22F1836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2" w:type="pct"/>
            <w:vAlign w:val="center"/>
          </w:tcPr>
          <w:p w14:paraId="6A48CFE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6246D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285" w:type="pct"/>
            <w:vAlign w:val="center"/>
          </w:tcPr>
          <w:p w14:paraId="5B4F1B6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4</w:t>
            </w:r>
          </w:p>
        </w:tc>
        <w:tc>
          <w:tcPr>
            <w:tcW w:w="572" w:type="pct"/>
            <w:vMerge w:val="continue"/>
            <w:vAlign w:val="center"/>
          </w:tcPr>
          <w:p w14:paraId="6C1A7E7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33" w:type="pct"/>
            <w:vAlign w:val="center"/>
          </w:tcPr>
          <w:p w14:paraId="5315E57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交易文件获取时间与公告时间不一致。</w:t>
            </w:r>
          </w:p>
        </w:tc>
        <w:tc>
          <w:tcPr>
            <w:tcW w:w="1845" w:type="pct"/>
            <w:vMerge w:val="continue"/>
            <w:vAlign w:val="center"/>
          </w:tcPr>
          <w:p w14:paraId="3D22B6F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2" w:type="pct"/>
            <w:vAlign w:val="center"/>
          </w:tcPr>
          <w:p w14:paraId="6D8B961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43A6A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285" w:type="pct"/>
            <w:vAlign w:val="center"/>
          </w:tcPr>
          <w:p w14:paraId="23BC3D3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5</w:t>
            </w:r>
          </w:p>
        </w:tc>
        <w:tc>
          <w:tcPr>
            <w:tcW w:w="572" w:type="pct"/>
            <w:vMerge w:val="continue"/>
            <w:vAlign w:val="center"/>
          </w:tcPr>
          <w:p w14:paraId="46E0541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33" w:type="pct"/>
            <w:vAlign w:val="center"/>
          </w:tcPr>
          <w:p w14:paraId="6B628072">
            <w:pPr>
              <w:pStyle w:val="14"/>
              <w:spacing w:before="60" w:line="249" w:lineRule="auto"/>
              <w:ind w:right="119"/>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kern w:val="2"/>
                <w:sz w:val="24"/>
                <w:szCs w:val="24"/>
                <w:highlight w:val="none"/>
                <w:vertAlign w:val="baseline"/>
                <w:lang w:val="en-US" w:eastAsia="zh-CN" w:bidi="ar-SA"/>
              </w:rPr>
              <w:t>在不同媒介发布的同一招标项目的资格预审公告或者招标公告的内容不一致</w:t>
            </w:r>
            <w:r>
              <w:rPr>
                <w:rFonts w:hint="eastAsia" w:ascii="Times New Roman" w:hAnsi="Times New Roman" w:cs="Times New Roman"/>
                <w:color w:val="auto"/>
                <w:kern w:val="2"/>
                <w:sz w:val="24"/>
                <w:szCs w:val="24"/>
                <w:highlight w:val="none"/>
                <w:vertAlign w:val="baseline"/>
                <w:lang w:val="en-US" w:eastAsia="zh-CN" w:bidi="ar-SA"/>
              </w:rPr>
              <w:t>，</w:t>
            </w:r>
            <w:r>
              <w:rPr>
                <w:rFonts w:hint="default" w:ascii="Times New Roman" w:hAnsi="Times New Roman" w:eastAsia="仿宋" w:cs="Times New Roman"/>
                <w:color w:val="auto"/>
                <w:kern w:val="2"/>
                <w:sz w:val="24"/>
                <w:szCs w:val="24"/>
                <w:highlight w:val="none"/>
                <w:vertAlign w:val="baseline"/>
                <w:lang w:val="en-US" w:eastAsia="zh-CN" w:bidi="ar-SA"/>
              </w:rPr>
              <w:t>影响潜在投标人申请资格预审或者投标</w:t>
            </w:r>
            <w:r>
              <w:rPr>
                <w:rFonts w:hint="eastAsia" w:ascii="Times New Roman" w:hAnsi="Times New Roman" w:cs="Times New Roman"/>
                <w:color w:val="auto"/>
                <w:kern w:val="2"/>
                <w:sz w:val="24"/>
                <w:szCs w:val="24"/>
                <w:highlight w:val="none"/>
                <w:vertAlign w:val="baseline"/>
                <w:lang w:val="en-US" w:eastAsia="zh-CN" w:bidi="ar-SA"/>
              </w:rPr>
              <w:t>。</w:t>
            </w:r>
          </w:p>
        </w:tc>
        <w:tc>
          <w:tcPr>
            <w:tcW w:w="1845" w:type="pct"/>
            <w:vMerge w:val="continue"/>
            <w:vAlign w:val="center"/>
          </w:tcPr>
          <w:p w14:paraId="761C35D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2" w:type="pct"/>
            <w:vAlign w:val="center"/>
          </w:tcPr>
          <w:p w14:paraId="05F45C1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2C701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285" w:type="pct"/>
            <w:vAlign w:val="center"/>
          </w:tcPr>
          <w:p w14:paraId="2A9EB2D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6</w:t>
            </w:r>
          </w:p>
        </w:tc>
        <w:tc>
          <w:tcPr>
            <w:tcW w:w="572" w:type="pct"/>
            <w:vMerge w:val="continue"/>
            <w:vAlign w:val="center"/>
          </w:tcPr>
          <w:p w14:paraId="7F45BDA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33" w:type="pct"/>
            <w:vAlign w:val="center"/>
          </w:tcPr>
          <w:p w14:paraId="34B4EF1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依法应当公开招标的项目未按照规定在指定媒介发布资格预审公告或者招标公告。</w:t>
            </w:r>
          </w:p>
        </w:tc>
        <w:tc>
          <w:tcPr>
            <w:tcW w:w="1845" w:type="pct"/>
            <w:vMerge w:val="continue"/>
            <w:vAlign w:val="center"/>
          </w:tcPr>
          <w:p w14:paraId="397B9CC1">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2" w:type="pct"/>
            <w:vAlign w:val="center"/>
          </w:tcPr>
          <w:p w14:paraId="2982561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32E0B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285" w:type="pct"/>
            <w:vAlign w:val="center"/>
          </w:tcPr>
          <w:p w14:paraId="2CF152F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7</w:t>
            </w:r>
          </w:p>
        </w:tc>
        <w:tc>
          <w:tcPr>
            <w:tcW w:w="572" w:type="pct"/>
            <w:vMerge w:val="continue"/>
            <w:vAlign w:val="center"/>
          </w:tcPr>
          <w:p w14:paraId="5ECDF94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33" w:type="pct"/>
            <w:vAlign w:val="center"/>
          </w:tcPr>
          <w:p w14:paraId="70BF83B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对已发出的公告公示内容以及</w:t>
            </w:r>
            <w:r>
              <w:rPr>
                <w:rFonts w:hint="eastAsia" w:ascii="Times New Roman" w:hAnsi="Times New Roman" w:eastAsia="仿宋" w:cs="Times New Roman"/>
                <w:color w:val="auto"/>
                <w:sz w:val="24"/>
                <w:szCs w:val="24"/>
                <w:highlight w:val="none"/>
                <w:vertAlign w:val="baseline"/>
                <w:lang w:val="en-US" w:eastAsia="zh-CN"/>
              </w:rPr>
              <w:t>资格预审文件或者</w:t>
            </w:r>
            <w:r>
              <w:rPr>
                <w:rFonts w:hint="default" w:ascii="Times New Roman" w:hAnsi="Times New Roman" w:eastAsia="仿宋" w:cs="Times New Roman"/>
                <w:color w:val="auto"/>
                <w:sz w:val="24"/>
                <w:szCs w:val="24"/>
                <w:highlight w:val="none"/>
                <w:vertAlign w:val="baseline"/>
                <w:lang w:val="en-US" w:eastAsia="zh-CN"/>
              </w:rPr>
              <w:t>招标文件进行澄清、修改未在原媒介发布。</w:t>
            </w:r>
          </w:p>
        </w:tc>
        <w:tc>
          <w:tcPr>
            <w:tcW w:w="1845" w:type="pct"/>
            <w:vMerge w:val="continue"/>
            <w:vAlign w:val="center"/>
          </w:tcPr>
          <w:p w14:paraId="6587EEE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2" w:type="pct"/>
            <w:vAlign w:val="center"/>
          </w:tcPr>
          <w:p w14:paraId="1270987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7C4B5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85" w:type="pct"/>
            <w:vAlign w:val="center"/>
          </w:tcPr>
          <w:p w14:paraId="3FC1F90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8</w:t>
            </w:r>
          </w:p>
        </w:tc>
        <w:tc>
          <w:tcPr>
            <w:tcW w:w="572" w:type="pct"/>
            <w:vMerge w:val="continue"/>
            <w:vAlign w:val="center"/>
          </w:tcPr>
          <w:p w14:paraId="2104AE4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33" w:type="pct"/>
            <w:vAlign w:val="center"/>
          </w:tcPr>
          <w:p w14:paraId="5FE57276">
            <w:pPr>
              <w:adjustRightInd w:val="0"/>
              <w:spacing w:line="300" w:lineRule="exact"/>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未按规定时间公示中标结果、评标信息及公示信息。</w:t>
            </w:r>
          </w:p>
        </w:tc>
        <w:tc>
          <w:tcPr>
            <w:tcW w:w="1845" w:type="pct"/>
            <w:vMerge w:val="continue"/>
            <w:vAlign w:val="center"/>
          </w:tcPr>
          <w:p w14:paraId="4BDB55A2">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2" w:type="pct"/>
            <w:vAlign w:val="center"/>
          </w:tcPr>
          <w:p w14:paraId="5FD49F4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56BED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85" w:type="pct"/>
            <w:vAlign w:val="center"/>
          </w:tcPr>
          <w:p w14:paraId="4F3E50E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9</w:t>
            </w:r>
          </w:p>
        </w:tc>
        <w:tc>
          <w:tcPr>
            <w:tcW w:w="572" w:type="pct"/>
            <w:vMerge w:val="continue"/>
            <w:vAlign w:val="center"/>
          </w:tcPr>
          <w:p w14:paraId="226E365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33" w:type="pct"/>
            <w:vAlign w:val="center"/>
          </w:tcPr>
          <w:p w14:paraId="388C3442">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未</w:t>
            </w:r>
            <w:r>
              <w:rPr>
                <w:rFonts w:hint="default" w:ascii="Times New Roman" w:hAnsi="Times New Roman" w:eastAsia="仿宋" w:cs="Times New Roman"/>
                <w:color w:val="auto"/>
                <w:sz w:val="24"/>
                <w:szCs w:val="24"/>
                <w:highlight w:val="none"/>
                <w:vertAlign w:val="baseline"/>
                <w:lang w:val="en-US" w:eastAsia="zh-CN"/>
              </w:rPr>
              <w:t>依法在规定期限内退还保证金。</w:t>
            </w:r>
          </w:p>
        </w:tc>
        <w:tc>
          <w:tcPr>
            <w:tcW w:w="1845" w:type="pct"/>
            <w:vMerge w:val="continue"/>
            <w:vAlign w:val="center"/>
          </w:tcPr>
          <w:p w14:paraId="2798E3E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2" w:type="pct"/>
            <w:vAlign w:val="center"/>
          </w:tcPr>
          <w:p w14:paraId="2EF6DC8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2EB70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285" w:type="pct"/>
            <w:vAlign w:val="center"/>
          </w:tcPr>
          <w:p w14:paraId="0D10B0E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10</w:t>
            </w:r>
          </w:p>
        </w:tc>
        <w:tc>
          <w:tcPr>
            <w:tcW w:w="572" w:type="pct"/>
            <w:vMerge w:val="continue"/>
            <w:vAlign w:val="center"/>
          </w:tcPr>
          <w:p w14:paraId="1FB4655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33" w:type="pct"/>
            <w:vAlign w:val="center"/>
          </w:tcPr>
          <w:p w14:paraId="4CB2C64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公告公示内容出现敏感词、重大表述错误、商业性广告语（标识）和外部链接等。</w:t>
            </w:r>
          </w:p>
        </w:tc>
        <w:tc>
          <w:tcPr>
            <w:tcW w:w="1845" w:type="pct"/>
            <w:vMerge w:val="continue"/>
            <w:vAlign w:val="center"/>
          </w:tcPr>
          <w:p w14:paraId="09CC6D03">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2" w:type="pct"/>
            <w:vAlign w:val="center"/>
          </w:tcPr>
          <w:p w14:paraId="2F9087A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4D009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285" w:type="pct"/>
            <w:vAlign w:val="center"/>
          </w:tcPr>
          <w:p w14:paraId="1845A0B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w:t>
            </w:r>
            <w:r>
              <w:rPr>
                <w:rFonts w:hint="eastAsia" w:ascii="Times New Roman" w:hAnsi="Times New Roman" w:eastAsia="仿宋" w:cs="Times New Roman"/>
                <w:color w:val="auto"/>
                <w:sz w:val="24"/>
                <w:szCs w:val="24"/>
                <w:highlight w:val="none"/>
                <w:vertAlign w:val="baseline"/>
                <w:lang w:val="en-US" w:eastAsia="zh-CN"/>
              </w:rPr>
              <w:t>1</w:t>
            </w:r>
          </w:p>
        </w:tc>
        <w:tc>
          <w:tcPr>
            <w:tcW w:w="572" w:type="pct"/>
            <w:vMerge w:val="restart"/>
            <w:vAlign w:val="center"/>
          </w:tcPr>
          <w:p w14:paraId="5698447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参与交易</w:t>
            </w:r>
          </w:p>
          <w:p w14:paraId="5CBF6C4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的各方主体</w:t>
            </w:r>
          </w:p>
        </w:tc>
        <w:tc>
          <w:tcPr>
            <w:tcW w:w="1933" w:type="pct"/>
            <w:vAlign w:val="center"/>
          </w:tcPr>
          <w:p w14:paraId="7BF0C53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不爱护受理区域公共设施、造成损坏不修复和拒不赔偿。</w:t>
            </w:r>
          </w:p>
        </w:tc>
        <w:tc>
          <w:tcPr>
            <w:tcW w:w="1845" w:type="pct"/>
            <w:vMerge w:val="restart"/>
            <w:vAlign w:val="center"/>
          </w:tcPr>
          <w:p w14:paraId="3FE61B21">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《中华人民共和国招标投标法》及实施条例</w:t>
            </w:r>
          </w:p>
          <w:p w14:paraId="45EE084E">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《中华人民共和国政府采购法》及实施条例</w:t>
            </w:r>
          </w:p>
          <w:p w14:paraId="54624351">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《四川省公共资源交易现场服务公开工作规范》</w:t>
            </w:r>
          </w:p>
          <w:p w14:paraId="57E7E363">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（川政公〔2019〕17号）</w:t>
            </w:r>
          </w:p>
          <w:p w14:paraId="016C982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《四川省公共资源交易平台管理实施细则》</w:t>
            </w:r>
          </w:p>
          <w:p w14:paraId="36E0BB69">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（川办发〔2020〕78号）</w:t>
            </w:r>
          </w:p>
        </w:tc>
        <w:tc>
          <w:tcPr>
            <w:tcW w:w="362" w:type="pct"/>
            <w:vAlign w:val="center"/>
          </w:tcPr>
          <w:p w14:paraId="7243EDD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三级</w:t>
            </w:r>
          </w:p>
        </w:tc>
      </w:tr>
      <w:tr w14:paraId="3AA28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trPr>
        <w:tc>
          <w:tcPr>
            <w:tcW w:w="285" w:type="pct"/>
            <w:vAlign w:val="center"/>
          </w:tcPr>
          <w:p w14:paraId="036936F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w:t>
            </w:r>
            <w:r>
              <w:rPr>
                <w:rFonts w:hint="eastAsia" w:ascii="Times New Roman" w:hAnsi="Times New Roman" w:eastAsia="仿宋" w:cs="Times New Roman"/>
                <w:color w:val="auto"/>
                <w:sz w:val="24"/>
                <w:szCs w:val="24"/>
                <w:highlight w:val="none"/>
                <w:vertAlign w:val="baseline"/>
                <w:lang w:val="en-US" w:eastAsia="zh-CN"/>
              </w:rPr>
              <w:t>2</w:t>
            </w:r>
          </w:p>
        </w:tc>
        <w:tc>
          <w:tcPr>
            <w:tcW w:w="572" w:type="pct"/>
            <w:vMerge w:val="continue"/>
            <w:vAlign w:val="center"/>
          </w:tcPr>
          <w:p w14:paraId="130E657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33" w:type="pct"/>
            <w:vAlign w:val="center"/>
          </w:tcPr>
          <w:p w14:paraId="1B691CFD">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不</w:t>
            </w:r>
            <w:r>
              <w:rPr>
                <w:rFonts w:hint="default" w:ascii="Times New Roman" w:hAnsi="Times New Roman" w:eastAsia="仿宋" w:cs="Times New Roman"/>
                <w:color w:val="auto"/>
                <w:sz w:val="24"/>
                <w:szCs w:val="24"/>
                <w:highlight w:val="none"/>
                <w:vertAlign w:val="baseline"/>
                <w:lang w:val="en-US" w:eastAsia="zh-CN"/>
              </w:rPr>
              <w:t>遵守交易场所管理规定或</w:t>
            </w:r>
            <w:r>
              <w:rPr>
                <w:rFonts w:hint="eastAsia" w:ascii="Times New Roman" w:hAnsi="Times New Roman" w:eastAsia="仿宋" w:cs="Times New Roman"/>
                <w:color w:val="auto"/>
                <w:sz w:val="24"/>
                <w:szCs w:val="24"/>
                <w:highlight w:val="none"/>
                <w:vertAlign w:val="baseline"/>
                <w:lang w:val="en-US" w:eastAsia="zh-CN"/>
              </w:rPr>
              <w:t>不</w:t>
            </w:r>
            <w:r>
              <w:rPr>
                <w:rFonts w:hint="default" w:ascii="Times New Roman" w:hAnsi="Times New Roman" w:eastAsia="仿宋" w:cs="Times New Roman"/>
                <w:color w:val="auto"/>
                <w:sz w:val="24"/>
                <w:szCs w:val="24"/>
                <w:highlight w:val="none"/>
                <w:vertAlign w:val="baseline"/>
                <w:lang w:val="en-US" w:eastAsia="zh-CN"/>
              </w:rPr>
              <w:t>服从交易场所现场工作人员管理。</w:t>
            </w:r>
          </w:p>
        </w:tc>
        <w:tc>
          <w:tcPr>
            <w:tcW w:w="1845" w:type="pct"/>
            <w:vMerge w:val="continue"/>
            <w:vAlign w:val="center"/>
          </w:tcPr>
          <w:p w14:paraId="39E2A36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2" w:type="pct"/>
            <w:vAlign w:val="center"/>
          </w:tcPr>
          <w:p w14:paraId="3C186F5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p w14:paraId="2808227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p w14:paraId="7524708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三级</w:t>
            </w:r>
          </w:p>
        </w:tc>
      </w:tr>
      <w:tr w14:paraId="35E7E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285" w:type="pct"/>
            <w:vAlign w:val="center"/>
          </w:tcPr>
          <w:p w14:paraId="599420C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w:t>
            </w:r>
            <w:r>
              <w:rPr>
                <w:rFonts w:hint="eastAsia" w:ascii="Times New Roman" w:hAnsi="Times New Roman" w:eastAsia="仿宋" w:cs="Times New Roman"/>
                <w:color w:val="auto"/>
                <w:sz w:val="24"/>
                <w:szCs w:val="24"/>
                <w:highlight w:val="none"/>
                <w:vertAlign w:val="baseline"/>
                <w:lang w:val="en-US" w:eastAsia="zh-CN"/>
              </w:rPr>
              <w:t>3</w:t>
            </w:r>
          </w:p>
        </w:tc>
        <w:tc>
          <w:tcPr>
            <w:tcW w:w="572" w:type="pct"/>
            <w:vMerge w:val="continue"/>
            <w:vAlign w:val="center"/>
          </w:tcPr>
          <w:p w14:paraId="0DA1FDA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33" w:type="pct"/>
            <w:vAlign w:val="center"/>
          </w:tcPr>
          <w:p w14:paraId="32EAAAD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其他违法违规行为。</w:t>
            </w:r>
          </w:p>
        </w:tc>
        <w:tc>
          <w:tcPr>
            <w:tcW w:w="1845" w:type="pct"/>
            <w:vMerge w:val="continue"/>
            <w:vAlign w:val="center"/>
          </w:tcPr>
          <w:p w14:paraId="019F2BD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2" w:type="pct"/>
            <w:vAlign w:val="center"/>
          </w:tcPr>
          <w:p w14:paraId="042E0D0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p w14:paraId="4C13C08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p w14:paraId="6EFFFF3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三级</w:t>
            </w:r>
          </w:p>
        </w:tc>
      </w:tr>
      <w:tr w14:paraId="5644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285" w:type="pct"/>
            <w:vAlign w:val="center"/>
          </w:tcPr>
          <w:p w14:paraId="77B5BE2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14</w:t>
            </w:r>
          </w:p>
        </w:tc>
        <w:tc>
          <w:tcPr>
            <w:tcW w:w="572" w:type="pct"/>
            <w:vMerge w:val="restart"/>
            <w:vAlign w:val="center"/>
          </w:tcPr>
          <w:p w14:paraId="5196B4D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交易服务</w:t>
            </w:r>
          </w:p>
          <w:p w14:paraId="4453204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工作人员</w:t>
            </w:r>
          </w:p>
        </w:tc>
        <w:tc>
          <w:tcPr>
            <w:tcW w:w="1933" w:type="pct"/>
            <w:vAlign w:val="center"/>
          </w:tcPr>
          <w:p w14:paraId="3E8B1E92">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未</w:t>
            </w:r>
            <w:r>
              <w:rPr>
                <w:rFonts w:hint="default" w:ascii="Times New Roman" w:hAnsi="Times New Roman" w:eastAsia="仿宋" w:cs="Times New Roman"/>
                <w:color w:val="auto"/>
                <w:sz w:val="24"/>
                <w:szCs w:val="24"/>
                <w:highlight w:val="none"/>
                <w:vertAlign w:val="baseline"/>
                <w:lang w:val="en-US" w:eastAsia="zh-CN"/>
              </w:rPr>
              <w:t>依法在规定期限内退还保证金。</w:t>
            </w:r>
          </w:p>
        </w:tc>
        <w:tc>
          <w:tcPr>
            <w:tcW w:w="1845" w:type="pct"/>
            <w:vAlign w:val="center"/>
          </w:tcPr>
          <w:p w14:paraId="0D24A419">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2" w:type="pct"/>
            <w:vAlign w:val="center"/>
          </w:tcPr>
          <w:p w14:paraId="5B66B41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一级</w:t>
            </w:r>
          </w:p>
        </w:tc>
      </w:tr>
      <w:tr w14:paraId="2746C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trPr>
        <w:tc>
          <w:tcPr>
            <w:tcW w:w="285" w:type="pct"/>
            <w:vAlign w:val="center"/>
          </w:tcPr>
          <w:p w14:paraId="4C4B401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w:t>
            </w:r>
            <w:r>
              <w:rPr>
                <w:rFonts w:hint="eastAsia" w:ascii="Times New Roman" w:hAnsi="Times New Roman" w:eastAsia="仿宋" w:cs="Times New Roman"/>
                <w:color w:val="auto"/>
                <w:sz w:val="24"/>
                <w:szCs w:val="24"/>
                <w:highlight w:val="none"/>
                <w:vertAlign w:val="baseline"/>
                <w:lang w:val="en-US" w:eastAsia="zh-CN"/>
              </w:rPr>
              <w:t>5</w:t>
            </w:r>
          </w:p>
        </w:tc>
        <w:tc>
          <w:tcPr>
            <w:tcW w:w="572" w:type="pct"/>
            <w:vMerge w:val="continue"/>
            <w:vAlign w:val="center"/>
          </w:tcPr>
          <w:p w14:paraId="4A65A89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33" w:type="pct"/>
            <w:vAlign w:val="center"/>
          </w:tcPr>
          <w:p w14:paraId="399BBE3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未</w:t>
            </w:r>
            <w:r>
              <w:rPr>
                <w:rFonts w:hint="default" w:ascii="Times New Roman" w:hAnsi="Times New Roman" w:eastAsia="仿宋" w:cs="Times New Roman"/>
                <w:color w:val="auto"/>
                <w:sz w:val="24"/>
                <w:szCs w:val="24"/>
                <w:highlight w:val="none"/>
                <w:vertAlign w:val="baseline"/>
                <w:lang w:val="en-US" w:eastAsia="zh-CN"/>
              </w:rPr>
              <w:t>按规定要素受理交易项目。</w:t>
            </w:r>
          </w:p>
        </w:tc>
        <w:tc>
          <w:tcPr>
            <w:tcW w:w="1845" w:type="pct"/>
            <w:vAlign w:val="center"/>
          </w:tcPr>
          <w:p w14:paraId="5FFFFC0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《四川省公共资源交易现场服务公开工作规范》</w:t>
            </w:r>
          </w:p>
          <w:p w14:paraId="1C92245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（川政公〔2019〕17号）</w:t>
            </w:r>
          </w:p>
          <w:p w14:paraId="032D752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《四川省公共资源交易平台管理实施细则》</w:t>
            </w:r>
          </w:p>
          <w:p w14:paraId="58B6B03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（川办发〔2020〕78号）</w:t>
            </w:r>
          </w:p>
        </w:tc>
        <w:tc>
          <w:tcPr>
            <w:tcW w:w="362" w:type="pct"/>
            <w:vAlign w:val="center"/>
          </w:tcPr>
          <w:p w14:paraId="60005A3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p w14:paraId="30E1FAF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p w14:paraId="1F7F1D4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三级</w:t>
            </w:r>
          </w:p>
        </w:tc>
      </w:tr>
      <w:tr w14:paraId="76732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285" w:type="pct"/>
            <w:vAlign w:val="center"/>
          </w:tcPr>
          <w:p w14:paraId="2479221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w:t>
            </w:r>
            <w:r>
              <w:rPr>
                <w:rFonts w:hint="eastAsia" w:ascii="Times New Roman" w:hAnsi="Times New Roman" w:eastAsia="仿宋" w:cs="Times New Roman"/>
                <w:color w:val="auto"/>
                <w:sz w:val="24"/>
                <w:szCs w:val="24"/>
                <w:highlight w:val="none"/>
                <w:vertAlign w:val="baseline"/>
                <w:lang w:val="en-US" w:eastAsia="zh-CN"/>
              </w:rPr>
              <w:t>6</w:t>
            </w:r>
          </w:p>
        </w:tc>
        <w:tc>
          <w:tcPr>
            <w:tcW w:w="572" w:type="pct"/>
            <w:vAlign w:val="center"/>
          </w:tcPr>
          <w:p w14:paraId="583BFBD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信息系统</w:t>
            </w:r>
          </w:p>
          <w:p w14:paraId="0BEA76B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运维单位及运维人员</w:t>
            </w:r>
          </w:p>
        </w:tc>
        <w:tc>
          <w:tcPr>
            <w:tcW w:w="1933" w:type="pct"/>
            <w:vAlign w:val="center"/>
          </w:tcPr>
          <w:p w14:paraId="7805599C">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存在违反信息系统运维相关规定的不良行为。</w:t>
            </w:r>
          </w:p>
        </w:tc>
        <w:tc>
          <w:tcPr>
            <w:tcW w:w="1845" w:type="pct"/>
            <w:vAlign w:val="center"/>
          </w:tcPr>
          <w:p w14:paraId="762E44A0">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2" w:type="pct"/>
            <w:vAlign w:val="center"/>
          </w:tcPr>
          <w:p w14:paraId="669C574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p w14:paraId="4306635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p w14:paraId="29D7BD5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三级</w:t>
            </w:r>
          </w:p>
        </w:tc>
      </w:tr>
    </w:tbl>
    <w:p w14:paraId="59D71F0B">
      <w:pPr>
        <w:jc w:val="both"/>
        <w:rPr>
          <w:rFonts w:hint="default" w:ascii="Times New Roman" w:hAnsi="Times New Roman" w:eastAsia="黑体" w:cs="Times New Roman"/>
          <w:color w:val="auto"/>
          <w:sz w:val="32"/>
          <w:szCs w:val="32"/>
          <w:highlight w:val="none"/>
          <w:lang w:val="en-US" w:eastAsia="zh-CN"/>
        </w:rPr>
      </w:pPr>
    </w:p>
    <w:p w14:paraId="5D930F74">
      <w:pPr>
        <w:jc w:val="both"/>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附件2</w:t>
      </w:r>
    </w:p>
    <w:p w14:paraId="77705F82">
      <w:pPr>
        <w:jc w:val="center"/>
        <w:rPr>
          <w:rFonts w:hint="default" w:ascii="Times New Roman" w:hAnsi="Times New Roman" w:eastAsia="方正小标宋简体" w:cs="Times New Roman"/>
          <w:color w:val="auto"/>
          <w:sz w:val="44"/>
          <w:szCs w:val="44"/>
          <w:highlight w:val="none"/>
          <w:lang w:val="en-US" w:eastAsia="zh-CN"/>
        </w:rPr>
      </w:pPr>
      <w:r>
        <w:rPr>
          <w:rFonts w:hint="default" w:ascii="Times New Roman" w:hAnsi="Times New Roman" w:eastAsia="方正小标宋简体" w:cs="Times New Roman"/>
          <w:color w:val="auto"/>
          <w:sz w:val="44"/>
          <w:szCs w:val="44"/>
          <w:highlight w:val="none"/>
          <w:lang w:val="en-US" w:eastAsia="zh-CN"/>
        </w:rPr>
        <w:t>开标环节见证服务清单</w:t>
      </w:r>
    </w:p>
    <w:tbl>
      <w:tblPr>
        <w:tblStyle w:val="1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544"/>
        <w:gridCol w:w="5432"/>
        <w:gridCol w:w="5333"/>
        <w:gridCol w:w="1024"/>
      </w:tblGrid>
      <w:tr w14:paraId="2E41A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3" w:type="pct"/>
            <w:vAlign w:val="center"/>
          </w:tcPr>
          <w:p w14:paraId="2C5D771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序号</w:t>
            </w:r>
          </w:p>
        </w:tc>
        <w:tc>
          <w:tcPr>
            <w:tcW w:w="545" w:type="pct"/>
            <w:vAlign w:val="center"/>
          </w:tcPr>
          <w:p w14:paraId="544531A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见证对象</w:t>
            </w:r>
          </w:p>
        </w:tc>
        <w:tc>
          <w:tcPr>
            <w:tcW w:w="1917" w:type="pct"/>
            <w:vAlign w:val="center"/>
          </w:tcPr>
          <w:p w14:paraId="4B3130F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见证内容</w:t>
            </w:r>
          </w:p>
        </w:tc>
        <w:tc>
          <w:tcPr>
            <w:tcW w:w="1882" w:type="pct"/>
            <w:vAlign w:val="center"/>
          </w:tcPr>
          <w:p w14:paraId="504318D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依据</w:t>
            </w:r>
          </w:p>
        </w:tc>
        <w:tc>
          <w:tcPr>
            <w:tcW w:w="361" w:type="pct"/>
            <w:vAlign w:val="center"/>
          </w:tcPr>
          <w:p w14:paraId="235A8A7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预警</w:t>
            </w:r>
          </w:p>
          <w:p w14:paraId="3846C50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级别</w:t>
            </w:r>
          </w:p>
        </w:tc>
      </w:tr>
      <w:tr w14:paraId="1E564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293" w:type="pct"/>
            <w:vAlign w:val="center"/>
          </w:tcPr>
          <w:p w14:paraId="49F065E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w:t>
            </w:r>
          </w:p>
        </w:tc>
        <w:tc>
          <w:tcPr>
            <w:tcW w:w="545" w:type="pct"/>
            <w:vMerge w:val="restart"/>
            <w:vAlign w:val="center"/>
          </w:tcPr>
          <w:p w14:paraId="0890158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投标人</w:t>
            </w:r>
          </w:p>
          <w:p w14:paraId="621D157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（供应商）</w:t>
            </w:r>
          </w:p>
          <w:p w14:paraId="46BABE4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17" w:type="pct"/>
            <w:vAlign w:val="center"/>
          </w:tcPr>
          <w:p w14:paraId="44EF808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未</w:t>
            </w:r>
            <w:r>
              <w:rPr>
                <w:rFonts w:hint="default" w:ascii="Times New Roman" w:hAnsi="Times New Roman" w:eastAsia="仿宋" w:cs="Times New Roman"/>
                <w:color w:val="auto"/>
                <w:sz w:val="24"/>
                <w:szCs w:val="24"/>
                <w:highlight w:val="none"/>
                <w:vertAlign w:val="baseline"/>
                <w:lang w:val="en-US" w:eastAsia="zh-CN"/>
              </w:rPr>
              <w:t>按规定进行身份查验或佩戴交易场所发放的工作牌组织交易活动。</w:t>
            </w:r>
          </w:p>
        </w:tc>
        <w:tc>
          <w:tcPr>
            <w:tcW w:w="1882" w:type="pct"/>
            <w:vMerge w:val="restart"/>
            <w:vAlign w:val="center"/>
          </w:tcPr>
          <w:p w14:paraId="1CB38CAE">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《中华人民共和国招标投标法》及实施条例</w:t>
            </w:r>
          </w:p>
          <w:p w14:paraId="5AEF0431">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《中华人民共和国政府采购法》及实施条例</w:t>
            </w:r>
          </w:p>
          <w:p w14:paraId="27896DB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《四川省公共资源交易现场服务公开工作规范》</w:t>
            </w:r>
          </w:p>
          <w:p w14:paraId="53D04D6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（川政公〔2019〕17号）</w:t>
            </w:r>
          </w:p>
          <w:p w14:paraId="2E8EFC3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《四川省公共资源交易平台管理实施细则》</w:t>
            </w:r>
          </w:p>
          <w:p w14:paraId="091F6D6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（川办发〔2020〕78号）</w:t>
            </w:r>
          </w:p>
        </w:tc>
        <w:tc>
          <w:tcPr>
            <w:tcW w:w="361" w:type="pct"/>
            <w:vAlign w:val="center"/>
          </w:tcPr>
          <w:p w14:paraId="5C08E5C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1B75D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293" w:type="pct"/>
            <w:vAlign w:val="center"/>
          </w:tcPr>
          <w:p w14:paraId="74AC375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2</w:t>
            </w:r>
          </w:p>
        </w:tc>
        <w:tc>
          <w:tcPr>
            <w:tcW w:w="545" w:type="pct"/>
            <w:vMerge w:val="continue"/>
            <w:vAlign w:val="center"/>
          </w:tcPr>
          <w:p w14:paraId="26BD5CA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17" w:type="pct"/>
            <w:vAlign w:val="center"/>
          </w:tcPr>
          <w:p w14:paraId="2790874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不同投标人的投标文件由同一投标人送达。</w:t>
            </w:r>
          </w:p>
        </w:tc>
        <w:tc>
          <w:tcPr>
            <w:tcW w:w="1882" w:type="pct"/>
            <w:vMerge w:val="continue"/>
            <w:vAlign w:val="center"/>
          </w:tcPr>
          <w:p w14:paraId="6B390E1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1" w:type="pct"/>
            <w:vAlign w:val="center"/>
          </w:tcPr>
          <w:p w14:paraId="47399C9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37DDC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293" w:type="pct"/>
            <w:vAlign w:val="center"/>
          </w:tcPr>
          <w:p w14:paraId="4D8C7FA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3</w:t>
            </w:r>
          </w:p>
        </w:tc>
        <w:tc>
          <w:tcPr>
            <w:tcW w:w="545" w:type="pct"/>
            <w:vMerge w:val="continue"/>
            <w:vAlign w:val="center"/>
          </w:tcPr>
          <w:p w14:paraId="30EDE99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17" w:type="pct"/>
            <w:vAlign w:val="center"/>
          </w:tcPr>
          <w:p w14:paraId="7ECCBD79">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不同投标人委托同一单位或者个人办理投标事宜。</w:t>
            </w:r>
          </w:p>
        </w:tc>
        <w:tc>
          <w:tcPr>
            <w:tcW w:w="1882" w:type="pct"/>
            <w:vMerge w:val="continue"/>
            <w:vAlign w:val="center"/>
          </w:tcPr>
          <w:p w14:paraId="7960EF6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1" w:type="pct"/>
            <w:vAlign w:val="center"/>
          </w:tcPr>
          <w:p w14:paraId="7B8C4FD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37E97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293" w:type="pct"/>
            <w:vAlign w:val="center"/>
          </w:tcPr>
          <w:p w14:paraId="1DE48C4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4</w:t>
            </w:r>
          </w:p>
        </w:tc>
        <w:tc>
          <w:tcPr>
            <w:tcW w:w="545" w:type="pct"/>
            <w:vMerge w:val="continue"/>
            <w:vAlign w:val="center"/>
          </w:tcPr>
          <w:p w14:paraId="394B1C8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17" w:type="pct"/>
            <w:vAlign w:val="center"/>
          </w:tcPr>
          <w:p w14:paraId="23C467B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不同投标人的投标保证金从同一单位或者个人的账户转出。</w:t>
            </w:r>
          </w:p>
        </w:tc>
        <w:tc>
          <w:tcPr>
            <w:tcW w:w="1882" w:type="pct"/>
            <w:vMerge w:val="continue"/>
            <w:vAlign w:val="center"/>
          </w:tcPr>
          <w:p w14:paraId="289C32E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1" w:type="pct"/>
            <w:vAlign w:val="center"/>
          </w:tcPr>
          <w:p w14:paraId="358811C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21983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93" w:type="pct"/>
            <w:vAlign w:val="center"/>
          </w:tcPr>
          <w:p w14:paraId="59650EB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5</w:t>
            </w:r>
          </w:p>
        </w:tc>
        <w:tc>
          <w:tcPr>
            <w:tcW w:w="545" w:type="pct"/>
            <w:vMerge w:val="continue"/>
            <w:vAlign w:val="center"/>
          </w:tcPr>
          <w:p w14:paraId="11626EB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17" w:type="pct"/>
            <w:vAlign w:val="center"/>
          </w:tcPr>
          <w:p w14:paraId="3D80F37E">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窥探、打听其他投标人（供应商）信息或资料。</w:t>
            </w:r>
          </w:p>
        </w:tc>
        <w:tc>
          <w:tcPr>
            <w:tcW w:w="1882" w:type="pct"/>
            <w:vMerge w:val="continue"/>
            <w:vAlign w:val="center"/>
          </w:tcPr>
          <w:p w14:paraId="03CFF03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1" w:type="pct"/>
            <w:vAlign w:val="center"/>
          </w:tcPr>
          <w:p w14:paraId="13197DA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230F4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293" w:type="pct"/>
            <w:vAlign w:val="center"/>
          </w:tcPr>
          <w:p w14:paraId="14C5F03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6</w:t>
            </w:r>
          </w:p>
        </w:tc>
        <w:tc>
          <w:tcPr>
            <w:tcW w:w="545" w:type="pct"/>
            <w:vMerge w:val="continue"/>
            <w:vAlign w:val="center"/>
          </w:tcPr>
          <w:p w14:paraId="58AA3B5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17" w:type="pct"/>
            <w:vAlign w:val="center"/>
          </w:tcPr>
          <w:p w14:paraId="23F3D8B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故意扰乱开标（递交响应文件）纪律。</w:t>
            </w:r>
          </w:p>
        </w:tc>
        <w:tc>
          <w:tcPr>
            <w:tcW w:w="1882" w:type="pct"/>
            <w:vMerge w:val="continue"/>
            <w:vAlign w:val="center"/>
          </w:tcPr>
          <w:p w14:paraId="7ADAFA7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1" w:type="pct"/>
            <w:vAlign w:val="center"/>
          </w:tcPr>
          <w:p w14:paraId="0A348E2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p w14:paraId="0D8F9B8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tc>
      </w:tr>
      <w:tr w14:paraId="36175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293" w:type="pct"/>
            <w:vMerge w:val="restart"/>
            <w:vAlign w:val="center"/>
          </w:tcPr>
          <w:p w14:paraId="140C645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7</w:t>
            </w:r>
          </w:p>
        </w:tc>
        <w:tc>
          <w:tcPr>
            <w:tcW w:w="545" w:type="pct"/>
            <w:vMerge w:val="restart"/>
            <w:vAlign w:val="center"/>
          </w:tcPr>
          <w:p w14:paraId="4397580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招标人</w:t>
            </w:r>
          </w:p>
          <w:p w14:paraId="31FFAC3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（采购人、</w:t>
            </w:r>
          </w:p>
          <w:p w14:paraId="6A67F58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出让人、</w:t>
            </w:r>
          </w:p>
          <w:p w14:paraId="29E1429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代理机构）</w:t>
            </w:r>
          </w:p>
        </w:tc>
        <w:tc>
          <w:tcPr>
            <w:tcW w:w="1917" w:type="pct"/>
            <w:vAlign w:val="center"/>
          </w:tcPr>
          <w:p w14:paraId="3A9832D7">
            <w:pPr>
              <w:keepNext w:val="0"/>
              <w:keepLines w:val="0"/>
              <w:widowControl/>
              <w:suppressLineNumbers w:val="0"/>
              <w:jc w:val="left"/>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在开标当日投标截止时间30分钟前</w:t>
            </w:r>
            <w:r>
              <w:rPr>
                <w:rFonts w:hint="eastAsia" w:ascii="Times New Roman" w:hAnsi="Times New Roman" w:eastAsia="仿宋" w:cs="Times New Roman"/>
                <w:color w:val="auto"/>
                <w:sz w:val="24"/>
                <w:szCs w:val="24"/>
                <w:highlight w:val="none"/>
                <w:vertAlign w:val="baseline"/>
                <w:lang w:val="en-US" w:eastAsia="zh-CN"/>
              </w:rPr>
              <w:t>未</w:t>
            </w:r>
            <w:r>
              <w:rPr>
                <w:rFonts w:hint="default" w:ascii="Times New Roman" w:hAnsi="Times New Roman" w:eastAsia="仿宋" w:cs="Times New Roman"/>
                <w:color w:val="auto"/>
                <w:sz w:val="24"/>
                <w:szCs w:val="24"/>
                <w:highlight w:val="none"/>
                <w:vertAlign w:val="baseline"/>
                <w:lang w:val="en-US" w:eastAsia="zh-CN"/>
              </w:rPr>
              <w:t>到达交易现场办理入场查验手续或提交完整材料。</w:t>
            </w:r>
          </w:p>
        </w:tc>
        <w:tc>
          <w:tcPr>
            <w:tcW w:w="1882" w:type="pct"/>
            <w:vMerge w:val="restart"/>
            <w:vAlign w:val="top"/>
          </w:tcPr>
          <w:p w14:paraId="1F64E12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p w14:paraId="7610A9C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p w14:paraId="2F732A9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p w14:paraId="6D45142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p w14:paraId="09AA93EE">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p w14:paraId="68FA135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p w14:paraId="0B62675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p w14:paraId="0378DD3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p w14:paraId="665D854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p w14:paraId="0BBF833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p w14:paraId="0CE2470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p w14:paraId="3CE700F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p w14:paraId="23ED4F41">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p w14:paraId="1F2C8BAE">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p w14:paraId="65AE67C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《中华人民共和国招标投标法》及实施条例</w:t>
            </w:r>
          </w:p>
          <w:p w14:paraId="481912A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《中华人民共和国政府采购法》及实施条例</w:t>
            </w:r>
          </w:p>
          <w:p w14:paraId="7B785D4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《四川省公共资源交易现场服务公开工作规范》</w:t>
            </w:r>
          </w:p>
          <w:p w14:paraId="3F8C0C8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（川政公〔2019〕17号）</w:t>
            </w:r>
          </w:p>
          <w:p w14:paraId="3D603FA1">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《四川省公共资源交易平台管理实施细则》</w:t>
            </w:r>
          </w:p>
          <w:p w14:paraId="431BAA4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（川办发〔2020〕78号）</w:t>
            </w:r>
          </w:p>
          <w:p w14:paraId="0B8EC13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四川省工程建设项目招标代理机构操作规程</w:t>
            </w:r>
          </w:p>
          <w:p w14:paraId="7417486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（DBJ51/T040-2021）</w:t>
            </w:r>
          </w:p>
        </w:tc>
        <w:tc>
          <w:tcPr>
            <w:tcW w:w="361" w:type="pct"/>
            <w:vAlign w:val="center"/>
          </w:tcPr>
          <w:p w14:paraId="44E5A4F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5F9C7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293" w:type="pct"/>
            <w:vMerge w:val="continue"/>
            <w:vAlign w:val="center"/>
          </w:tcPr>
          <w:p w14:paraId="4FC0C74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545" w:type="pct"/>
            <w:vMerge w:val="continue"/>
            <w:vAlign w:val="center"/>
          </w:tcPr>
          <w:p w14:paraId="3EF5F76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17" w:type="pct"/>
            <w:vAlign w:val="center"/>
          </w:tcPr>
          <w:p w14:paraId="75DC165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项目负责人</w:t>
            </w:r>
            <w:r>
              <w:rPr>
                <w:rFonts w:hint="eastAsia" w:ascii="Times New Roman" w:hAnsi="Times New Roman" w:eastAsia="仿宋" w:cs="Times New Roman"/>
                <w:color w:val="auto"/>
                <w:sz w:val="24"/>
                <w:szCs w:val="24"/>
                <w:highlight w:val="none"/>
                <w:vertAlign w:val="baseline"/>
                <w:lang w:val="en-US" w:eastAsia="zh-CN"/>
              </w:rPr>
              <w:t>及</w:t>
            </w:r>
            <w:r>
              <w:rPr>
                <w:rFonts w:hint="default" w:ascii="Times New Roman" w:hAnsi="Times New Roman" w:eastAsia="仿宋" w:cs="Times New Roman"/>
                <w:color w:val="auto"/>
                <w:sz w:val="24"/>
                <w:szCs w:val="24"/>
                <w:highlight w:val="none"/>
                <w:vertAlign w:val="baseline"/>
                <w:lang w:val="en-US" w:eastAsia="zh-CN"/>
              </w:rPr>
              <w:t>至少一名合同约定的专职技术人员没有到场参加开标活动。</w:t>
            </w:r>
          </w:p>
        </w:tc>
        <w:tc>
          <w:tcPr>
            <w:tcW w:w="1882" w:type="pct"/>
            <w:vMerge w:val="continue"/>
            <w:vAlign w:val="top"/>
          </w:tcPr>
          <w:p w14:paraId="1ACFECA3">
            <w:pPr>
              <w:pStyle w:val="14"/>
              <w:spacing w:before="227" w:line="219" w:lineRule="auto"/>
              <w:ind w:left="114" w:leftChars="0"/>
              <w:rPr>
                <w:rFonts w:hint="default" w:ascii="Times New Roman" w:hAnsi="Times New Roman" w:eastAsia="仿宋" w:cs="Times New Roman"/>
                <w:color w:val="auto"/>
                <w:kern w:val="2"/>
                <w:sz w:val="28"/>
                <w:szCs w:val="28"/>
                <w:lang w:val="en-US" w:eastAsia="zh-CN" w:bidi="ar-SA"/>
              </w:rPr>
            </w:pPr>
          </w:p>
        </w:tc>
        <w:tc>
          <w:tcPr>
            <w:tcW w:w="361" w:type="pct"/>
            <w:vAlign w:val="center"/>
          </w:tcPr>
          <w:p w14:paraId="099A549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5DDCA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293" w:type="pct"/>
            <w:vAlign w:val="center"/>
          </w:tcPr>
          <w:p w14:paraId="04F42DF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8</w:t>
            </w:r>
          </w:p>
        </w:tc>
        <w:tc>
          <w:tcPr>
            <w:tcW w:w="545" w:type="pct"/>
            <w:vMerge w:val="continue"/>
            <w:vAlign w:val="center"/>
          </w:tcPr>
          <w:p w14:paraId="3A29C35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17" w:type="pct"/>
            <w:vAlign w:val="center"/>
          </w:tcPr>
          <w:p w14:paraId="39322853">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kern w:val="2"/>
                <w:sz w:val="24"/>
                <w:szCs w:val="24"/>
                <w:highlight w:val="none"/>
                <w:vertAlign w:val="baseline"/>
                <w:lang w:val="en-US" w:eastAsia="zh-CN" w:bidi="ar-SA"/>
              </w:rPr>
            </w:pPr>
            <w:r>
              <w:rPr>
                <w:rFonts w:hint="eastAsia" w:ascii="Times New Roman" w:hAnsi="Times New Roman" w:eastAsia="仿宋" w:cs="Times New Roman"/>
                <w:color w:val="auto"/>
                <w:kern w:val="2"/>
                <w:sz w:val="24"/>
                <w:szCs w:val="24"/>
                <w:highlight w:val="none"/>
                <w:vertAlign w:val="baseline"/>
                <w:lang w:val="en-US" w:eastAsia="zh-CN" w:bidi="ar-SA"/>
              </w:rPr>
              <w:t>未</w:t>
            </w:r>
            <w:r>
              <w:rPr>
                <w:rFonts w:hint="default" w:ascii="Times New Roman" w:hAnsi="Times New Roman" w:eastAsia="仿宋" w:cs="Times New Roman"/>
                <w:color w:val="auto"/>
                <w:kern w:val="2"/>
                <w:sz w:val="24"/>
                <w:szCs w:val="24"/>
                <w:highlight w:val="none"/>
                <w:vertAlign w:val="baseline"/>
                <w:lang w:val="en-US" w:eastAsia="zh-CN" w:bidi="ar-SA"/>
              </w:rPr>
              <w:t>严格按照招标文件的要求接收投标文件并严格按照法定程序组织开标，维护开标现场秩序，依法依规妥善处理现场纠纷。</w:t>
            </w:r>
          </w:p>
        </w:tc>
        <w:tc>
          <w:tcPr>
            <w:tcW w:w="1882" w:type="pct"/>
            <w:vMerge w:val="continue"/>
            <w:vAlign w:val="center"/>
          </w:tcPr>
          <w:p w14:paraId="02E0950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1" w:type="pct"/>
            <w:vAlign w:val="center"/>
          </w:tcPr>
          <w:p w14:paraId="13AA645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7CBB0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293" w:type="pct"/>
            <w:vAlign w:val="center"/>
          </w:tcPr>
          <w:p w14:paraId="0C544C4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9</w:t>
            </w:r>
          </w:p>
        </w:tc>
        <w:tc>
          <w:tcPr>
            <w:tcW w:w="545" w:type="pct"/>
            <w:vMerge w:val="continue"/>
            <w:vAlign w:val="center"/>
          </w:tcPr>
          <w:p w14:paraId="1CFED58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17" w:type="pct"/>
            <w:vAlign w:val="center"/>
          </w:tcPr>
          <w:p w14:paraId="09AF21FE">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strike/>
                <w:dstrike w:val="0"/>
                <w:color w:val="auto"/>
                <w:kern w:val="2"/>
                <w:sz w:val="24"/>
                <w:szCs w:val="24"/>
                <w:highlight w:val="none"/>
                <w:vertAlign w:val="baseline"/>
                <w:lang w:val="en-US" w:eastAsia="zh-CN" w:bidi="ar-SA"/>
              </w:rPr>
            </w:pPr>
            <w:r>
              <w:rPr>
                <w:rFonts w:hint="eastAsia" w:ascii="仿宋" w:hAnsi="仿宋" w:eastAsia="仿宋" w:cs="Times New Roman"/>
                <w:color w:val="000000"/>
                <w:sz w:val="24"/>
                <w:szCs w:val="24"/>
              </w:rPr>
              <w:t>未按招标文件约定开展随机抽取事项。</w:t>
            </w:r>
          </w:p>
        </w:tc>
        <w:tc>
          <w:tcPr>
            <w:tcW w:w="1882" w:type="pct"/>
            <w:vMerge w:val="continue"/>
            <w:vAlign w:val="center"/>
          </w:tcPr>
          <w:p w14:paraId="1ADA67D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1" w:type="pct"/>
            <w:vAlign w:val="center"/>
          </w:tcPr>
          <w:p w14:paraId="6D267D5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4C0B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293" w:type="pct"/>
            <w:vAlign w:val="center"/>
          </w:tcPr>
          <w:p w14:paraId="4DBB6BE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10</w:t>
            </w:r>
          </w:p>
        </w:tc>
        <w:tc>
          <w:tcPr>
            <w:tcW w:w="545" w:type="pct"/>
            <w:vMerge w:val="continue"/>
            <w:vAlign w:val="center"/>
          </w:tcPr>
          <w:p w14:paraId="32773D8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17" w:type="pct"/>
            <w:vAlign w:val="center"/>
          </w:tcPr>
          <w:p w14:paraId="3F597C6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kern w:val="2"/>
                <w:sz w:val="24"/>
                <w:szCs w:val="24"/>
                <w:highlight w:val="none"/>
                <w:vertAlign w:val="baseline"/>
                <w:lang w:val="en-US" w:eastAsia="zh-CN" w:bidi="ar-SA"/>
              </w:rPr>
            </w:pPr>
            <w:r>
              <w:rPr>
                <w:rFonts w:hint="eastAsia" w:ascii="Times New Roman" w:hAnsi="Times New Roman" w:eastAsia="仿宋" w:cs="Times New Roman"/>
                <w:color w:val="auto"/>
                <w:kern w:val="2"/>
                <w:sz w:val="24"/>
                <w:szCs w:val="24"/>
                <w:highlight w:val="none"/>
                <w:vertAlign w:val="baseline"/>
                <w:lang w:val="en-US" w:eastAsia="zh-CN" w:bidi="ar-SA"/>
              </w:rPr>
              <w:t>未</w:t>
            </w:r>
            <w:r>
              <w:rPr>
                <w:rFonts w:hint="default" w:ascii="Times New Roman" w:hAnsi="Times New Roman" w:eastAsia="仿宋" w:cs="Times New Roman"/>
                <w:color w:val="auto"/>
                <w:kern w:val="2"/>
                <w:sz w:val="24"/>
                <w:szCs w:val="24"/>
                <w:highlight w:val="none"/>
                <w:vertAlign w:val="baseline"/>
                <w:lang w:val="en-US" w:eastAsia="zh-CN" w:bidi="ar-SA"/>
              </w:rPr>
              <w:t>按开标现场实际情况如实记录。</w:t>
            </w:r>
          </w:p>
        </w:tc>
        <w:tc>
          <w:tcPr>
            <w:tcW w:w="1882" w:type="pct"/>
            <w:vMerge w:val="continue"/>
            <w:vAlign w:val="center"/>
          </w:tcPr>
          <w:p w14:paraId="0BC3B03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1" w:type="pct"/>
            <w:vAlign w:val="center"/>
          </w:tcPr>
          <w:p w14:paraId="7832641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28945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293" w:type="pct"/>
            <w:vAlign w:val="center"/>
          </w:tcPr>
          <w:p w14:paraId="2405369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11</w:t>
            </w:r>
          </w:p>
        </w:tc>
        <w:tc>
          <w:tcPr>
            <w:tcW w:w="545" w:type="pct"/>
            <w:vMerge w:val="continue"/>
            <w:vAlign w:val="center"/>
          </w:tcPr>
          <w:p w14:paraId="75811BA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17" w:type="pct"/>
            <w:vAlign w:val="center"/>
          </w:tcPr>
          <w:p w14:paraId="414F4F2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方正书宋简体" w:cs="Times New Roman"/>
                <w:color w:val="auto"/>
                <w:kern w:val="2"/>
                <w:sz w:val="24"/>
                <w:szCs w:val="24"/>
                <w:highlight w:val="none"/>
                <w:vertAlign w:val="baseline"/>
                <w:lang w:val="en-US" w:eastAsia="zh-CN" w:bidi="ar-SA"/>
              </w:rPr>
            </w:pPr>
            <w:r>
              <w:rPr>
                <w:rFonts w:hint="eastAsia" w:ascii="Times New Roman" w:hAnsi="Times New Roman" w:eastAsia="仿宋" w:cs="Times New Roman"/>
                <w:color w:val="auto"/>
                <w:kern w:val="2"/>
                <w:sz w:val="24"/>
                <w:szCs w:val="24"/>
                <w:highlight w:val="none"/>
                <w:vertAlign w:val="baseline"/>
                <w:lang w:val="en-US" w:eastAsia="zh-CN" w:bidi="ar-SA"/>
              </w:rPr>
              <w:t>未</w:t>
            </w:r>
            <w:r>
              <w:rPr>
                <w:rFonts w:hint="default" w:ascii="Times New Roman" w:hAnsi="Times New Roman" w:eastAsia="仿宋" w:cs="Times New Roman"/>
                <w:color w:val="auto"/>
                <w:kern w:val="2"/>
                <w:sz w:val="24"/>
                <w:szCs w:val="24"/>
                <w:highlight w:val="none"/>
                <w:vertAlign w:val="baseline"/>
                <w:lang w:val="en-US" w:eastAsia="zh-CN" w:bidi="ar-SA"/>
              </w:rPr>
              <w:t>在开标记录表上签字确认、及时整理开标资料及评标所需文件、与项目监督人员、现场工作人员共同移送所有资料到交易评审区。</w:t>
            </w:r>
          </w:p>
        </w:tc>
        <w:tc>
          <w:tcPr>
            <w:tcW w:w="1882" w:type="pct"/>
            <w:vMerge w:val="continue"/>
            <w:vAlign w:val="center"/>
          </w:tcPr>
          <w:p w14:paraId="5494D42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1" w:type="pct"/>
            <w:vAlign w:val="center"/>
          </w:tcPr>
          <w:p w14:paraId="7CBA992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75C90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293" w:type="pct"/>
            <w:vAlign w:val="center"/>
          </w:tcPr>
          <w:p w14:paraId="6616E43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12</w:t>
            </w:r>
          </w:p>
        </w:tc>
        <w:tc>
          <w:tcPr>
            <w:tcW w:w="545" w:type="pct"/>
            <w:vMerge w:val="continue"/>
            <w:vAlign w:val="center"/>
          </w:tcPr>
          <w:p w14:paraId="2038FC8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17" w:type="pct"/>
            <w:vAlign w:val="center"/>
          </w:tcPr>
          <w:p w14:paraId="06A19DF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kern w:val="2"/>
                <w:sz w:val="24"/>
                <w:szCs w:val="24"/>
                <w:highlight w:val="none"/>
                <w:vertAlign w:val="baseline"/>
                <w:lang w:val="en-US" w:eastAsia="zh-CN" w:bidi="ar-SA"/>
              </w:rPr>
            </w:pPr>
            <w:r>
              <w:rPr>
                <w:rFonts w:hint="default" w:ascii="Times New Roman" w:hAnsi="Times New Roman" w:eastAsia="仿宋" w:cs="Times New Roman"/>
                <w:color w:val="auto"/>
                <w:kern w:val="2"/>
                <w:sz w:val="24"/>
                <w:szCs w:val="24"/>
                <w:highlight w:val="none"/>
                <w:vertAlign w:val="baseline"/>
                <w:lang w:val="en-US" w:eastAsia="zh-CN" w:bidi="ar-SA"/>
              </w:rPr>
              <w:t>拒绝在代理机构进场不良行为记录表上签字。</w:t>
            </w:r>
          </w:p>
        </w:tc>
        <w:tc>
          <w:tcPr>
            <w:tcW w:w="1882" w:type="pct"/>
            <w:vMerge w:val="continue"/>
            <w:vAlign w:val="center"/>
          </w:tcPr>
          <w:p w14:paraId="70E2A28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1" w:type="pct"/>
            <w:vAlign w:val="center"/>
          </w:tcPr>
          <w:p w14:paraId="01E265D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0AEFB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293" w:type="pct"/>
            <w:vAlign w:val="center"/>
          </w:tcPr>
          <w:p w14:paraId="16945F0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13</w:t>
            </w:r>
          </w:p>
        </w:tc>
        <w:tc>
          <w:tcPr>
            <w:tcW w:w="545" w:type="pct"/>
            <w:vMerge w:val="continue"/>
            <w:vAlign w:val="center"/>
          </w:tcPr>
          <w:p w14:paraId="516E804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17" w:type="pct"/>
            <w:vAlign w:val="center"/>
          </w:tcPr>
          <w:p w14:paraId="426635E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kern w:val="2"/>
                <w:sz w:val="24"/>
                <w:szCs w:val="24"/>
                <w:highlight w:val="none"/>
                <w:vertAlign w:val="baseline"/>
                <w:lang w:val="en-US" w:eastAsia="zh-CN" w:bidi="ar-SA"/>
              </w:rPr>
            </w:pPr>
            <w:r>
              <w:rPr>
                <w:rFonts w:hint="default" w:ascii="Times New Roman" w:hAnsi="Times New Roman" w:eastAsia="仿宋" w:cs="Times New Roman"/>
                <w:color w:val="auto"/>
                <w:kern w:val="2"/>
                <w:sz w:val="24"/>
                <w:szCs w:val="24"/>
                <w:highlight w:val="none"/>
                <w:vertAlign w:val="baseline"/>
                <w:lang w:val="en-US" w:eastAsia="zh-CN" w:bidi="ar-SA"/>
              </w:rPr>
              <w:t>对交易平台操作不规范、造成开评标过程中断、影响交易流程和网络安全。</w:t>
            </w:r>
          </w:p>
        </w:tc>
        <w:tc>
          <w:tcPr>
            <w:tcW w:w="1882" w:type="pct"/>
            <w:vMerge w:val="continue"/>
            <w:vAlign w:val="center"/>
          </w:tcPr>
          <w:p w14:paraId="46A08EE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1" w:type="pct"/>
            <w:vAlign w:val="center"/>
          </w:tcPr>
          <w:p w14:paraId="58864F2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p w14:paraId="3F05001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tc>
      </w:tr>
      <w:tr w14:paraId="5C758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293" w:type="pct"/>
            <w:vAlign w:val="center"/>
          </w:tcPr>
          <w:p w14:paraId="169244D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14</w:t>
            </w:r>
          </w:p>
        </w:tc>
        <w:tc>
          <w:tcPr>
            <w:tcW w:w="545" w:type="pct"/>
            <w:vMerge w:val="continue"/>
            <w:vAlign w:val="center"/>
          </w:tcPr>
          <w:p w14:paraId="48C77BC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17" w:type="pct"/>
            <w:vAlign w:val="center"/>
          </w:tcPr>
          <w:p w14:paraId="695916BE">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kern w:val="2"/>
                <w:sz w:val="24"/>
                <w:szCs w:val="24"/>
                <w:highlight w:val="none"/>
                <w:vertAlign w:val="baseline"/>
                <w:lang w:val="en-US" w:eastAsia="zh-CN" w:bidi="ar-SA"/>
              </w:rPr>
            </w:pPr>
            <w:r>
              <w:rPr>
                <w:rFonts w:hint="default" w:ascii="Times New Roman" w:hAnsi="Times New Roman" w:eastAsia="仿宋" w:cs="Times New Roman"/>
                <w:color w:val="auto"/>
                <w:kern w:val="2"/>
                <w:sz w:val="24"/>
                <w:szCs w:val="24"/>
                <w:highlight w:val="none"/>
                <w:vertAlign w:val="baseline"/>
                <w:lang w:val="en-US" w:eastAsia="zh-CN" w:bidi="ar-SA"/>
              </w:rPr>
              <w:t>在本项目开标结束前无正当理由串岗脱岗、擅离职守或带领无关人员进入开标区域。</w:t>
            </w:r>
          </w:p>
        </w:tc>
        <w:tc>
          <w:tcPr>
            <w:tcW w:w="1882" w:type="pct"/>
            <w:vMerge w:val="continue"/>
            <w:vAlign w:val="center"/>
          </w:tcPr>
          <w:p w14:paraId="48FC659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1" w:type="pct"/>
            <w:vAlign w:val="center"/>
          </w:tcPr>
          <w:p w14:paraId="08A4499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tc>
      </w:tr>
      <w:tr w14:paraId="4A3D0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293" w:type="pct"/>
            <w:vAlign w:val="center"/>
          </w:tcPr>
          <w:p w14:paraId="41F895A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15</w:t>
            </w:r>
          </w:p>
        </w:tc>
        <w:tc>
          <w:tcPr>
            <w:tcW w:w="545" w:type="pct"/>
            <w:vMerge w:val="continue"/>
            <w:vAlign w:val="center"/>
          </w:tcPr>
          <w:p w14:paraId="0B0CC92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17" w:type="pct"/>
            <w:vAlign w:val="center"/>
          </w:tcPr>
          <w:p w14:paraId="3D8816C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kern w:val="2"/>
                <w:sz w:val="24"/>
                <w:szCs w:val="24"/>
                <w:highlight w:val="none"/>
                <w:vertAlign w:val="baseline"/>
                <w:lang w:val="en-US" w:eastAsia="zh-CN" w:bidi="ar-SA"/>
              </w:rPr>
            </w:pPr>
            <w:r>
              <w:rPr>
                <w:rFonts w:hint="default" w:ascii="Times New Roman" w:hAnsi="Times New Roman" w:eastAsia="仿宋" w:cs="Times New Roman"/>
                <w:color w:val="auto"/>
                <w:kern w:val="2"/>
                <w:sz w:val="24"/>
                <w:szCs w:val="24"/>
                <w:highlight w:val="none"/>
                <w:vertAlign w:val="baseline"/>
                <w:lang w:val="en-US" w:eastAsia="zh-CN" w:bidi="ar-SA"/>
              </w:rPr>
              <w:t>在项目开标过程中对投标人（供应商）针对开标过程提出的异议不予解释澄清。</w:t>
            </w:r>
          </w:p>
        </w:tc>
        <w:tc>
          <w:tcPr>
            <w:tcW w:w="1882" w:type="pct"/>
            <w:vMerge w:val="continue"/>
            <w:vAlign w:val="center"/>
          </w:tcPr>
          <w:p w14:paraId="5C9C530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1" w:type="pct"/>
            <w:vAlign w:val="center"/>
          </w:tcPr>
          <w:p w14:paraId="30FB89F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tc>
      </w:tr>
      <w:tr w14:paraId="1BAF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293" w:type="pct"/>
            <w:vAlign w:val="center"/>
          </w:tcPr>
          <w:p w14:paraId="10FBA9B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16</w:t>
            </w:r>
          </w:p>
        </w:tc>
        <w:tc>
          <w:tcPr>
            <w:tcW w:w="545" w:type="pct"/>
            <w:vMerge w:val="continue"/>
            <w:vAlign w:val="center"/>
          </w:tcPr>
          <w:p w14:paraId="015E999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17" w:type="pct"/>
            <w:vAlign w:val="center"/>
          </w:tcPr>
          <w:p w14:paraId="4D58B9B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kern w:val="2"/>
                <w:sz w:val="24"/>
                <w:szCs w:val="24"/>
                <w:highlight w:val="none"/>
                <w:vertAlign w:val="baseline"/>
                <w:lang w:val="en-US" w:eastAsia="zh-CN" w:bidi="ar-SA"/>
              </w:rPr>
            </w:pPr>
            <w:r>
              <w:rPr>
                <w:rFonts w:hint="default" w:ascii="Times New Roman" w:hAnsi="Times New Roman" w:eastAsia="仿宋" w:cs="Times New Roman"/>
                <w:color w:val="auto"/>
                <w:kern w:val="2"/>
                <w:sz w:val="24"/>
                <w:szCs w:val="24"/>
                <w:highlight w:val="none"/>
                <w:vertAlign w:val="baseline"/>
                <w:lang w:val="en-US" w:eastAsia="zh-CN" w:bidi="ar-SA"/>
              </w:rPr>
              <w:t>工作态度生硬蛮横或与服务对象发生争吵或被电话、书面等形式投诉。</w:t>
            </w:r>
          </w:p>
        </w:tc>
        <w:tc>
          <w:tcPr>
            <w:tcW w:w="1882" w:type="pct"/>
            <w:vMerge w:val="continue"/>
            <w:vAlign w:val="center"/>
          </w:tcPr>
          <w:p w14:paraId="0672301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1" w:type="pct"/>
            <w:vAlign w:val="center"/>
          </w:tcPr>
          <w:p w14:paraId="29D5E2E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tc>
      </w:tr>
      <w:tr w14:paraId="2604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293" w:type="pct"/>
            <w:vAlign w:val="center"/>
          </w:tcPr>
          <w:p w14:paraId="77A4568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17</w:t>
            </w:r>
          </w:p>
        </w:tc>
        <w:tc>
          <w:tcPr>
            <w:tcW w:w="545" w:type="pct"/>
            <w:vMerge w:val="continue"/>
            <w:vAlign w:val="center"/>
          </w:tcPr>
          <w:p w14:paraId="3AED7FD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17" w:type="pct"/>
            <w:vAlign w:val="center"/>
          </w:tcPr>
          <w:p w14:paraId="218348D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kern w:val="2"/>
                <w:sz w:val="24"/>
                <w:szCs w:val="24"/>
                <w:highlight w:val="none"/>
                <w:vertAlign w:val="baseline"/>
                <w:lang w:val="en-US" w:eastAsia="zh-CN" w:bidi="ar-SA"/>
              </w:rPr>
            </w:pPr>
            <w:r>
              <w:rPr>
                <w:rFonts w:hint="default" w:ascii="Times New Roman" w:hAnsi="Times New Roman" w:eastAsia="仿宋" w:cs="Times New Roman"/>
                <w:color w:val="auto"/>
                <w:kern w:val="2"/>
                <w:sz w:val="24"/>
                <w:szCs w:val="24"/>
                <w:highlight w:val="none"/>
                <w:vertAlign w:val="baseline"/>
                <w:lang w:val="en-US" w:eastAsia="zh-CN" w:bidi="ar-SA"/>
              </w:rPr>
              <w:t>出现异常情况未及时向交易中心工作人员报告。</w:t>
            </w:r>
          </w:p>
        </w:tc>
        <w:tc>
          <w:tcPr>
            <w:tcW w:w="1882" w:type="pct"/>
            <w:vMerge w:val="continue"/>
            <w:vAlign w:val="center"/>
          </w:tcPr>
          <w:p w14:paraId="666940F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1" w:type="pct"/>
            <w:vAlign w:val="center"/>
          </w:tcPr>
          <w:p w14:paraId="52CF166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三级</w:t>
            </w:r>
          </w:p>
        </w:tc>
      </w:tr>
      <w:tr w14:paraId="50EDF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293" w:type="pct"/>
            <w:vAlign w:val="center"/>
          </w:tcPr>
          <w:p w14:paraId="42ECAE2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18</w:t>
            </w:r>
          </w:p>
        </w:tc>
        <w:tc>
          <w:tcPr>
            <w:tcW w:w="545" w:type="pct"/>
            <w:vMerge w:val="restart"/>
            <w:vAlign w:val="center"/>
          </w:tcPr>
          <w:p w14:paraId="18BB323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项目监督</w:t>
            </w:r>
          </w:p>
        </w:tc>
        <w:tc>
          <w:tcPr>
            <w:tcW w:w="1917" w:type="pct"/>
            <w:vAlign w:val="center"/>
          </w:tcPr>
          <w:p w14:paraId="3FE302EF">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书宋简体" w:cs="Times New Roman"/>
                <w:color w:val="auto"/>
                <w:kern w:val="2"/>
                <w:sz w:val="24"/>
                <w:szCs w:val="24"/>
                <w:highlight w:val="none"/>
                <w:vertAlign w:val="baseline"/>
                <w:lang w:val="en-US" w:eastAsia="zh-CN" w:bidi="ar-SA"/>
              </w:rPr>
            </w:pPr>
            <w:r>
              <w:rPr>
                <w:rFonts w:hint="eastAsia" w:ascii="Times New Roman" w:hAnsi="Times New Roman" w:eastAsia="仿宋" w:cs="Times New Roman"/>
                <w:color w:val="auto"/>
                <w:kern w:val="2"/>
                <w:sz w:val="24"/>
                <w:szCs w:val="24"/>
                <w:highlight w:val="none"/>
                <w:vertAlign w:val="baseline"/>
                <w:lang w:val="en-US" w:eastAsia="zh-CN" w:bidi="ar-SA"/>
              </w:rPr>
              <w:t>未</w:t>
            </w:r>
            <w:r>
              <w:rPr>
                <w:rFonts w:hint="default" w:ascii="Times New Roman" w:hAnsi="Times New Roman" w:eastAsia="仿宋" w:cs="Times New Roman"/>
                <w:color w:val="auto"/>
                <w:kern w:val="2"/>
                <w:sz w:val="24"/>
                <w:szCs w:val="24"/>
                <w:highlight w:val="none"/>
                <w:vertAlign w:val="baseline"/>
                <w:lang w:val="en-US" w:eastAsia="zh-CN" w:bidi="ar-SA"/>
              </w:rPr>
              <w:t>按规定时间到达项目开标现场履行监督职责。</w:t>
            </w:r>
          </w:p>
        </w:tc>
        <w:tc>
          <w:tcPr>
            <w:tcW w:w="1882" w:type="pct"/>
            <w:vMerge w:val="restart"/>
            <w:vAlign w:val="center"/>
          </w:tcPr>
          <w:p w14:paraId="49B2C0A1">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《四川省公共资源交易各方主体现场行为规范（试行）》（川政公〔2019〕26号）</w:t>
            </w:r>
          </w:p>
          <w:p w14:paraId="67E0548C">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《四川省公共资源交易现场服务公开工作规范》</w:t>
            </w:r>
          </w:p>
          <w:p w14:paraId="0E371FA4">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（川政公〔2019〕17号）</w:t>
            </w:r>
          </w:p>
          <w:p w14:paraId="5D753A64">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《四川省公共资源交易平台管理实施细则》</w:t>
            </w:r>
          </w:p>
          <w:p w14:paraId="0F2CF42A">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（川办发〔2020〕78号）</w:t>
            </w:r>
          </w:p>
          <w:p w14:paraId="262470CF">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1" w:type="pct"/>
            <w:vAlign w:val="center"/>
          </w:tcPr>
          <w:p w14:paraId="7CC74DB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61B74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293" w:type="pct"/>
            <w:vAlign w:val="center"/>
          </w:tcPr>
          <w:p w14:paraId="79BD57B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19</w:t>
            </w:r>
          </w:p>
        </w:tc>
        <w:tc>
          <w:tcPr>
            <w:tcW w:w="545" w:type="pct"/>
            <w:vMerge w:val="continue"/>
            <w:vAlign w:val="center"/>
          </w:tcPr>
          <w:p w14:paraId="7A16D10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17" w:type="pct"/>
            <w:vAlign w:val="center"/>
          </w:tcPr>
          <w:p w14:paraId="4F461A36">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书宋简体" w:cs="Times New Roman"/>
                <w:color w:val="auto"/>
                <w:kern w:val="2"/>
                <w:sz w:val="24"/>
                <w:szCs w:val="24"/>
                <w:highlight w:val="none"/>
                <w:vertAlign w:val="baseline"/>
                <w:lang w:val="en-US" w:eastAsia="zh-CN" w:bidi="ar-SA"/>
              </w:rPr>
            </w:pPr>
            <w:r>
              <w:rPr>
                <w:rFonts w:hint="eastAsia" w:ascii="Times New Roman" w:hAnsi="Times New Roman" w:eastAsia="仿宋" w:cs="Times New Roman"/>
                <w:color w:val="auto"/>
                <w:kern w:val="2"/>
                <w:sz w:val="24"/>
                <w:szCs w:val="24"/>
                <w:highlight w:val="none"/>
                <w:vertAlign w:val="baseline"/>
                <w:lang w:val="en-US" w:eastAsia="zh-CN" w:bidi="ar-SA"/>
              </w:rPr>
              <w:t>未</w:t>
            </w:r>
            <w:r>
              <w:rPr>
                <w:rFonts w:hint="default" w:ascii="Times New Roman" w:hAnsi="Times New Roman" w:eastAsia="仿宋" w:cs="Times New Roman"/>
                <w:color w:val="auto"/>
                <w:kern w:val="2"/>
                <w:sz w:val="24"/>
                <w:szCs w:val="24"/>
                <w:highlight w:val="none"/>
                <w:vertAlign w:val="baseline"/>
                <w:lang w:val="en-US" w:eastAsia="zh-CN" w:bidi="ar-SA"/>
              </w:rPr>
              <w:t>凭单位介绍信和有效身份证件在交易中心领取监督证件、开展监督工作。</w:t>
            </w:r>
          </w:p>
        </w:tc>
        <w:tc>
          <w:tcPr>
            <w:tcW w:w="1882" w:type="pct"/>
            <w:vMerge w:val="continue"/>
            <w:vAlign w:val="center"/>
          </w:tcPr>
          <w:p w14:paraId="6FF03F18">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1" w:type="pct"/>
            <w:vAlign w:val="center"/>
          </w:tcPr>
          <w:p w14:paraId="37E3280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63A06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93" w:type="pct"/>
            <w:vAlign w:val="center"/>
          </w:tcPr>
          <w:p w14:paraId="012AA48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20</w:t>
            </w:r>
          </w:p>
        </w:tc>
        <w:tc>
          <w:tcPr>
            <w:tcW w:w="545" w:type="pct"/>
            <w:vMerge w:val="continue"/>
            <w:vAlign w:val="center"/>
          </w:tcPr>
          <w:p w14:paraId="5F21260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17" w:type="pct"/>
            <w:vAlign w:val="center"/>
          </w:tcPr>
          <w:p w14:paraId="5153E595">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仿宋" w:cs="Times New Roman"/>
                <w:color w:val="auto"/>
                <w:kern w:val="2"/>
                <w:sz w:val="24"/>
                <w:szCs w:val="24"/>
                <w:highlight w:val="none"/>
                <w:vertAlign w:val="baseline"/>
                <w:lang w:val="en-US" w:eastAsia="zh-CN" w:bidi="ar-SA"/>
              </w:rPr>
            </w:pPr>
            <w:r>
              <w:rPr>
                <w:rFonts w:hint="default" w:ascii="Times New Roman" w:hAnsi="Times New Roman" w:eastAsia="仿宋" w:cs="Times New Roman"/>
                <w:color w:val="auto"/>
                <w:kern w:val="2"/>
                <w:sz w:val="24"/>
                <w:szCs w:val="24"/>
                <w:highlight w:val="none"/>
                <w:vertAlign w:val="baseline"/>
                <w:lang w:val="en-US" w:eastAsia="zh-CN" w:bidi="ar-SA"/>
              </w:rPr>
              <w:t>擅自转借和托管监督证件。</w:t>
            </w:r>
          </w:p>
        </w:tc>
        <w:tc>
          <w:tcPr>
            <w:tcW w:w="1882" w:type="pct"/>
            <w:vMerge w:val="continue"/>
            <w:vAlign w:val="center"/>
          </w:tcPr>
          <w:p w14:paraId="3D97BBEA">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1" w:type="pct"/>
            <w:vAlign w:val="center"/>
          </w:tcPr>
          <w:p w14:paraId="1703344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321F1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293" w:type="pct"/>
            <w:vAlign w:val="center"/>
          </w:tcPr>
          <w:p w14:paraId="69DCEB7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21</w:t>
            </w:r>
          </w:p>
        </w:tc>
        <w:tc>
          <w:tcPr>
            <w:tcW w:w="545" w:type="pct"/>
            <w:vMerge w:val="continue"/>
            <w:vAlign w:val="center"/>
          </w:tcPr>
          <w:p w14:paraId="038FBC1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17" w:type="pct"/>
            <w:vAlign w:val="center"/>
          </w:tcPr>
          <w:p w14:paraId="3110F779">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kern w:val="2"/>
                <w:sz w:val="24"/>
                <w:szCs w:val="24"/>
                <w:highlight w:val="none"/>
                <w:vertAlign w:val="baseline"/>
                <w:lang w:val="en-US" w:eastAsia="zh-CN" w:bidi="ar-SA"/>
              </w:rPr>
            </w:pPr>
            <w:r>
              <w:rPr>
                <w:rFonts w:hint="default" w:ascii="Times New Roman" w:hAnsi="Times New Roman" w:eastAsia="仿宋" w:cs="Times New Roman"/>
                <w:color w:val="auto"/>
                <w:kern w:val="2"/>
                <w:sz w:val="24"/>
                <w:szCs w:val="24"/>
                <w:highlight w:val="none"/>
                <w:vertAlign w:val="baseline"/>
                <w:lang w:val="en-US" w:eastAsia="zh-CN" w:bidi="ar-SA"/>
              </w:rPr>
              <w:t>干预或影响正常开标秩序。</w:t>
            </w:r>
          </w:p>
        </w:tc>
        <w:tc>
          <w:tcPr>
            <w:tcW w:w="1882" w:type="pct"/>
            <w:vMerge w:val="continue"/>
            <w:vAlign w:val="center"/>
          </w:tcPr>
          <w:p w14:paraId="58EC0906">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1" w:type="pct"/>
            <w:vAlign w:val="center"/>
          </w:tcPr>
          <w:p w14:paraId="78A87EE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2DCE6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93" w:type="pct"/>
            <w:vAlign w:val="center"/>
          </w:tcPr>
          <w:p w14:paraId="0C6F271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22</w:t>
            </w:r>
          </w:p>
        </w:tc>
        <w:tc>
          <w:tcPr>
            <w:tcW w:w="545" w:type="pct"/>
            <w:vMerge w:val="continue"/>
            <w:vAlign w:val="center"/>
          </w:tcPr>
          <w:p w14:paraId="1394F70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17" w:type="pct"/>
            <w:vAlign w:val="center"/>
          </w:tcPr>
          <w:p w14:paraId="074358DB">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仿宋" w:cs="Times New Roman"/>
                <w:color w:val="auto"/>
                <w:kern w:val="2"/>
                <w:sz w:val="24"/>
                <w:szCs w:val="24"/>
                <w:highlight w:val="none"/>
                <w:vertAlign w:val="baseline"/>
                <w:lang w:val="en-US" w:eastAsia="zh-CN" w:bidi="ar-SA"/>
              </w:rPr>
            </w:pPr>
            <w:r>
              <w:rPr>
                <w:rFonts w:hint="default" w:ascii="Times New Roman" w:hAnsi="Times New Roman" w:eastAsia="仿宋" w:cs="Times New Roman"/>
                <w:color w:val="auto"/>
                <w:kern w:val="2"/>
                <w:sz w:val="24"/>
                <w:szCs w:val="24"/>
                <w:highlight w:val="none"/>
                <w:vertAlign w:val="baseline"/>
                <w:lang w:val="en-US" w:eastAsia="zh-CN" w:bidi="ar-SA"/>
              </w:rPr>
              <w:t>在开标现场睡觉、吸烟、聊天、玩手机打游戏或脱岗等。</w:t>
            </w:r>
          </w:p>
        </w:tc>
        <w:tc>
          <w:tcPr>
            <w:tcW w:w="1882" w:type="pct"/>
            <w:vMerge w:val="continue"/>
            <w:vAlign w:val="center"/>
          </w:tcPr>
          <w:p w14:paraId="10BFEACB">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1" w:type="pct"/>
            <w:vAlign w:val="center"/>
          </w:tcPr>
          <w:p w14:paraId="6C943A5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62DDA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293" w:type="pct"/>
            <w:vAlign w:val="center"/>
          </w:tcPr>
          <w:p w14:paraId="5C2E984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23</w:t>
            </w:r>
          </w:p>
        </w:tc>
        <w:tc>
          <w:tcPr>
            <w:tcW w:w="545" w:type="pct"/>
            <w:vMerge w:val="continue"/>
            <w:vAlign w:val="center"/>
          </w:tcPr>
          <w:p w14:paraId="47F5A75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17" w:type="pct"/>
            <w:vAlign w:val="center"/>
          </w:tcPr>
          <w:p w14:paraId="13899149">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kern w:val="2"/>
                <w:sz w:val="24"/>
                <w:szCs w:val="24"/>
                <w:highlight w:val="none"/>
                <w:vertAlign w:val="baseline"/>
                <w:lang w:val="en-US" w:eastAsia="zh-CN" w:bidi="ar-SA"/>
              </w:rPr>
            </w:pPr>
            <w:r>
              <w:rPr>
                <w:rFonts w:hint="eastAsia" w:ascii="Times New Roman" w:hAnsi="Times New Roman" w:eastAsia="仿宋" w:cs="Times New Roman"/>
                <w:color w:val="auto"/>
                <w:kern w:val="2"/>
                <w:sz w:val="24"/>
                <w:szCs w:val="24"/>
                <w:highlight w:val="none"/>
                <w:vertAlign w:val="baseline"/>
                <w:lang w:val="en-US" w:eastAsia="zh-CN" w:bidi="ar-SA"/>
              </w:rPr>
              <w:t>未</w:t>
            </w:r>
            <w:r>
              <w:rPr>
                <w:rFonts w:hint="default" w:ascii="Times New Roman" w:hAnsi="Times New Roman" w:eastAsia="仿宋" w:cs="Times New Roman"/>
                <w:color w:val="auto"/>
                <w:kern w:val="2"/>
                <w:sz w:val="24"/>
                <w:szCs w:val="24"/>
                <w:highlight w:val="none"/>
                <w:vertAlign w:val="baseline"/>
                <w:lang w:val="en-US" w:eastAsia="zh-CN" w:bidi="ar-SA"/>
              </w:rPr>
              <w:t>监督招标人（代理机构）在开标结束后及时移送投标（响应）文件等资料进入指定评标室。</w:t>
            </w:r>
          </w:p>
        </w:tc>
        <w:tc>
          <w:tcPr>
            <w:tcW w:w="1882" w:type="pct"/>
            <w:vMerge w:val="continue"/>
            <w:vAlign w:val="center"/>
          </w:tcPr>
          <w:p w14:paraId="5F95AC7C">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1" w:type="pct"/>
            <w:vAlign w:val="center"/>
          </w:tcPr>
          <w:p w14:paraId="3C981AB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tc>
      </w:tr>
      <w:tr w14:paraId="4A24C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293" w:type="pct"/>
            <w:vAlign w:val="center"/>
          </w:tcPr>
          <w:p w14:paraId="0F42C9E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24</w:t>
            </w:r>
          </w:p>
        </w:tc>
        <w:tc>
          <w:tcPr>
            <w:tcW w:w="545" w:type="pct"/>
            <w:vMerge w:val="continue"/>
            <w:vAlign w:val="center"/>
          </w:tcPr>
          <w:p w14:paraId="74C66C9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17" w:type="pct"/>
            <w:vAlign w:val="center"/>
          </w:tcPr>
          <w:p w14:paraId="642BFA93">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kern w:val="2"/>
                <w:sz w:val="24"/>
                <w:szCs w:val="24"/>
                <w:highlight w:val="none"/>
                <w:vertAlign w:val="baseline"/>
                <w:lang w:val="en-US" w:eastAsia="zh-CN" w:bidi="ar-SA"/>
              </w:rPr>
            </w:pPr>
            <w:r>
              <w:rPr>
                <w:rFonts w:hint="eastAsia" w:ascii="Times New Roman" w:hAnsi="Times New Roman" w:eastAsia="仿宋" w:cs="Times New Roman"/>
                <w:color w:val="auto"/>
                <w:kern w:val="2"/>
                <w:sz w:val="24"/>
                <w:szCs w:val="24"/>
                <w:highlight w:val="none"/>
                <w:vertAlign w:val="baseline"/>
                <w:lang w:val="en-US" w:eastAsia="zh-CN" w:bidi="ar-SA"/>
              </w:rPr>
              <w:t>未</w:t>
            </w:r>
            <w:r>
              <w:rPr>
                <w:rFonts w:hint="default" w:ascii="Times New Roman" w:hAnsi="Times New Roman" w:eastAsia="仿宋" w:cs="Times New Roman"/>
                <w:color w:val="auto"/>
                <w:kern w:val="2"/>
                <w:sz w:val="24"/>
                <w:szCs w:val="24"/>
                <w:highlight w:val="none"/>
                <w:vertAlign w:val="baseline"/>
                <w:lang w:val="en-US" w:eastAsia="zh-CN" w:bidi="ar-SA"/>
              </w:rPr>
              <w:t>对移送投标（响应）文件过程中出现夹带、丢弃、毁损等影响交易公平公正的行为及时依法处理。</w:t>
            </w:r>
          </w:p>
        </w:tc>
        <w:tc>
          <w:tcPr>
            <w:tcW w:w="1882" w:type="pct"/>
            <w:vMerge w:val="continue"/>
            <w:vAlign w:val="center"/>
          </w:tcPr>
          <w:p w14:paraId="540D067D">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1" w:type="pct"/>
            <w:vAlign w:val="center"/>
          </w:tcPr>
          <w:p w14:paraId="046B41D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tc>
      </w:tr>
      <w:tr w14:paraId="658F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293" w:type="pct"/>
            <w:vAlign w:val="center"/>
          </w:tcPr>
          <w:p w14:paraId="0F4D589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25</w:t>
            </w:r>
          </w:p>
        </w:tc>
        <w:tc>
          <w:tcPr>
            <w:tcW w:w="545" w:type="pct"/>
            <w:vMerge w:val="restart"/>
            <w:vAlign w:val="center"/>
          </w:tcPr>
          <w:p w14:paraId="3F2F7F7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参与交易</w:t>
            </w:r>
          </w:p>
          <w:p w14:paraId="549BD43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的各方主体</w:t>
            </w:r>
          </w:p>
        </w:tc>
        <w:tc>
          <w:tcPr>
            <w:tcW w:w="5432" w:type="dxa"/>
            <w:vAlign w:val="center"/>
          </w:tcPr>
          <w:p w14:paraId="40C6CC35">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kern w:val="2"/>
                <w:sz w:val="24"/>
                <w:szCs w:val="24"/>
                <w:highlight w:val="none"/>
                <w:vertAlign w:val="baseline"/>
                <w:lang w:val="en-US" w:eastAsia="zh-CN" w:bidi="ar-SA"/>
              </w:rPr>
            </w:pPr>
            <w:r>
              <w:rPr>
                <w:rFonts w:hint="default" w:ascii="Times New Roman" w:hAnsi="Times New Roman" w:eastAsia="仿宋" w:cs="Times New Roman"/>
                <w:color w:val="auto"/>
                <w:sz w:val="24"/>
                <w:szCs w:val="24"/>
                <w:highlight w:val="none"/>
                <w:vertAlign w:val="baseline"/>
                <w:lang w:val="en-US" w:eastAsia="zh-CN"/>
              </w:rPr>
              <w:t>不爱护</w:t>
            </w:r>
            <w:r>
              <w:rPr>
                <w:rFonts w:hint="eastAsia" w:ascii="Times New Roman" w:hAnsi="Times New Roman" w:eastAsia="仿宋" w:cs="Times New Roman"/>
                <w:color w:val="auto"/>
                <w:sz w:val="24"/>
                <w:szCs w:val="24"/>
                <w:highlight w:val="none"/>
                <w:vertAlign w:val="baseline"/>
                <w:lang w:val="en-US" w:eastAsia="zh-CN"/>
              </w:rPr>
              <w:t>开标</w:t>
            </w:r>
            <w:r>
              <w:rPr>
                <w:rFonts w:hint="default" w:ascii="Times New Roman" w:hAnsi="Times New Roman" w:eastAsia="仿宋" w:cs="Times New Roman"/>
                <w:color w:val="auto"/>
                <w:sz w:val="24"/>
                <w:szCs w:val="24"/>
                <w:highlight w:val="none"/>
                <w:vertAlign w:val="baseline"/>
                <w:lang w:val="en-US" w:eastAsia="zh-CN"/>
              </w:rPr>
              <w:t>区域公共设施、造成损坏不修复和拒不赔偿。</w:t>
            </w:r>
          </w:p>
        </w:tc>
        <w:tc>
          <w:tcPr>
            <w:tcW w:w="1882" w:type="pct"/>
            <w:vMerge w:val="restart"/>
            <w:vAlign w:val="center"/>
          </w:tcPr>
          <w:p w14:paraId="7CC2CDF3">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《中华人民共和国招标投标法》及实施条例</w:t>
            </w:r>
          </w:p>
          <w:p w14:paraId="1DD1F194">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《中华人民共和国政府采购法》及实施条例</w:t>
            </w:r>
          </w:p>
          <w:p w14:paraId="2BAB8966">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《四川省公共资源交易现场服务公开工作规范》</w:t>
            </w:r>
          </w:p>
          <w:p w14:paraId="6692555F">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（川政公〔2019〕17号）</w:t>
            </w:r>
          </w:p>
          <w:p w14:paraId="3AC7514A">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《四川省公共资源交易平台管理实施细则》</w:t>
            </w:r>
          </w:p>
          <w:p w14:paraId="7BED7878">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（川办发〔2020〕78号）</w:t>
            </w:r>
          </w:p>
        </w:tc>
        <w:tc>
          <w:tcPr>
            <w:tcW w:w="361" w:type="pct"/>
            <w:vAlign w:val="center"/>
          </w:tcPr>
          <w:p w14:paraId="5C9C862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三级</w:t>
            </w:r>
          </w:p>
        </w:tc>
      </w:tr>
      <w:tr w14:paraId="74460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293" w:type="pct"/>
            <w:vAlign w:val="center"/>
          </w:tcPr>
          <w:p w14:paraId="003536B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26</w:t>
            </w:r>
          </w:p>
        </w:tc>
        <w:tc>
          <w:tcPr>
            <w:tcW w:w="545" w:type="pct"/>
            <w:vMerge w:val="continue"/>
            <w:vAlign w:val="center"/>
          </w:tcPr>
          <w:p w14:paraId="74E1755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5432" w:type="dxa"/>
            <w:vAlign w:val="center"/>
          </w:tcPr>
          <w:p w14:paraId="3D708B24">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kern w:val="2"/>
                <w:sz w:val="24"/>
                <w:szCs w:val="24"/>
                <w:highlight w:val="none"/>
                <w:vertAlign w:val="baseline"/>
                <w:lang w:val="en-US" w:eastAsia="zh-CN" w:bidi="ar-SA"/>
              </w:rPr>
            </w:pPr>
            <w:r>
              <w:rPr>
                <w:rFonts w:hint="eastAsia" w:ascii="Times New Roman" w:hAnsi="Times New Roman" w:eastAsia="仿宋" w:cs="Times New Roman"/>
                <w:color w:val="auto"/>
                <w:sz w:val="24"/>
                <w:szCs w:val="24"/>
                <w:highlight w:val="none"/>
                <w:vertAlign w:val="baseline"/>
                <w:lang w:val="en-US" w:eastAsia="zh-CN"/>
              </w:rPr>
              <w:t>不</w:t>
            </w:r>
            <w:r>
              <w:rPr>
                <w:rFonts w:hint="default" w:ascii="Times New Roman" w:hAnsi="Times New Roman" w:eastAsia="仿宋" w:cs="Times New Roman"/>
                <w:color w:val="auto"/>
                <w:sz w:val="24"/>
                <w:szCs w:val="24"/>
                <w:highlight w:val="none"/>
                <w:vertAlign w:val="baseline"/>
                <w:lang w:val="en-US" w:eastAsia="zh-CN"/>
              </w:rPr>
              <w:t>遵守交易场所管理规定或</w:t>
            </w:r>
            <w:r>
              <w:rPr>
                <w:rFonts w:hint="eastAsia" w:ascii="Times New Roman" w:hAnsi="Times New Roman" w:eastAsia="仿宋" w:cs="Times New Roman"/>
                <w:color w:val="auto"/>
                <w:sz w:val="24"/>
                <w:szCs w:val="24"/>
                <w:highlight w:val="none"/>
                <w:vertAlign w:val="baseline"/>
                <w:lang w:val="en-US" w:eastAsia="zh-CN"/>
              </w:rPr>
              <w:t>不</w:t>
            </w:r>
            <w:r>
              <w:rPr>
                <w:rFonts w:hint="default" w:ascii="Times New Roman" w:hAnsi="Times New Roman" w:eastAsia="仿宋" w:cs="Times New Roman"/>
                <w:color w:val="auto"/>
                <w:sz w:val="24"/>
                <w:szCs w:val="24"/>
                <w:highlight w:val="none"/>
                <w:vertAlign w:val="baseline"/>
                <w:lang w:val="en-US" w:eastAsia="zh-CN"/>
              </w:rPr>
              <w:t>服从交易场所现场工作人员管理。</w:t>
            </w:r>
          </w:p>
        </w:tc>
        <w:tc>
          <w:tcPr>
            <w:tcW w:w="1882" w:type="pct"/>
            <w:vMerge w:val="continue"/>
            <w:vAlign w:val="center"/>
          </w:tcPr>
          <w:p w14:paraId="5E00E28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1" w:type="pct"/>
            <w:vAlign w:val="center"/>
          </w:tcPr>
          <w:p w14:paraId="6FAA5EE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p w14:paraId="5B90976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p w14:paraId="6310807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三级</w:t>
            </w:r>
          </w:p>
        </w:tc>
      </w:tr>
      <w:tr w14:paraId="475A0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93" w:type="pct"/>
            <w:vAlign w:val="center"/>
          </w:tcPr>
          <w:p w14:paraId="64597BC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27</w:t>
            </w:r>
          </w:p>
        </w:tc>
        <w:tc>
          <w:tcPr>
            <w:tcW w:w="545" w:type="pct"/>
            <w:vMerge w:val="continue"/>
            <w:vAlign w:val="center"/>
          </w:tcPr>
          <w:p w14:paraId="5D853B6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5432" w:type="dxa"/>
            <w:vAlign w:val="center"/>
          </w:tcPr>
          <w:p w14:paraId="20E2D2E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kern w:val="2"/>
                <w:sz w:val="24"/>
                <w:szCs w:val="24"/>
                <w:highlight w:val="none"/>
                <w:vertAlign w:val="baseline"/>
                <w:lang w:val="en-US" w:eastAsia="zh-CN" w:bidi="ar-SA"/>
              </w:rPr>
            </w:pPr>
            <w:r>
              <w:rPr>
                <w:rFonts w:hint="default" w:ascii="Times New Roman" w:hAnsi="Times New Roman" w:eastAsia="仿宋" w:cs="Times New Roman"/>
                <w:color w:val="auto"/>
                <w:sz w:val="24"/>
                <w:szCs w:val="24"/>
                <w:highlight w:val="none"/>
                <w:vertAlign w:val="baseline"/>
                <w:lang w:val="en-US" w:eastAsia="zh-CN"/>
              </w:rPr>
              <w:t>其他违法违规行为。</w:t>
            </w:r>
          </w:p>
        </w:tc>
        <w:tc>
          <w:tcPr>
            <w:tcW w:w="1882" w:type="pct"/>
            <w:vMerge w:val="continue"/>
            <w:vAlign w:val="center"/>
          </w:tcPr>
          <w:p w14:paraId="58E7B7A3">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1" w:type="pct"/>
            <w:vAlign w:val="center"/>
          </w:tcPr>
          <w:p w14:paraId="28B3956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p w14:paraId="3E4EDE1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p w14:paraId="69F83AF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三级</w:t>
            </w:r>
          </w:p>
        </w:tc>
      </w:tr>
      <w:tr w14:paraId="3377F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6" w:hRule="atLeast"/>
        </w:trPr>
        <w:tc>
          <w:tcPr>
            <w:tcW w:w="293" w:type="pct"/>
            <w:vAlign w:val="center"/>
          </w:tcPr>
          <w:p w14:paraId="06F1D36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28</w:t>
            </w:r>
          </w:p>
        </w:tc>
        <w:tc>
          <w:tcPr>
            <w:tcW w:w="545" w:type="pct"/>
            <w:vAlign w:val="center"/>
          </w:tcPr>
          <w:p w14:paraId="745B807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交易服务</w:t>
            </w:r>
          </w:p>
          <w:p w14:paraId="1871AE9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工作人员</w:t>
            </w:r>
          </w:p>
        </w:tc>
        <w:tc>
          <w:tcPr>
            <w:tcW w:w="1917" w:type="pct"/>
            <w:vAlign w:val="center"/>
          </w:tcPr>
          <w:p w14:paraId="2FB1DABB">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kern w:val="2"/>
                <w:sz w:val="24"/>
                <w:szCs w:val="24"/>
                <w:highlight w:val="none"/>
                <w:vertAlign w:val="baseline"/>
                <w:lang w:val="en-US" w:eastAsia="zh-CN" w:bidi="ar-SA"/>
              </w:rPr>
            </w:pPr>
            <w:r>
              <w:rPr>
                <w:rFonts w:hint="eastAsia" w:ascii="Times New Roman" w:hAnsi="Times New Roman" w:eastAsia="仿宋" w:cs="Times New Roman"/>
                <w:color w:val="auto"/>
                <w:kern w:val="2"/>
                <w:sz w:val="24"/>
                <w:szCs w:val="24"/>
                <w:highlight w:val="none"/>
                <w:vertAlign w:val="baseline"/>
                <w:lang w:val="en-US" w:eastAsia="zh-CN" w:bidi="ar-SA"/>
              </w:rPr>
              <w:t>未</w:t>
            </w:r>
            <w:r>
              <w:rPr>
                <w:rFonts w:hint="default" w:ascii="Times New Roman" w:hAnsi="Times New Roman" w:eastAsia="仿宋" w:cs="Times New Roman"/>
                <w:color w:val="auto"/>
                <w:kern w:val="2"/>
                <w:sz w:val="24"/>
                <w:szCs w:val="24"/>
                <w:highlight w:val="none"/>
                <w:vertAlign w:val="baseline"/>
                <w:lang w:val="en-US" w:eastAsia="zh-CN" w:bidi="ar-SA"/>
              </w:rPr>
              <w:t>按相关规定组织开标活动以及资料移送等。</w:t>
            </w:r>
          </w:p>
        </w:tc>
        <w:tc>
          <w:tcPr>
            <w:tcW w:w="1882" w:type="pct"/>
            <w:vAlign w:val="center"/>
          </w:tcPr>
          <w:p w14:paraId="21F90A87">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《四川省公共资源交易现场服务公开工作规范》</w:t>
            </w:r>
          </w:p>
          <w:p w14:paraId="5E0FB7BC">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（川政公〔2019〕17号）</w:t>
            </w:r>
          </w:p>
          <w:p w14:paraId="0C4A94A0">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《四川省公共资源交易平台管理实施细则》</w:t>
            </w:r>
          </w:p>
          <w:p w14:paraId="46466779">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（川办发〔2020〕78号）</w:t>
            </w:r>
          </w:p>
        </w:tc>
        <w:tc>
          <w:tcPr>
            <w:tcW w:w="361" w:type="pct"/>
            <w:vAlign w:val="center"/>
          </w:tcPr>
          <w:p w14:paraId="3CE3C5D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p w14:paraId="7C59F62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p w14:paraId="236B829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三级</w:t>
            </w:r>
          </w:p>
        </w:tc>
      </w:tr>
      <w:tr w14:paraId="29D61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trPr>
        <w:tc>
          <w:tcPr>
            <w:tcW w:w="293" w:type="pct"/>
            <w:vAlign w:val="center"/>
          </w:tcPr>
          <w:p w14:paraId="06DC053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29</w:t>
            </w:r>
          </w:p>
        </w:tc>
        <w:tc>
          <w:tcPr>
            <w:tcW w:w="1544" w:type="dxa"/>
            <w:vAlign w:val="center"/>
          </w:tcPr>
          <w:p w14:paraId="20FCE34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信息系统</w:t>
            </w:r>
          </w:p>
          <w:p w14:paraId="622DF52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运维单位及运维人员</w:t>
            </w:r>
          </w:p>
        </w:tc>
        <w:tc>
          <w:tcPr>
            <w:tcW w:w="5432" w:type="dxa"/>
            <w:vAlign w:val="center"/>
          </w:tcPr>
          <w:p w14:paraId="7A2E68AF">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kern w:val="2"/>
                <w:sz w:val="24"/>
                <w:szCs w:val="24"/>
                <w:highlight w:val="none"/>
                <w:vertAlign w:val="baseline"/>
                <w:lang w:val="en-US" w:eastAsia="zh-CN" w:bidi="ar-SA"/>
              </w:rPr>
            </w:pPr>
            <w:r>
              <w:rPr>
                <w:rFonts w:hint="eastAsia" w:ascii="Times New Roman" w:hAnsi="Times New Roman" w:eastAsia="仿宋" w:cs="Times New Roman"/>
                <w:color w:val="auto"/>
                <w:sz w:val="24"/>
                <w:szCs w:val="24"/>
                <w:highlight w:val="none"/>
                <w:vertAlign w:val="baseline"/>
                <w:lang w:val="en-US" w:eastAsia="zh-CN"/>
              </w:rPr>
              <w:t>存在</w:t>
            </w:r>
            <w:r>
              <w:rPr>
                <w:rFonts w:hint="default" w:ascii="Times New Roman" w:hAnsi="Times New Roman" w:eastAsia="仿宋" w:cs="Times New Roman"/>
                <w:color w:val="auto"/>
                <w:sz w:val="24"/>
                <w:szCs w:val="24"/>
                <w:highlight w:val="none"/>
                <w:vertAlign w:val="baseline"/>
                <w:lang w:val="en-US" w:eastAsia="zh-CN"/>
              </w:rPr>
              <w:t>违反系统运维相关规定的不良行为。</w:t>
            </w:r>
          </w:p>
        </w:tc>
        <w:tc>
          <w:tcPr>
            <w:tcW w:w="5333" w:type="dxa"/>
            <w:vAlign w:val="center"/>
          </w:tcPr>
          <w:p w14:paraId="5BBFCDBF">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1024" w:type="dxa"/>
            <w:vAlign w:val="center"/>
          </w:tcPr>
          <w:p w14:paraId="7DFDE0C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p w14:paraId="261DB5B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p w14:paraId="2FFD36D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三级</w:t>
            </w:r>
          </w:p>
        </w:tc>
      </w:tr>
    </w:tbl>
    <w:p w14:paraId="7516F3FC">
      <w:pPr>
        <w:jc w:val="both"/>
        <w:rPr>
          <w:rFonts w:hint="default" w:ascii="Times New Roman" w:hAnsi="Times New Roman" w:eastAsia="黑体" w:cs="Times New Roman"/>
          <w:color w:val="auto"/>
          <w:sz w:val="32"/>
          <w:szCs w:val="32"/>
          <w:highlight w:val="none"/>
          <w:lang w:val="en-US" w:eastAsia="zh-CN"/>
        </w:rPr>
      </w:pPr>
    </w:p>
    <w:p w14:paraId="5F0B027C">
      <w:pPr>
        <w:jc w:val="both"/>
        <w:rPr>
          <w:rFonts w:hint="default" w:ascii="Times New Roman" w:hAnsi="Times New Roman" w:eastAsia="黑体" w:cs="Times New Roman"/>
          <w:color w:val="auto"/>
          <w:sz w:val="32"/>
          <w:szCs w:val="32"/>
          <w:highlight w:val="none"/>
          <w:lang w:val="en-US" w:eastAsia="zh-CN"/>
        </w:rPr>
      </w:pPr>
    </w:p>
    <w:p w14:paraId="1C3ADC64">
      <w:pPr>
        <w:jc w:val="both"/>
        <w:rPr>
          <w:rFonts w:hint="default" w:ascii="Times New Roman" w:hAnsi="Times New Roman" w:eastAsia="黑体" w:cs="Times New Roman"/>
          <w:color w:val="auto"/>
          <w:sz w:val="32"/>
          <w:szCs w:val="32"/>
          <w:highlight w:val="none"/>
          <w:lang w:val="en-US" w:eastAsia="zh-CN"/>
        </w:rPr>
      </w:pPr>
    </w:p>
    <w:p w14:paraId="4B2D93E6">
      <w:pPr>
        <w:jc w:val="both"/>
        <w:rPr>
          <w:rFonts w:hint="default" w:ascii="Times New Roman" w:hAnsi="Times New Roman" w:eastAsia="黑体" w:cs="Times New Roman"/>
          <w:color w:val="auto"/>
          <w:sz w:val="32"/>
          <w:szCs w:val="32"/>
          <w:highlight w:val="none"/>
          <w:lang w:val="en-US" w:eastAsia="zh-CN"/>
        </w:rPr>
      </w:pPr>
    </w:p>
    <w:p w14:paraId="24CB397B">
      <w:pPr>
        <w:jc w:val="both"/>
        <w:rPr>
          <w:rFonts w:hint="default" w:ascii="Times New Roman" w:hAnsi="Times New Roman" w:eastAsia="黑体" w:cs="Times New Roman"/>
          <w:color w:val="auto"/>
          <w:sz w:val="32"/>
          <w:szCs w:val="32"/>
          <w:highlight w:val="none"/>
          <w:lang w:val="en-US" w:eastAsia="zh-CN"/>
        </w:rPr>
      </w:pPr>
    </w:p>
    <w:p w14:paraId="3E3651D7">
      <w:pPr>
        <w:jc w:val="both"/>
        <w:rPr>
          <w:rFonts w:hint="default" w:ascii="Times New Roman" w:hAnsi="Times New Roman" w:eastAsia="黑体" w:cs="Times New Roman"/>
          <w:color w:val="auto"/>
          <w:sz w:val="32"/>
          <w:szCs w:val="32"/>
          <w:highlight w:val="none"/>
          <w:lang w:val="en-US" w:eastAsia="zh-CN"/>
        </w:rPr>
      </w:pPr>
    </w:p>
    <w:p w14:paraId="0D7070A9">
      <w:pPr>
        <w:jc w:val="both"/>
        <w:rPr>
          <w:rFonts w:hint="default" w:ascii="Times New Roman" w:hAnsi="Times New Roman" w:eastAsia="黑体" w:cs="Times New Roman"/>
          <w:color w:val="auto"/>
          <w:sz w:val="32"/>
          <w:szCs w:val="32"/>
          <w:highlight w:val="none"/>
          <w:lang w:val="en-US" w:eastAsia="zh-CN"/>
        </w:rPr>
      </w:pPr>
    </w:p>
    <w:p w14:paraId="46A80486">
      <w:pPr>
        <w:jc w:val="both"/>
        <w:rPr>
          <w:rFonts w:hint="default" w:ascii="Times New Roman" w:hAnsi="Times New Roman" w:eastAsia="黑体" w:cs="Times New Roman"/>
          <w:color w:val="auto"/>
          <w:sz w:val="32"/>
          <w:szCs w:val="32"/>
          <w:highlight w:val="none"/>
          <w:lang w:val="en-US" w:eastAsia="zh-CN"/>
        </w:rPr>
      </w:pPr>
    </w:p>
    <w:p w14:paraId="0CB8E13E">
      <w:pPr>
        <w:jc w:val="both"/>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附件3</w:t>
      </w:r>
    </w:p>
    <w:p w14:paraId="78ECC22C">
      <w:pPr>
        <w:jc w:val="center"/>
        <w:rPr>
          <w:rFonts w:hint="default" w:ascii="Times New Roman" w:hAnsi="Times New Roman" w:eastAsia="方正小标宋简体" w:cs="Times New Roman"/>
          <w:color w:val="auto"/>
          <w:sz w:val="44"/>
          <w:szCs w:val="44"/>
          <w:highlight w:val="none"/>
          <w:lang w:val="en-US" w:eastAsia="zh-CN"/>
        </w:rPr>
      </w:pPr>
      <w:r>
        <w:rPr>
          <w:rFonts w:hint="default" w:ascii="Times New Roman" w:hAnsi="Times New Roman" w:eastAsia="方正小标宋简体" w:cs="Times New Roman"/>
          <w:color w:val="auto"/>
          <w:sz w:val="44"/>
          <w:szCs w:val="44"/>
          <w:highlight w:val="none"/>
          <w:lang w:val="en-US" w:eastAsia="zh-CN"/>
        </w:rPr>
        <w:t>评标（审）环节见证服务清单</w:t>
      </w:r>
    </w:p>
    <w:tbl>
      <w:tblPr>
        <w:tblStyle w:val="1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1428"/>
        <w:gridCol w:w="5860"/>
        <w:gridCol w:w="5211"/>
        <w:gridCol w:w="859"/>
      </w:tblGrid>
      <w:tr w14:paraId="567AD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Align w:val="center"/>
          </w:tcPr>
          <w:p w14:paraId="20A2426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序号</w:t>
            </w:r>
          </w:p>
        </w:tc>
        <w:tc>
          <w:tcPr>
            <w:tcW w:w="504" w:type="pct"/>
            <w:vAlign w:val="center"/>
          </w:tcPr>
          <w:p w14:paraId="4A81973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见证对象</w:t>
            </w:r>
          </w:p>
        </w:tc>
        <w:tc>
          <w:tcPr>
            <w:tcW w:w="2068" w:type="pct"/>
            <w:vAlign w:val="center"/>
          </w:tcPr>
          <w:p w14:paraId="05CE970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见证内容</w:t>
            </w:r>
          </w:p>
        </w:tc>
        <w:tc>
          <w:tcPr>
            <w:tcW w:w="1839" w:type="pct"/>
            <w:vAlign w:val="center"/>
          </w:tcPr>
          <w:p w14:paraId="6E80E9C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依据</w:t>
            </w:r>
          </w:p>
        </w:tc>
        <w:tc>
          <w:tcPr>
            <w:tcW w:w="303" w:type="pct"/>
            <w:vAlign w:val="center"/>
          </w:tcPr>
          <w:p w14:paraId="0C1B65C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预警</w:t>
            </w:r>
          </w:p>
          <w:p w14:paraId="6D5DA37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级别</w:t>
            </w:r>
          </w:p>
        </w:tc>
      </w:tr>
      <w:tr w14:paraId="0BB37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284" w:type="pct"/>
            <w:vAlign w:val="center"/>
          </w:tcPr>
          <w:p w14:paraId="131C4F2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w:t>
            </w:r>
          </w:p>
        </w:tc>
        <w:tc>
          <w:tcPr>
            <w:tcW w:w="504" w:type="pct"/>
            <w:vMerge w:val="restart"/>
            <w:vAlign w:val="center"/>
          </w:tcPr>
          <w:p w14:paraId="2C43FFD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投标人</w:t>
            </w:r>
          </w:p>
          <w:p w14:paraId="26C3242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（供应商）</w:t>
            </w:r>
          </w:p>
        </w:tc>
        <w:tc>
          <w:tcPr>
            <w:tcW w:w="2068" w:type="pct"/>
            <w:vAlign w:val="center"/>
          </w:tcPr>
          <w:p w14:paraId="0872B72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方正书宋简体"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擅自进入评标（审）区域。</w:t>
            </w:r>
          </w:p>
        </w:tc>
        <w:tc>
          <w:tcPr>
            <w:tcW w:w="1839" w:type="pct"/>
            <w:vMerge w:val="restart"/>
            <w:vAlign w:val="center"/>
          </w:tcPr>
          <w:p w14:paraId="40E6EEE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《中华人民共和国招标投标法》及实施条例</w:t>
            </w:r>
          </w:p>
          <w:p w14:paraId="370B22C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《中华人民共和国政府采购法》及实施条例</w:t>
            </w:r>
          </w:p>
          <w:p w14:paraId="2F13138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《四川省公共资源交易现场服务公开工作规范》</w:t>
            </w:r>
          </w:p>
          <w:p w14:paraId="2A534AA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（川政公〔2019〕17号）</w:t>
            </w:r>
          </w:p>
          <w:p w14:paraId="587899B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工程建设项目招投标电子化工作规程</w:t>
            </w:r>
          </w:p>
          <w:p w14:paraId="7C98807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（川公管办发〔2018〕3号）</w:t>
            </w:r>
          </w:p>
        </w:tc>
        <w:tc>
          <w:tcPr>
            <w:tcW w:w="303" w:type="pct"/>
            <w:vAlign w:val="center"/>
          </w:tcPr>
          <w:p w14:paraId="1CA7641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103DC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84" w:type="pct"/>
            <w:vAlign w:val="center"/>
          </w:tcPr>
          <w:p w14:paraId="152BF7F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2</w:t>
            </w:r>
          </w:p>
        </w:tc>
        <w:tc>
          <w:tcPr>
            <w:tcW w:w="504" w:type="pct"/>
            <w:vMerge w:val="continue"/>
            <w:vAlign w:val="center"/>
          </w:tcPr>
          <w:p w14:paraId="33A1F73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016EF67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 xml:space="preserve">不同投标人的投标文件由同一单位或者个人编制。 </w:t>
            </w:r>
          </w:p>
        </w:tc>
        <w:tc>
          <w:tcPr>
            <w:tcW w:w="1839" w:type="pct"/>
            <w:vMerge w:val="continue"/>
            <w:vAlign w:val="center"/>
          </w:tcPr>
          <w:p w14:paraId="5752CCE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3E49F96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238FC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284" w:type="pct"/>
            <w:vAlign w:val="center"/>
          </w:tcPr>
          <w:p w14:paraId="3EACDAC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3</w:t>
            </w:r>
          </w:p>
        </w:tc>
        <w:tc>
          <w:tcPr>
            <w:tcW w:w="504" w:type="pct"/>
            <w:vMerge w:val="continue"/>
            <w:vAlign w:val="center"/>
          </w:tcPr>
          <w:p w14:paraId="7E8C5AF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732746E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 xml:space="preserve">不同投标人的投标文件载明的项目管理成员为同一人。 </w:t>
            </w:r>
          </w:p>
        </w:tc>
        <w:tc>
          <w:tcPr>
            <w:tcW w:w="1839" w:type="pct"/>
            <w:vMerge w:val="continue"/>
            <w:vAlign w:val="center"/>
          </w:tcPr>
          <w:p w14:paraId="2727652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48A5882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100E3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284" w:type="pct"/>
            <w:vAlign w:val="center"/>
          </w:tcPr>
          <w:p w14:paraId="30DAE82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4</w:t>
            </w:r>
          </w:p>
        </w:tc>
        <w:tc>
          <w:tcPr>
            <w:tcW w:w="504" w:type="pct"/>
            <w:vMerge w:val="continue"/>
            <w:vAlign w:val="center"/>
          </w:tcPr>
          <w:p w14:paraId="15BF5A3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3CDFF55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不同投标人的投标文件异常一致或者投标报价呈规律性差异。</w:t>
            </w:r>
          </w:p>
        </w:tc>
        <w:tc>
          <w:tcPr>
            <w:tcW w:w="1839" w:type="pct"/>
            <w:vMerge w:val="continue"/>
            <w:vAlign w:val="center"/>
          </w:tcPr>
          <w:p w14:paraId="418A011E">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20EF643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25C59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84" w:type="pct"/>
            <w:vAlign w:val="center"/>
          </w:tcPr>
          <w:p w14:paraId="304C07A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5</w:t>
            </w:r>
          </w:p>
        </w:tc>
        <w:tc>
          <w:tcPr>
            <w:tcW w:w="504" w:type="pct"/>
            <w:vMerge w:val="continue"/>
            <w:vAlign w:val="center"/>
          </w:tcPr>
          <w:p w14:paraId="404D7A6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15184FC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 xml:space="preserve">不同投标人的投标文件相互混装。 </w:t>
            </w:r>
          </w:p>
        </w:tc>
        <w:tc>
          <w:tcPr>
            <w:tcW w:w="1839" w:type="pct"/>
            <w:vMerge w:val="continue"/>
            <w:vAlign w:val="center"/>
          </w:tcPr>
          <w:p w14:paraId="42A9517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65321C0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70C95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284" w:type="pct"/>
            <w:vAlign w:val="center"/>
          </w:tcPr>
          <w:p w14:paraId="522A5D6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6</w:t>
            </w:r>
          </w:p>
        </w:tc>
        <w:tc>
          <w:tcPr>
            <w:tcW w:w="504" w:type="pct"/>
            <w:vMerge w:val="continue"/>
            <w:vAlign w:val="center"/>
          </w:tcPr>
          <w:p w14:paraId="602DA12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7FE7B90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不同投标人参与同一项目招标投标活动中，使用的计算机网卡MAC地址、CP U序列号、硬盘序列号、加密锁序列号等信息相同。</w:t>
            </w:r>
          </w:p>
        </w:tc>
        <w:tc>
          <w:tcPr>
            <w:tcW w:w="1839" w:type="pct"/>
            <w:vMerge w:val="continue"/>
            <w:vAlign w:val="center"/>
          </w:tcPr>
          <w:p w14:paraId="6E0050F9">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0F4A9B0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1C64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trPr>
        <w:tc>
          <w:tcPr>
            <w:tcW w:w="284" w:type="pct"/>
            <w:vAlign w:val="center"/>
          </w:tcPr>
          <w:p w14:paraId="2DBF668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7</w:t>
            </w:r>
          </w:p>
        </w:tc>
        <w:tc>
          <w:tcPr>
            <w:tcW w:w="504" w:type="pct"/>
            <w:vMerge w:val="continue"/>
            <w:vAlign w:val="center"/>
          </w:tcPr>
          <w:p w14:paraId="154D92B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77F0C51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窥视、询问他人报价或与他人恶意串通参与围标、串标或采取不正当手段诋毁、排挤其他投标人。</w:t>
            </w:r>
          </w:p>
        </w:tc>
        <w:tc>
          <w:tcPr>
            <w:tcW w:w="1839" w:type="pct"/>
            <w:vMerge w:val="continue"/>
            <w:vAlign w:val="center"/>
          </w:tcPr>
          <w:p w14:paraId="2D6C6F9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5BEE1F4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7ACBE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7" w:hRule="atLeast"/>
        </w:trPr>
        <w:tc>
          <w:tcPr>
            <w:tcW w:w="284" w:type="pct"/>
            <w:vAlign w:val="center"/>
          </w:tcPr>
          <w:p w14:paraId="5D406A8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8</w:t>
            </w:r>
          </w:p>
        </w:tc>
        <w:tc>
          <w:tcPr>
            <w:tcW w:w="504" w:type="pct"/>
            <w:vMerge w:val="continue"/>
            <w:vAlign w:val="center"/>
          </w:tcPr>
          <w:p w14:paraId="11A93D6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27A61C6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违规联系和接触招标人（采购人、出让人）、代理机构、评标（审）专家、项目监督人员、现场工作人员等利害关系人，采取提供财物或其他非法利益等不正当手段影响评标或谋取中标（成交）。</w:t>
            </w:r>
          </w:p>
        </w:tc>
        <w:tc>
          <w:tcPr>
            <w:tcW w:w="1839" w:type="pct"/>
            <w:vMerge w:val="continue"/>
            <w:vAlign w:val="center"/>
          </w:tcPr>
          <w:p w14:paraId="31CC363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0EBE8AC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2FE08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284" w:type="pct"/>
            <w:vAlign w:val="center"/>
          </w:tcPr>
          <w:p w14:paraId="7816444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9</w:t>
            </w:r>
          </w:p>
        </w:tc>
        <w:tc>
          <w:tcPr>
            <w:tcW w:w="504" w:type="pct"/>
            <w:vMerge w:val="restart"/>
            <w:vAlign w:val="center"/>
          </w:tcPr>
          <w:p w14:paraId="7DB42B4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招标人</w:t>
            </w:r>
          </w:p>
          <w:p w14:paraId="66416FB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（采购人、</w:t>
            </w:r>
          </w:p>
          <w:p w14:paraId="0BEDF6A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出让人、</w:t>
            </w:r>
          </w:p>
          <w:p w14:paraId="3DBA426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代理机构）</w:t>
            </w:r>
          </w:p>
          <w:p w14:paraId="59AE3D7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4F39CBB3">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项目需要封存时</w:t>
            </w:r>
            <w:r>
              <w:rPr>
                <w:rFonts w:hint="eastAsia" w:ascii="Times New Roman" w:hAnsi="Times New Roman" w:eastAsia="仿宋" w:cs="Times New Roman"/>
                <w:color w:val="auto"/>
                <w:sz w:val="24"/>
                <w:szCs w:val="24"/>
                <w:highlight w:val="none"/>
                <w:vertAlign w:val="baseline"/>
                <w:lang w:val="en-US" w:eastAsia="zh-CN"/>
              </w:rPr>
              <w:t>未</w:t>
            </w:r>
            <w:r>
              <w:rPr>
                <w:rFonts w:hint="default" w:ascii="Times New Roman" w:hAnsi="Times New Roman" w:eastAsia="仿宋" w:cs="Times New Roman"/>
                <w:color w:val="auto"/>
                <w:sz w:val="24"/>
                <w:szCs w:val="24"/>
                <w:highlight w:val="none"/>
                <w:vertAlign w:val="baseline"/>
                <w:lang w:val="en-US" w:eastAsia="zh-CN"/>
              </w:rPr>
              <w:t>按规定进行封存。</w:t>
            </w:r>
          </w:p>
        </w:tc>
        <w:tc>
          <w:tcPr>
            <w:tcW w:w="1839" w:type="pct"/>
            <w:vMerge w:val="restart"/>
            <w:vAlign w:val="center"/>
          </w:tcPr>
          <w:p w14:paraId="79D40C9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《中华人民共和国招标投标法》及实施条例</w:t>
            </w:r>
          </w:p>
          <w:p w14:paraId="6D7D7979">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《中华人民共和国政府采购法》及实施条例</w:t>
            </w:r>
          </w:p>
          <w:p w14:paraId="3142841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《四川省公共资源交易现场服务公开工作规范》</w:t>
            </w:r>
          </w:p>
          <w:p w14:paraId="1F1386E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（川政公〔2019〕17号）</w:t>
            </w:r>
          </w:p>
          <w:p w14:paraId="12A705E9">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《四川省公共资源交易平台管理实施细则》</w:t>
            </w:r>
          </w:p>
          <w:p w14:paraId="6B714B1E">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（川办发〔2020〕78号）</w:t>
            </w:r>
          </w:p>
          <w:p w14:paraId="00E663A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p w14:paraId="65EF755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0C8E274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52E32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84" w:type="pct"/>
            <w:vAlign w:val="center"/>
          </w:tcPr>
          <w:p w14:paraId="3EDD173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10</w:t>
            </w:r>
          </w:p>
        </w:tc>
        <w:tc>
          <w:tcPr>
            <w:tcW w:w="504" w:type="pct"/>
            <w:vMerge w:val="continue"/>
            <w:vAlign w:val="center"/>
          </w:tcPr>
          <w:p w14:paraId="174436F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368FB57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未</w:t>
            </w:r>
            <w:r>
              <w:rPr>
                <w:rFonts w:hint="default" w:ascii="Times New Roman" w:hAnsi="Times New Roman" w:eastAsia="仿宋" w:cs="Times New Roman"/>
                <w:color w:val="auto"/>
                <w:sz w:val="24"/>
                <w:szCs w:val="24"/>
                <w:highlight w:val="none"/>
                <w:vertAlign w:val="baseline"/>
                <w:lang w:val="en-US" w:eastAsia="zh-CN"/>
              </w:rPr>
              <w:t>佩戴交易场所发放的工作牌进出评标（审）区域。</w:t>
            </w:r>
          </w:p>
        </w:tc>
        <w:tc>
          <w:tcPr>
            <w:tcW w:w="1839" w:type="pct"/>
            <w:vMerge w:val="continue"/>
            <w:vAlign w:val="center"/>
          </w:tcPr>
          <w:p w14:paraId="1D534B6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2280FCC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6E16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284" w:type="pct"/>
            <w:vAlign w:val="center"/>
          </w:tcPr>
          <w:p w14:paraId="367B6D4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11</w:t>
            </w:r>
          </w:p>
        </w:tc>
        <w:tc>
          <w:tcPr>
            <w:tcW w:w="504" w:type="pct"/>
            <w:vMerge w:val="continue"/>
            <w:vAlign w:val="center"/>
          </w:tcPr>
          <w:p w14:paraId="435941B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b/>
                <w:bCs/>
                <w:color w:val="auto"/>
                <w:sz w:val="24"/>
                <w:szCs w:val="24"/>
                <w:highlight w:val="none"/>
                <w:vertAlign w:val="baseline"/>
                <w:lang w:val="en-US" w:eastAsia="zh-CN"/>
              </w:rPr>
            </w:pPr>
          </w:p>
        </w:tc>
        <w:tc>
          <w:tcPr>
            <w:tcW w:w="2068" w:type="pct"/>
            <w:vAlign w:val="center"/>
          </w:tcPr>
          <w:p w14:paraId="53B7C15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违反评标（审）区域身份核验和通讯工具、电子介质使用等规定。</w:t>
            </w:r>
          </w:p>
        </w:tc>
        <w:tc>
          <w:tcPr>
            <w:tcW w:w="1839" w:type="pct"/>
            <w:vMerge w:val="continue"/>
            <w:vAlign w:val="center"/>
          </w:tcPr>
          <w:p w14:paraId="11FAC24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0E5246F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3F37D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284" w:type="pct"/>
            <w:vAlign w:val="center"/>
          </w:tcPr>
          <w:p w14:paraId="7CB207E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12</w:t>
            </w:r>
          </w:p>
        </w:tc>
        <w:tc>
          <w:tcPr>
            <w:tcW w:w="504" w:type="pct"/>
            <w:vMerge w:val="continue"/>
            <w:vAlign w:val="center"/>
          </w:tcPr>
          <w:p w14:paraId="3851212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5B981841">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擅自进入非本项目评标（审）室。</w:t>
            </w:r>
          </w:p>
        </w:tc>
        <w:tc>
          <w:tcPr>
            <w:tcW w:w="1839" w:type="pct"/>
            <w:vMerge w:val="continue"/>
            <w:vAlign w:val="center"/>
          </w:tcPr>
          <w:p w14:paraId="6F0F8D4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01A7E98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7E54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284" w:type="pct"/>
            <w:vAlign w:val="center"/>
          </w:tcPr>
          <w:p w14:paraId="61B1516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13</w:t>
            </w:r>
          </w:p>
        </w:tc>
        <w:tc>
          <w:tcPr>
            <w:tcW w:w="504" w:type="pct"/>
            <w:vMerge w:val="continue"/>
            <w:vAlign w:val="center"/>
          </w:tcPr>
          <w:p w14:paraId="1622E86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0C07820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在项目评标（审）结束前无正当理由串岗脱岗、擅离职守。</w:t>
            </w:r>
          </w:p>
        </w:tc>
        <w:tc>
          <w:tcPr>
            <w:tcW w:w="1839" w:type="pct"/>
            <w:vMerge w:val="continue"/>
            <w:vAlign w:val="center"/>
          </w:tcPr>
          <w:p w14:paraId="1D06014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1C4BC2E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7426E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284" w:type="pct"/>
            <w:vAlign w:val="center"/>
          </w:tcPr>
          <w:p w14:paraId="174715C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14</w:t>
            </w:r>
          </w:p>
        </w:tc>
        <w:tc>
          <w:tcPr>
            <w:tcW w:w="504" w:type="pct"/>
            <w:vMerge w:val="continue"/>
            <w:vAlign w:val="center"/>
          </w:tcPr>
          <w:p w14:paraId="52459B1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41F9178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在项目评标（审）过程中对评标（审）专家针对招标文件等内容提出的询问不予解释澄清。</w:t>
            </w:r>
          </w:p>
        </w:tc>
        <w:tc>
          <w:tcPr>
            <w:tcW w:w="1839" w:type="pct"/>
            <w:vMerge w:val="continue"/>
            <w:vAlign w:val="center"/>
          </w:tcPr>
          <w:p w14:paraId="1E9274F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742625E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60582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284" w:type="pct"/>
            <w:vAlign w:val="center"/>
          </w:tcPr>
          <w:p w14:paraId="3DFABDF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15</w:t>
            </w:r>
          </w:p>
        </w:tc>
        <w:tc>
          <w:tcPr>
            <w:tcW w:w="504" w:type="pct"/>
            <w:vMerge w:val="continue"/>
            <w:vAlign w:val="center"/>
          </w:tcPr>
          <w:p w14:paraId="58CA117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213F54B1">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对招投标文件进行隐匿、伪造、变造或销毁等。</w:t>
            </w:r>
          </w:p>
        </w:tc>
        <w:tc>
          <w:tcPr>
            <w:tcW w:w="1839" w:type="pct"/>
            <w:vMerge w:val="continue"/>
            <w:vAlign w:val="center"/>
          </w:tcPr>
          <w:p w14:paraId="78EF959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0C964C9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2E0DF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84" w:type="pct"/>
            <w:vAlign w:val="center"/>
          </w:tcPr>
          <w:p w14:paraId="12F6676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16</w:t>
            </w:r>
          </w:p>
        </w:tc>
        <w:tc>
          <w:tcPr>
            <w:tcW w:w="504" w:type="pct"/>
            <w:vMerge w:val="continue"/>
            <w:vAlign w:val="center"/>
          </w:tcPr>
          <w:p w14:paraId="41C1A31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2ED2749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擅自进入评标（审）区域。</w:t>
            </w:r>
          </w:p>
        </w:tc>
        <w:tc>
          <w:tcPr>
            <w:tcW w:w="1839" w:type="pct"/>
            <w:vMerge w:val="continue"/>
            <w:vAlign w:val="center"/>
          </w:tcPr>
          <w:p w14:paraId="47CC9A3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0F68C66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70D60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284" w:type="pct"/>
            <w:vAlign w:val="center"/>
          </w:tcPr>
          <w:p w14:paraId="1B90BA5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17</w:t>
            </w:r>
          </w:p>
        </w:tc>
        <w:tc>
          <w:tcPr>
            <w:tcW w:w="504" w:type="pct"/>
            <w:vMerge w:val="continue"/>
            <w:vAlign w:val="center"/>
          </w:tcPr>
          <w:p w14:paraId="4ED6482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0532E24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工作态度生硬蛮横或与服务对象发生争吵或被电话、书面等形式投诉。</w:t>
            </w:r>
          </w:p>
        </w:tc>
        <w:tc>
          <w:tcPr>
            <w:tcW w:w="1839" w:type="pct"/>
            <w:vMerge w:val="continue"/>
            <w:vAlign w:val="center"/>
          </w:tcPr>
          <w:p w14:paraId="1BF42D3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6910D29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tc>
      </w:tr>
      <w:tr w14:paraId="5CDEF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8" w:hRule="atLeast"/>
        </w:trPr>
        <w:tc>
          <w:tcPr>
            <w:tcW w:w="284" w:type="pct"/>
            <w:vAlign w:val="center"/>
          </w:tcPr>
          <w:p w14:paraId="0E2CED7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18</w:t>
            </w:r>
          </w:p>
        </w:tc>
        <w:tc>
          <w:tcPr>
            <w:tcW w:w="504" w:type="pct"/>
            <w:vMerge w:val="continue"/>
            <w:vAlign w:val="center"/>
          </w:tcPr>
          <w:p w14:paraId="575B277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4E1AB68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未</w:t>
            </w:r>
            <w:r>
              <w:rPr>
                <w:rFonts w:hint="default" w:ascii="Times New Roman" w:hAnsi="Times New Roman" w:eastAsia="仿宋" w:cs="Times New Roman"/>
                <w:color w:val="auto"/>
                <w:sz w:val="24"/>
                <w:szCs w:val="24"/>
                <w:highlight w:val="none"/>
                <w:vertAlign w:val="baseline"/>
                <w:lang w:val="en-US" w:eastAsia="zh-CN"/>
              </w:rPr>
              <w:t>按规定支付评标（审）专家费用。</w:t>
            </w:r>
          </w:p>
        </w:tc>
        <w:tc>
          <w:tcPr>
            <w:tcW w:w="1839" w:type="pct"/>
            <w:vAlign w:val="center"/>
          </w:tcPr>
          <w:p w14:paraId="43EC1CC2">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《四川省政府采购评审专家劳务报酬标准》</w:t>
            </w:r>
          </w:p>
          <w:p w14:paraId="5F22B3DE">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（川财规〔2023〕6号）</w:t>
            </w:r>
          </w:p>
          <w:p w14:paraId="0B8B2A2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《四川省评标专家劳务费用标准指导意见》</w:t>
            </w:r>
          </w:p>
          <w:p w14:paraId="3AEEBF6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（川评管〔2016〕1 号）</w:t>
            </w:r>
          </w:p>
        </w:tc>
        <w:tc>
          <w:tcPr>
            <w:tcW w:w="303" w:type="pct"/>
            <w:vAlign w:val="center"/>
          </w:tcPr>
          <w:p w14:paraId="65201D0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tc>
      </w:tr>
      <w:tr w14:paraId="3E609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284" w:type="pct"/>
            <w:vAlign w:val="center"/>
          </w:tcPr>
          <w:p w14:paraId="05F9456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19</w:t>
            </w:r>
          </w:p>
        </w:tc>
        <w:tc>
          <w:tcPr>
            <w:tcW w:w="504" w:type="pct"/>
            <w:vMerge w:val="restart"/>
            <w:vAlign w:val="center"/>
          </w:tcPr>
          <w:p w14:paraId="02E2DC3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评标（审）</w:t>
            </w:r>
          </w:p>
          <w:p w14:paraId="2730331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专家</w:t>
            </w:r>
          </w:p>
          <w:p w14:paraId="2A1F77E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305B57C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确认参加评标后、未及时请假、无正当理由迟到 30 分钟以上。</w:t>
            </w:r>
          </w:p>
        </w:tc>
        <w:tc>
          <w:tcPr>
            <w:tcW w:w="1839" w:type="pct"/>
            <w:vMerge w:val="restart"/>
            <w:vAlign w:val="center"/>
          </w:tcPr>
          <w:p w14:paraId="1E77FA4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p w14:paraId="459220E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p w14:paraId="2F56125E">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p w14:paraId="37BA1C31">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p w14:paraId="0C70C51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p w14:paraId="770015B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p w14:paraId="16690B8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《中华人民共和国招标投标法》及实施条例</w:t>
            </w:r>
          </w:p>
          <w:p w14:paraId="672C8331">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《中华人民共和国政府采购法》及实施条例</w:t>
            </w:r>
          </w:p>
          <w:p w14:paraId="4FD9281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《四川省评标专家和综合评标专家库管理办法》（川办发〔2021〕54 号）</w:t>
            </w:r>
          </w:p>
          <w:p w14:paraId="2B43772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《四川省政府采购评审专家管理办法》</w:t>
            </w:r>
          </w:p>
          <w:p w14:paraId="42788C42">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（川财规〔2023〕5号）</w:t>
            </w:r>
          </w:p>
          <w:p w14:paraId="1B9274F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《政府采购货物和服务招标投标管理办法》</w:t>
            </w:r>
          </w:p>
          <w:p w14:paraId="1EB67FA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（中华人民共和国部令第87号）</w:t>
            </w:r>
          </w:p>
          <w:p w14:paraId="5E0FADA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《四川省公共资源交易各方主体现场行为规范（试行）》（川政公〔2019〕26号）</w:t>
            </w:r>
          </w:p>
          <w:p w14:paraId="1484ED2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 xml:space="preserve"> </w:t>
            </w:r>
          </w:p>
          <w:p w14:paraId="672669C0">
            <w:pPr>
              <w:keepNext w:val="0"/>
              <w:keepLines w:val="0"/>
              <w:widowControl/>
              <w:suppressLineNumbers w:val="0"/>
              <w:jc w:val="left"/>
              <w:rPr>
                <w:rFonts w:hint="default" w:ascii="Times New Roman" w:hAnsi="Times New Roman" w:eastAsia="宋体" w:cs="Times New Roman"/>
                <w:color w:val="auto"/>
                <w:kern w:val="0"/>
                <w:sz w:val="18"/>
                <w:szCs w:val="18"/>
                <w:lang w:val="en-US" w:eastAsia="zh-CN" w:bidi="ar"/>
              </w:rPr>
            </w:pPr>
          </w:p>
          <w:p w14:paraId="545AD54B">
            <w:pPr>
              <w:keepNext w:val="0"/>
              <w:keepLines w:val="0"/>
              <w:widowControl/>
              <w:suppressLineNumbers w:val="0"/>
              <w:jc w:val="left"/>
              <w:rPr>
                <w:rFonts w:hint="default" w:ascii="Times New Roman" w:hAnsi="Times New Roman" w:eastAsia="宋体" w:cs="Times New Roman"/>
                <w:color w:val="auto"/>
                <w:kern w:val="0"/>
                <w:sz w:val="18"/>
                <w:szCs w:val="18"/>
                <w:lang w:val="en-US" w:eastAsia="zh-CN" w:bidi="ar"/>
              </w:rPr>
            </w:pPr>
          </w:p>
          <w:p w14:paraId="550855B8">
            <w:pPr>
              <w:keepNext w:val="0"/>
              <w:keepLines w:val="0"/>
              <w:widowControl/>
              <w:suppressLineNumbers w:val="0"/>
              <w:jc w:val="left"/>
              <w:rPr>
                <w:rFonts w:hint="default" w:ascii="Times New Roman" w:hAnsi="Times New Roman" w:eastAsia="宋体" w:cs="Times New Roman"/>
                <w:color w:val="auto"/>
                <w:kern w:val="0"/>
                <w:sz w:val="18"/>
                <w:szCs w:val="18"/>
                <w:lang w:val="en-US" w:eastAsia="zh-CN" w:bidi="ar"/>
              </w:rPr>
            </w:pPr>
          </w:p>
          <w:p w14:paraId="0DF0C577">
            <w:pPr>
              <w:keepNext w:val="0"/>
              <w:keepLines w:val="0"/>
              <w:widowControl/>
              <w:suppressLineNumbers w:val="0"/>
              <w:jc w:val="left"/>
              <w:rPr>
                <w:rFonts w:hint="default" w:ascii="Times New Roman" w:hAnsi="Times New Roman" w:eastAsia="宋体" w:cs="Times New Roman"/>
                <w:color w:val="auto"/>
                <w:kern w:val="0"/>
                <w:sz w:val="18"/>
                <w:szCs w:val="18"/>
                <w:lang w:val="en-US" w:eastAsia="zh-CN" w:bidi="ar"/>
              </w:rPr>
            </w:pPr>
          </w:p>
          <w:p w14:paraId="4775ACA9">
            <w:pPr>
              <w:keepNext w:val="0"/>
              <w:keepLines w:val="0"/>
              <w:widowControl/>
              <w:suppressLineNumbers w:val="0"/>
              <w:jc w:val="left"/>
              <w:rPr>
                <w:rFonts w:hint="default" w:ascii="Times New Roman" w:hAnsi="Times New Roman" w:eastAsia="宋体" w:cs="Times New Roman"/>
                <w:color w:val="auto"/>
                <w:kern w:val="0"/>
                <w:sz w:val="18"/>
                <w:szCs w:val="18"/>
                <w:lang w:val="en-US" w:eastAsia="zh-CN" w:bidi="ar"/>
              </w:rPr>
            </w:pPr>
          </w:p>
          <w:p w14:paraId="7270BE0C">
            <w:pPr>
              <w:keepNext w:val="0"/>
              <w:keepLines w:val="0"/>
              <w:widowControl/>
              <w:suppressLineNumbers w:val="0"/>
              <w:jc w:val="left"/>
              <w:rPr>
                <w:rFonts w:hint="default" w:ascii="Times New Roman" w:hAnsi="Times New Roman" w:eastAsia="宋体" w:cs="Times New Roman"/>
                <w:color w:val="auto"/>
                <w:kern w:val="0"/>
                <w:sz w:val="18"/>
                <w:szCs w:val="18"/>
                <w:lang w:val="en-US" w:eastAsia="zh-CN" w:bidi="ar"/>
              </w:rPr>
            </w:pPr>
          </w:p>
          <w:p w14:paraId="3CB299D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p w14:paraId="4DFCA963">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130C4A3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22BBE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284" w:type="pct"/>
            <w:vAlign w:val="center"/>
          </w:tcPr>
          <w:p w14:paraId="669A187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20</w:t>
            </w:r>
          </w:p>
        </w:tc>
        <w:tc>
          <w:tcPr>
            <w:tcW w:w="504" w:type="pct"/>
            <w:vMerge w:val="continue"/>
            <w:vAlign w:val="center"/>
          </w:tcPr>
          <w:p w14:paraId="7C13F59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1E183ED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确认参加评标后因故不能出席、未及时请假、无正当理由不到场评标。</w:t>
            </w:r>
          </w:p>
        </w:tc>
        <w:tc>
          <w:tcPr>
            <w:tcW w:w="1839" w:type="pct"/>
            <w:vMerge w:val="continue"/>
            <w:vAlign w:val="center"/>
          </w:tcPr>
          <w:p w14:paraId="0C00BFF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428AE6F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30307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284" w:type="pct"/>
            <w:vAlign w:val="center"/>
          </w:tcPr>
          <w:p w14:paraId="407BEEC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21</w:t>
            </w:r>
          </w:p>
        </w:tc>
        <w:tc>
          <w:tcPr>
            <w:tcW w:w="504" w:type="pct"/>
            <w:vMerge w:val="continue"/>
            <w:vAlign w:val="center"/>
          </w:tcPr>
          <w:p w14:paraId="09C7ABF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197879B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委托他人或者接受他人委托参加评标活动。</w:t>
            </w:r>
          </w:p>
        </w:tc>
        <w:tc>
          <w:tcPr>
            <w:tcW w:w="1839" w:type="pct"/>
            <w:vMerge w:val="continue"/>
            <w:vAlign w:val="center"/>
          </w:tcPr>
          <w:p w14:paraId="2CA61A7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177D3FE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08E98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284" w:type="pct"/>
            <w:vAlign w:val="center"/>
          </w:tcPr>
          <w:p w14:paraId="49DC46A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22</w:t>
            </w:r>
          </w:p>
        </w:tc>
        <w:tc>
          <w:tcPr>
            <w:tcW w:w="504" w:type="pct"/>
            <w:vMerge w:val="continue"/>
            <w:vAlign w:val="center"/>
          </w:tcPr>
          <w:p w14:paraId="6F10EE3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1BC7041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存在应当回避而不申请回避的情况。</w:t>
            </w:r>
          </w:p>
        </w:tc>
        <w:tc>
          <w:tcPr>
            <w:tcW w:w="1839" w:type="pct"/>
            <w:vMerge w:val="continue"/>
            <w:vAlign w:val="center"/>
          </w:tcPr>
          <w:p w14:paraId="0BBB94D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52B7C80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490C5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84" w:type="pct"/>
            <w:vAlign w:val="center"/>
          </w:tcPr>
          <w:p w14:paraId="32ED7DC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23</w:t>
            </w:r>
          </w:p>
        </w:tc>
        <w:tc>
          <w:tcPr>
            <w:tcW w:w="504" w:type="pct"/>
            <w:vMerge w:val="continue"/>
            <w:vAlign w:val="center"/>
          </w:tcPr>
          <w:p w14:paraId="1882482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640DE7B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签到后至评标（审）结束前，擅自离开评标（审）区域影响评标（审）活动正常进行。</w:t>
            </w:r>
          </w:p>
        </w:tc>
        <w:tc>
          <w:tcPr>
            <w:tcW w:w="1839" w:type="pct"/>
            <w:vMerge w:val="continue"/>
            <w:vAlign w:val="center"/>
          </w:tcPr>
          <w:p w14:paraId="4625BE8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6D875DF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01407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284" w:type="pct"/>
            <w:vAlign w:val="center"/>
          </w:tcPr>
          <w:p w14:paraId="72E1E4A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24</w:t>
            </w:r>
          </w:p>
        </w:tc>
        <w:tc>
          <w:tcPr>
            <w:tcW w:w="504" w:type="pct"/>
            <w:vMerge w:val="continue"/>
            <w:vAlign w:val="center"/>
          </w:tcPr>
          <w:p w14:paraId="6978934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294CF68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未</w:t>
            </w:r>
            <w:r>
              <w:rPr>
                <w:rFonts w:hint="default" w:ascii="Times New Roman" w:hAnsi="Times New Roman" w:eastAsia="仿宋" w:cs="Times New Roman"/>
                <w:color w:val="auto"/>
                <w:sz w:val="24"/>
                <w:szCs w:val="24"/>
                <w:highlight w:val="none"/>
                <w:vertAlign w:val="baseline"/>
                <w:lang w:val="en-US" w:eastAsia="zh-CN"/>
              </w:rPr>
              <w:t>按规定佩戴交易场所发放的工作牌开展项目评标（审）工作。</w:t>
            </w:r>
          </w:p>
        </w:tc>
        <w:tc>
          <w:tcPr>
            <w:tcW w:w="1839" w:type="pct"/>
            <w:vMerge w:val="continue"/>
            <w:vAlign w:val="center"/>
          </w:tcPr>
          <w:p w14:paraId="45211771">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0984004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2FF6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284" w:type="pct"/>
            <w:vAlign w:val="center"/>
          </w:tcPr>
          <w:p w14:paraId="0FB9830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25</w:t>
            </w:r>
          </w:p>
        </w:tc>
        <w:tc>
          <w:tcPr>
            <w:tcW w:w="504" w:type="pct"/>
            <w:vMerge w:val="continue"/>
            <w:vAlign w:val="center"/>
          </w:tcPr>
          <w:p w14:paraId="06122E2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63FEBCE3">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参加评标（审）活动中违反评标（审）区域身份核验和通讯工具、电子介质使用等规定。</w:t>
            </w:r>
          </w:p>
        </w:tc>
        <w:tc>
          <w:tcPr>
            <w:tcW w:w="1839" w:type="pct"/>
            <w:vMerge w:val="continue"/>
            <w:vAlign w:val="center"/>
          </w:tcPr>
          <w:p w14:paraId="11BC25E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30DA430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115C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284" w:type="pct"/>
            <w:vAlign w:val="center"/>
          </w:tcPr>
          <w:p w14:paraId="15FAB84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26</w:t>
            </w:r>
          </w:p>
        </w:tc>
        <w:tc>
          <w:tcPr>
            <w:tcW w:w="504" w:type="pct"/>
            <w:vMerge w:val="continue"/>
            <w:vAlign w:val="center"/>
          </w:tcPr>
          <w:p w14:paraId="15EF267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4142381F">
            <w:pPr>
              <w:adjustRightInd w:val="0"/>
              <w:spacing w:line="300" w:lineRule="exact"/>
              <w:rPr>
                <w:rFonts w:hint="default" w:ascii="Times New Roman" w:hAnsi="Times New Roman" w:eastAsia="方正书宋简体"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评标（审）过程中不服从现场管理、有过激行为、影响评标（审）秩序。</w:t>
            </w:r>
          </w:p>
        </w:tc>
        <w:tc>
          <w:tcPr>
            <w:tcW w:w="1839" w:type="pct"/>
            <w:vMerge w:val="continue"/>
            <w:vAlign w:val="center"/>
          </w:tcPr>
          <w:p w14:paraId="51F36BF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2B3CC52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3FEE1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284" w:type="pct"/>
            <w:vAlign w:val="center"/>
          </w:tcPr>
          <w:p w14:paraId="04DBA22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27</w:t>
            </w:r>
          </w:p>
        </w:tc>
        <w:tc>
          <w:tcPr>
            <w:tcW w:w="504" w:type="pct"/>
            <w:vMerge w:val="continue"/>
            <w:vAlign w:val="center"/>
          </w:tcPr>
          <w:p w14:paraId="0AF9C1D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25D1D5A9">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评标（审）过程中擅离职守。</w:t>
            </w:r>
          </w:p>
        </w:tc>
        <w:tc>
          <w:tcPr>
            <w:tcW w:w="1839" w:type="pct"/>
            <w:vMerge w:val="continue"/>
            <w:vAlign w:val="center"/>
          </w:tcPr>
          <w:p w14:paraId="355768F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48B7349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3DABC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84" w:type="pct"/>
            <w:vAlign w:val="center"/>
          </w:tcPr>
          <w:p w14:paraId="4C5D55E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28</w:t>
            </w:r>
          </w:p>
        </w:tc>
        <w:tc>
          <w:tcPr>
            <w:tcW w:w="504" w:type="pct"/>
            <w:vMerge w:val="continue"/>
            <w:vAlign w:val="center"/>
          </w:tcPr>
          <w:p w14:paraId="673E827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5C2DD0D5">
            <w:pPr>
              <w:adjustRightInd w:val="0"/>
              <w:spacing w:line="300" w:lineRule="exact"/>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擅自进入非本项目评标（审）室。</w:t>
            </w:r>
          </w:p>
        </w:tc>
        <w:tc>
          <w:tcPr>
            <w:tcW w:w="1839" w:type="pct"/>
            <w:vMerge w:val="continue"/>
            <w:vAlign w:val="center"/>
          </w:tcPr>
          <w:p w14:paraId="42514C2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35F7A29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61059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284" w:type="pct"/>
            <w:vAlign w:val="center"/>
          </w:tcPr>
          <w:p w14:paraId="58FD0E1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29</w:t>
            </w:r>
          </w:p>
        </w:tc>
        <w:tc>
          <w:tcPr>
            <w:tcW w:w="504" w:type="pct"/>
            <w:vMerge w:val="continue"/>
            <w:vAlign w:val="center"/>
          </w:tcPr>
          <w:p w14:paraId="50DD68B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7385E43F">
            <w:pPr>
              <w:adjustRightInd w:val="0"/>
              <w:spacing w:line="300" w:lineRule="exact"/>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评标（审）区域监控盲区与其他评标（审）专家非正常接触。</w:t>
            </w:r>
          </w:p>
        </w:tc>
        <w:tc>
          <w:tcPr>
            <w:tcW w:w="1839" w:type="pct"/>
            <w:vMerge w:val="continue"/>
            <w:vAlign w:val="center"/>
          </w:tcPr>
          <w:p w14:paraId="315819E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5544E5A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33400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284" w:type="pct"/>
            <w:vAlign w:val="center"/>
          </w:tcPr>
          <w:p w14:paraId="65F7902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30</w:t>
            </w:r>
          </w:p>
        </w:tc>
        <w:tc>
          <w:tcPr>
            <w:tcW w:w="504" w:type="pct"/>
            <w:vMerge w:val="continue"/>
            <w:vAlign w:val="center"/>
          </w:tcPr>
          <w:p w14:paraId="2896350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50454C2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不按照招标文件规定的评标（审）标准和方法评标（审）。</w:t>
            </w:r>
          </w:p>
        </w:tc>
        <w:tc>
          <w:tcPr>
            <w:tcW w:w="1839" w:type="pct"/>
            <w:vMerge w:val="continue"/>
            <w:vAlign w:val="center"/>
          </w:tcPr>
          <w:p w14:paraId="28E51AF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4626844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0513B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84" w:type="pct"/>
            <w:vAlign w:val="center"/>
          </w:tcPr>
          <w:p w14:paraId="6CA3F0F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31</w:t>
            </w:r>
          </w:p>
        </w:tc>
        <w:tc>
          <w:tcPr>
            <w:tcW w:w="504" w:type="pct"/>
            <w:vMerge w:val="continue"/>
            <w:vAlign w:val="center"/>
          </w:tcPr>
          <w:p w14:paraId="33AA2FC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b/>
                <w:bCs/>
                <w:color w:val="auto"/>
                <w:sz w:val="24"/>
                <w:szCs w:val="24"/>
                <w:highlight w:val="none"/>
                <w:vertAlign w:val="baseline"/>
                <w:lang w:val="en-US" w:eastAsia="zh-CN"/>
              </w:rPr>
            </w:pPr>
          </w:p>
        </w:tc>
        <w:tc>
          <w:tcPr>
            <w:tcW w:w="2068" w:type="pct"/>
            <w:vAlign w:val="center"/>
          </w:tcPr>
          <w:p w14:paraId="4551111A">
            <w:pPr>
              <w:adjustRightInd w:val="0"/>
              <w:spacing w:line="300" w:lineRule="exact"/>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抄袭或借鉴其他评标（审）专家的结果。</w:t>
            </w:r>
          </w:p>
        </w:tc>
        <w:tc>
          <w:tcPr>
            <w:tcW w:w="1839" w:type="pct"/>
            <w:vMerge w:val="continue"/>
            <w:vAlign w:val="center"/>
          </w:tcPr>
          <w:p w14:paraId="5139BCD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4C095F4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2D9DE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284" w:type="pct"/>
            <w:vAlign w:val="center"/>
          </w:tcPr>
          <w:p w14:paraId="1E711B0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32</w:t>
            </w:r>
          </w:p>
        </w:tc>
        <w:tc>
          <w:tcPr>
            <w:tcW w:w="504" w:type="pct"/>
            <w:vMerge w:val="continue"/>
            <w:vAlign w:val="center"/>
          </w:tcPr>
          <w:p w14:paraId="0B9A545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b/>
                <w:bCs/>
                <w:color w:val="auto"/>
                <w:sz w:val="24"/>
                <w:szCs w:val="24"/>
                <w:highlight w:val="none"/>
                <w:vertAlign w:val="baseline"/>
                <w:lang w:val="en-US" w:eastAsia="zh-CN"/>
              </w:rPr>
            </w:pPr>
          </w:p>
        </w:tc>
        <w:tc>
          <w:tcPr>
            <w:tcW w:w="2068" w:type="pct"/>
            <w:vAlign w:val="center"/>
          </w:tcPr>
          <w:p w14:paraId="40926BC1">
            <w:pPr>
              <w:adjustRightInd w:val="0"/>
              <w:spacing w:line="300" w:lineRule="exact"/>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发表具有倾向性、诱导性的见解，影响其他专家独立出具意见。</w:t>
            </w:r>
          </w:p>
        </w:tc>
        <w:tc>
          <w:tcPr>
            <w:tcW w:w="1839" w:type="pct"/>
            <w:vMerge w:val="continue"/>
            <w:vAlign w:val="center"/>
          </w:tcPr>
          <w:p w14:paraId="7FD491F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4DD73F0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7CFAC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284" w:type="pct"/>
            <w:vAlign w:val="center"/>
          </w:tcPr>
          <w:p w14:paraId="5F3A253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33</w:t>
            </w:r>
          </w:p>
        </w:tc>
        <w:tc>
          <w:tcPr>
            <w:tcW w:w="504" w:type="pct"/>
            <w:vMerge w:val="continue"/>
            <w:vAlign w:val="center"/>
          </w:tcPr>
          <w:p w14:paraId="176B596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150C4FA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用威胁、恐吓等恶劣手段干扰其他评标（审）委员会成员独立评标（审）。</w:t>
            </w:r>
          </w:p>
        </w:tc>
        <w:tc>
          <w:tcPr>
            <w:tcW w:w="1839" w:type="pct"/>
            <w:vMerge w:val="continue"/>
            <w:vAlign w:val="center"/>
          </w:tcPr>
          <w:p w14:paraId="7B7B641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25AAEF4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0B09D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 w:hRule="atLeast"/>
        </w:trPr>
        <w:tc>
          <w:tcPr>
            <w:tcW w:w="284" w:type="pct"/>
            <w:vAlign w:val="center"/>
          </w:tcPr>
          <w:p w14:paraId="3BACAE8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34</w:t>
            </w:r>
          </w:p>
        </w:tc>
        <w:tc>
          <w:tcPr>
            <w:tcW w:w="504" w:type="pct"/>
            <w:vMerge w:val="continue"/>
            <w:vAlign w:val="center"/>
          </w:tcPr>
          <w:p w14:paraId="2FFD340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011CE89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向招标人（采购人）征询确定中标</w:t>
            </w:r>
            <w:r>
              <w:rPr>
                <w:rFonts w:hint="eastAsia" w:ascii="Times New Roman" w:hAnsi="Times New Roman" w:eastAsia="仿宋" w:cs="Times New Roman"/>
                <w:color w:val="auto"/>
                <w:sz w:val="24"/>
                <w:szCs w:val="24"/>
                <w:highlight w:val="none"/>
                <w:vertAlign w:val="baseline"/>
                <w:lang w:val="en-US" w:eastAsia="zh-CN"/>
              </w:rPr>
              <w:t>（成交）</w:t>
            </w:r>
            <w:r>
              <w:rPr>
                <w:rFonts w:hint="default" w:ascii="Times New Roman" w:hAnsi="Times New Roman" w:eastAsia="仿宋" w:cs="Times New Roman"/>
                <w:color w:val="auto"/>
                <w:sz w:val="24"/>
                <w:szCs w:val="24"/>
                <w:highlight w:val="none"/>
                <w:vertAlign w:val="baseline"/>
                <w:lang w:val="en-US" w:eastAsia="zh-CN"/>
              </w:rPr>
              <w:t>人的意向或接受任何单位或者个人明示或者暗示提出的倾向或者排斥特定投标人（供应商）的要求。</w:t>
            </w:r>
          </w:p>
        </w:tc>
        <w:tc>
          <w:tcPr>
            <w:tcW w:w="1839" w:type="pct"/>
            <w:vMerge w:val="continue"/>
            <w:vAlign w:val="center"/>
          </w:tcPr>
          <w:p w14:paraId="441CEDD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40266DD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35D3B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284" w:type="pct"/>
            <w:vAlign w:val="center"/>
          </w:tcPr>
          <w:p w14:paraId="76103A7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35</w:t>
            </w:r>
          </w:p>
        </w:tc>
        <w:tc>
          <w:tcPr>
            <w:tcW w:w="504" w:type="pct"/>
            <w:vMerge w:val="continue"/>
            <w:vAlign w:val="center"/>
          </w:tcPr>
          <w:p w14:paraId="3A1D911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7F1E924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方正书宋简体"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对依法应当否决的投标不提出否决意见，影响评标（审）结果。</w:t>
            </w:r>
          </w:p>
        </w:tc>
        <w:tc>
          <w:tcPr>
            <w:tcW w:w="1839" w:type="pct"/>
            <w:vMerge w:val="continue"/>
            <w:vAlign w:val="center"/>
          </w:tcPr>
          <w:p w14:paraId="53C7B98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52FE941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427B8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84" w:type="pct"/>
            <w:vAlign w:val="center"/>
          </w:tcPr>
          <w:p w14:paraId="3A910B3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36</w:t>
            </w:r>
          </w:p>
        </w:tc>
        <w:tc>
          <w:tcPr>
            <w:tcW w:w="504" w:type="pct"/>
            <w:vMerge w:val="continue"/>
            <w:vAlign w:val="center"/>
          </w:tcPr>
          <w:p w14:paraId="4BC50B0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202F4AF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泄露投标人（供应商）的商业、技术秘密。</w:t>
            </w:r>
          </w:p>
        </w:tc>
        <w:tc>
          <w:tcPr>
            <w:tcW w:w="1839" w:type="pct"/>
            <w:vMerge w:val="continue"/>
            <w:vAlign w:val="center"/>
          </w:tcPr>
          <w:p w14:paraId="130D7353">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11CED5D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54E5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 w:hRule="atLeast"/>
        </w:trPr>
        <w:tc>
          <w:tcPr>
            <w:tcW w:w="284" w:type="pct"/>
            <w:vAlign w:val="center"/>
          </w:tcPr>
          <w:p w14:paraId="46C1489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37</w:t>
            </w:r>
          </w:p>
        </w:tc>
        <w:tc>
          <w:tcPr>
            <w:tcW w:w="504" w:type="pct"/>
            <w:vMerge w:val="continue"/>
            <w:vAlign w:val="center"/>
          </w:tcPr>
          <w:p w14:paraId="54B06EB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1470476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投标文件中含义不明确</w:t>
            </w:r>
            <w:r>
              <w:rPr>
                <w:rFonts w:hint="eastAsia" w:ascii="Times New Roman" w:hAnsi="Times New Roman" w:eastAsia="仿宋" w:cs="Times New Roman"/>
                <w:color w:val="auto"/>
                <w:sz w:val="24"/>
                <w:szCs w:val="24"/>
                <w:highlight w:val="none"/>
                <w:vertAlign w:val="baseline"/>
                <w:lang w:val="en-US" w:eastAsia="zh-CN"/>
              </w:rPr>
              <w:t>，</w:t>
            </w:r>
            <w:r>
              <w:rPr>
                <w:rFonts w:hint="default" w:ascii="Times New Roman" w:hAnsi="Times New Roman" w:eastAsia="仿宋" w:cs="Times New Roman"/>
                <w:color w:val="auto"/>
                <w:sz w:val="24"/>
                <w:szCs w:val="24"/>
                <w:highlight w:val="none"/>
                <w:vertAlign w:val="baseline"/>
                <w:lang w:val="en-US" w:eastAsia="zh-CN"/>
              </w:rPr>
              <w:t>可以要求投标人（供应商）作出澄清（说明）而未要求</w:t>
            </w:r>
            <w:r>
              <w:rPr>
                <w:rFonts w:hint="eastAsia" w:ascii="Times New Roman" w:hAnsi="Times New Roman" w:eastAsia="仿宋" w:cs="Times New Roman"/>
                <w:color w:val="auto"/>
                <w:sz w:val="24"/>
                <w:szCs w:val="24"/>
                <w:highlight w:val="none"/>
                <w:vertAlign w:val="baseline"/>
                <w:lang w:val="en-US" w:eastAsia="zh-CN"/>
              </w:rPr>
              <w:t>，</w:t>
            </w:r>
            <w:r>
              <w:rPr>
                <w:rFonts w:hint="default" w:ascii="Times New Roman" w:hAnsi="Times New Roman" w:eastAsia="仿宋" w:cs="Times New Roman"/>
                <w:color w:val="auto"/>
                <w:sz w:val="24"/>
                <w:szCs w:val="24"/>
                <w:highlight w:val="none"/>
                <w:vertAlign w:val="baseline"/>
                <w:lang w:val="en-US" w:eastAsia="zh-CN"/>
              </w:rPr>
              <w:t>影响评标（审）结果。</w:t>
            </w:r>
          </w:p>
        </w:tc>
        <w:tc>
          <w:tcPr>
            <w:tcW w:w="1839" w:type="pct"/>
            <w:vMerge w:val="continue"/>
            <w:vAlign w:val="center"/>
          </w:tcPr>
          <w:p w14:paraId="2271C9B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75D439E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34BCA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284" w:type="pct"/>
            <w:vAlign w:val="center"/>
          </w:tcPr>
          <w:p w14:paraId="70C03B7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38</w:t>
            </w:r>
          </w:p>
        </w:tc>
        <w:tc>
          <w:tcPr>
            <w:tcW w:w="504" w:type="pct"/>
            <w:vMerge w:val="continue"/>
            <w:vAlign w:val="center"/>
          </w:tcPr>
          <w:p w14:paraId="6C68E4C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2E0B975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投标文件存在细微偏差</w:t>
            </w:r>
            <w:r>
              <w:rPr>
                <w:rFonts w:hint="eastAsia" w:ascii="Times New Roman" w:hAnsi="Times New Roman" w:eastAsia="仿宋" w:cs="Times New Roman"/>
                <w:color w:val="auto"/>
                <w:sz w:val="24"/>
                <w:szCs w:val="24"/>
                <w:highlight w:val="none"/>
                <w:vertAlign w:val="baseline"/>
                <w:lang w:val="en-US" w:eastAsia="zh-CN"/>
              </w:rPr>
              <w:t>，</w:t>
            </w:r>
            <w:r>
              <w:rPr>
                <w:rFonts w:hint="default" w:ascii="Times New Roman" w:hAnsi="Times New Roman" w:eastAsia="仿宋" w:cs="Times New Roman"/>
                <w:color w:val="auto"/>
                <w:sz w:val="24"/>
                <w:szCs w:val="24"/>
                <w:highlight w:val="none"/>
                <w:vertAlign w:val="baseline"/>
                <w:lang w:val="en-US" w:eastAsia="zh-CN"/>
              </w:rPr>
              <w:t>应当通过澄清（说明）进行补正而未要求</w:t>
            </w:r>
            <w:r>
              <w:rPr>
                <w:rFonts w:hint="eastAsia" w:ascii="Times New Roman" w:hAnsi="Times New Roman" w:eastAsia="仿宋" w:cs="Times New Roman"/>
                <w:color w:val="auto"/>
                <w:sz w:val="24"/>
                <w:szCs w:val="24"/>
                <w:highlight w:val="none"/>
                <w:vertAlign w:val="baseline"/>
                <w:lang w:val="en-US" w:eastAsia="zh-CN"/>
              </w:rPr>
              <w:t>，</w:t>
            </w:r>
            <w:r>
              <w:rPr>
                <w:rFonts w:hint="default" w:ascii="Times New Roman" w:hAnsi="Times New Roman" w:eastAsia="仿宋" w:cs="Times New Roman"/>
                <w:color w:val="auto"/>
                <w:sz w:val="24"/>
                <w:szCs w:val="24"/>
                <w:highlight w:val="none"/>
                <w:vertAlign w:val="baseline"/>
                <w:lang w:val="en-US" w:eastAsia="zh-CN"/>
              </w:rPr>
              <w:t>直接作否决投标处理的情况。</w:t>
            </w:r>
          </w:p>
        </w:tc>
        <w:tc>
          <w:tcPr>
            <w:tcW w:w="1839" w:type="pct"/>
            <w:vMerge w:val="continue"/>
            <w:vAlign w:val="center"/>
          </w:tcPr>
          <w:p w14:paraId="74EB7E0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0F7425D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393AA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3" w:hRule="atLeast"/>
        </w:trPr>
        <w:tc>
          <w:tcPr>
            <w:tcW w:w="284" w:type="pct"/>
            <w:vAlign w:val="center"/>
          </w:tcPr>
          <w:p w14:paraId="63E3259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39</w:t>
            </w:r>
          </w:p>
        </w:tc>
        <w:tc>
          <w:tcPr>
            <w:tcW w:w="504" w:type="pct"/>
            <w:vMerge w:val="continue"/>
            <w:vAlign w:val="center"/>
          </w:tcPr>
          <w:p w14:paraId="0F97219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7DFB2422">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投标人（供应商）的报价明显低于其他投标报价或者在设有标底时明显低于标底使得其投标报价可能低于其个别成本的、应当要求该投标人（供应商）作出书面说明并提供相关证明材料而未要求。</w:t>
            </w:r>
          </w:p>
        </w:tc>
        <w:tc>
          <w:tcPr>
            <w:tcW w:w="1839" w:type="pct"/>
            <w:vMerge w:val="continue"/>
            <w:vAlign w:val="center"/>
          </w:tcPr>
          <w:p w14:paraId="08D6A49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1A586BA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25B1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284" w:type="pct"/>
            <w:vAlign w:val="center"/>
          </w:tcPr>
          <w:p w14:paraId="6970307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40</w:t>
            </w:r>
          </w:p>
        </w:tc>
        <w:tc>
          <w:tcPr>
            <w:tcW w:w="504" w:type="pct"/>
            <w:vMerge w:val="continue"/>
            <w:vAlign w:val="center"/>
          </w:tcPr>
          <w:p w14:paraId="504D1D6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22DA3DA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无正当理由要求招标人（代理机构）或投标人（供应商）递送文件资料等。</w:t>
            </w:r>
          </w:p>
        </w:tc>
        <w:tc>
          <w:tcPr>
            <w:tcW w:w="1839" w:type="pct"/>
            <w:vMerge w:val="continue"/>
            <w:vAlign w:val="center"/>
          </w:tcPr>
          <w:p w14:paraId="61FA5E19">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6008A80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7C9E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284" w:type="pct"/>
            <w:vAlign w:val="center"/>
          </w:tcPr>
          <w:p w14:paraId="2F251A8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41</w:t>
            </w:r>
          </w:p>
        </w:tc>
        <w:tc>
          <w:tcPr>
            <w:tcW w:w="504" w:type="pct"/>
            <w:vMerge w:val="continue"/>
            <w:vAlign w:val="center"/>
          </w:tcPr>
          <w:p w14:paraId="2EA9B4E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1DAD04EE">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不认真准确填写或未完整提交评标（审）报告。</w:t>
            </w:r>
          </w:p>
        </w:tc>
        <w:tc>
          <w:tcPr>
            <w:tcW w:w="1839" w:type="pct"/>
            <w:vMerge w:val="continue"/>
            <w:vAlign w:val="center"/>
          </w:tcPr>
          <w:p w14:paraId="2DBCD62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433337F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15C88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84" w:type="pct"/>
            <w:vAlign w:val="center"/>
          </w:tcPr>
          <w:p w14:paraId="3A24EBE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42</w:t>
            </w:r>
          </w:p>
        </w:tc>
        <w:tc>
          <w:tcPr>
            <w:tcW w:w="504" w:type="pct"/>
            <w:vMerge w:val="continue"/>
            <w:vAlign w:val="center"/>
          </w:tcPr>
          <w:p w14:paraId="781AC73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6AF71DC7">
            <w:pPr>
              <w:adjustRightInd w:val="0"/>
              <w:spacing w:line="300" w:lineRule="exact"/>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故意拖延评标（审）时间或者提出不合理要求。</w:t>
            </w:r>
          </w:p>
        </w:tc>
        <w:tc>
          <w:tcPr>
            <w:tcW w:w="1839" w:type="pct"/>
            <w:vMerge w:val="continue"/>
            <w:vAlign w:val="center"/>
          </w:tcPr>
          <w:p w14:paraId="6E8DC2D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768E002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5E1A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84" w:type="pct"/>
            <w:vAlign w:val="center"/>
          </w:tcPr>
          <w:p w14:paraId="12E488B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43</w:t>
            </w:r>
          </w:p>
        </w:tc>
        <w:tc>
          <w:tcPr>
            <w:tcW w:w="504" w:type="pct"/>
            <w:vMerge w:val="continue"/>
            <w:vAlign w:val="center"/>
          </w:tcPr>
          <w:p w14:paraId="37E4BBA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20CBACAC">
            <w:pPr>
              <w:adjustRightInd w:val="0"/>
              <w:spacing w:line="300" w:lineRule="exact"/>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发现投标人、供应商以他人名义投标、串标、围标而不作废标处理。</w:t>
            </w:r>
          </w:p>
        </w:tc>
        <w:tc>
          <w:tcPr>
            <w:tcW w:w="1839" w:type="pct"/>
            <w:vMerge w:val="continue"/>
            <w:vAlign w:val="center"/>
          </w:tcPr>
          <w:p w14:paraId="4BA9D44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305FDC8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14A3D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284" w:type="pct"/>
            <w:vAlign w:val="center"/>
          </w:tcPr>
          <w:p w14:paraId="0F6C5D2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44</w:t>
            </w:r>
          </w:p>
        </w:tc>
        <w:tc>
          <w:tcPr>
            <w:tcW w:w="504" w:type="pct"/>
            <w:vMerge w:val="continue"/>
            <w:vAlign w:val="center"/>
          </w:tcPr>
          <w:p w14:paraId="5E3997E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2AECFFD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方正书宋简体"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因评标（审）薪酬争议等不正当理由拒绝在评标（审）报告上签字。</w:t>
            </w:r>
          </w:p>
        </w:tc>
        <w:tc>
          <w:tcPr>
            <w:tcW w:w="1839" w:type="pct"/>
            <w:vMerge w:val="continue"/>
            <w:vAlign w:val="center"/>
          </w:tcPr>
          <w:p w14:paraId="0C95806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67B5D0A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4C3FA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284" w:type="pct"/>
            <w:vAlign w:val="center"/>
          </w:tcPr>
          <w:p w14:paraId="14EECD2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45</w:t>
            </w:r>
          </w:p>
        </w:tc>
        <w:tc>
          <w:tcPr>
            <w:tcW w:w="504" w:type="pct"/>
            <w:vMerge w:val="continue"/>
            <w:vAlign w:val="center"/>
          </w:tcPr>
          <w:p w14:paraId="7F70C1A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51A7110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回避监控监督、离开评标（审）室（厅）后签署评标（审）相关资料。</w:t>
            </w:r>
          </w:p>
        </w:tc>
        <w:tc>
          <w:tcPr>
            <w:tcW w:w="1839" w:type="pct"/>
            <w:vMerge w:val="continue"/>
            <w:vAlign w:val="center"/>
          </w:tcPr>
          <w:p w14:paraId="158CFC7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1C07D5A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79282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284" w:type="pct"/>
            <w:vAlign w:val="center"/>
          </w:tcPr>
          <w:p w14:paraId="1A92D23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46</w:t>
            </w:r>
          </w:p>
        </w:tc>
        <w:tc>
          <w:tcPr>
            <w:tcW w:w="504" w:type="pct"/>
            <w:vMerge w:val="continue"/>
            <w:vAlign w:val="center"/>
          </w:tcPr>
          <w:p w14:paraId="7B2B1AA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541F995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无正当理由拒绝参加项目质疑或重新评审。</w:t>
            </w:r>
          </w:p>
        </w:tc>
        <w:tc>
          <w:tcPr>
            <w:tcW w:w="1839" w:type="pct"/>
            <w:vMerge w:val="continue"/>
            <w:vAlign w:val="center"/>
          </w:tcPr>
          <w:p w14:paraId="6ABE5F5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1E05435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2BBC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284" w:type="pct"/>
            <w:vAlign w:val="center"/>
          </w:tcPr>
          <w:p w14:paraId="6DD05E2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47</w:t>
            </w:r>
          </w:p>
        </w:tc>
        <w:tc>
          <w:tcPr>
            <w:tcW w:w="504" w:type="pct"/>
            <w:vMerge w:val="continue"/>
            <w:vAlign w:val="center"/>
          </w:tcPr>
          <w:p w14:paraId="1C3CF8C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3263ABB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在评标（审）结束后记录、复制或带走</w:t>
            </w:r>
            <w:r>
              <w:rPr>
                <w:rFonts w:hint="eastAsia" w:ascii="Times New Roman" w:hAnsi="Times New Roman" w:eastAsia="仿宋" w:cs="Times New Roman"/>
                <w:color w:val="auto"/>
                <w:sz w:val="24"/>
                <w:szCs w:val="24"/>
                <w:highlight w:val="none"/>
                <w:vertAlign w:val="baseline"/>
                <w:lang w:val="en-US" w:eastAsia="zh-CN"/>
              </w:rPr>
              <w:t>相关</w:t>
            </w:r>
            <w:r>
              <w:rPr>
                <w:rFonts w:hint="default" w:ascii="Times New Roman" w:hAnsi="Times New Roman" w:eastAsia="仿宋" w:cs="Times New Roman"/>
                <w:color w:val="auto"/>
                <w:sz w:val="24"/>
                <w:szCs w:val="24"/>
                <w:highlight w:val="none"/>
                <w:vertAlign w:val="baseline"/>
                <w:lang w:val="en-US" w:eastAsia="zh-CN"/>
              </w:rPr>
              <w:t>资料。</w:t>
            </w:r>
          </w:p>
        </w:tc>
        <w:tc>
          <w:tcPr>
            <w:tcW w:w="1839" w:type="pct"/>
            <w:vMerge w:val="continue"/>
            <w:vAlign w:val="center"/>
          </w:tcPr>
          <w:p w14:paraId="6AE976D9">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05AB844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0D4EC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284" w:type="pct"/>
            <w:vAlign w:val="center"/>
          </w:tcPr>
          <w:p w14:paraId="1749ACF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48</w:t>
            </w:r>
          </w:p>
        </w:tc>
        <w:tc>
          <w:tcPr>
            <w:tcW w:w="504" w:type="pct"/>
            <w:vMerge w:val="continue"/>
            <w:vAlign w:val="center"/>
          </w:tcPr>
          <w:p w14:paraId="0FF43D7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10251CF9">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在交易现场发生不良行为后拒绝配合交易平台工作人员做记录、签字确认。</w:t>
            </w:r>
          </w:p>
        </w:tc>
        <w:tc>
          <w:tcPr>
            <w:tcW w:w="1839" w:type="pct"/>
            <w:vMerge w:val="continue"/>
            <w:vAlign w:val="center"/>
          </w:tcPr>
          <w:p w14:paraId="1409B16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4978A60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6FBF5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284" w:type="pct"/>
            <w:vAlign w:val="center"/>
          </w:tcPr>
          <w:p w14:paraId="1C04C28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49</w:t>
            </w:r>
          </w:p>
        </w:tc>
        <w:tc>
          <w:tcPr>
            <w:tcW w:w="504" w:type="pct"/>
            <w:vMerge w:val="continue"/>
            <w:vAlign w:val="center"/>
          </w:tcPr>
          <w:p w14:paraId="72C5C44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271D0088">
            <w:pPr>
              <w:adjustRightInd w:val="0"/>
              <w:spacing w:line="300" w:lineRule="exact"/>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在隔夜评标期间擅自离开休息区域或擅自与他人接触、相互串门、对外联系。</w:t>
            </w:r>
          </w:p>
        </w:tc>
        <w:tc>
          <w:tcPr>
            <w:tcW w:w="1839" w:type="pct"/>
            <w:vMerge w:val="continue"/>
            <w:vAlign w:val="center"/>
          </w:tcPr>
          <w:p w14:paraId="4B3936A9">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2E07E70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72FFE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84" w:type="pct"/>
            <w:vAlign w:val="center"/>
          </w:tcPr>
          <w:p w14:paraId="514093F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50</w:t>
            </w:r>
          </w:p>
        </w:tc>
        <w:tc>
          <w:tcPr>
            <w:tcW w:w="504" w:type="pct"/>
            <w:vMerge w:val="continue"/>
            <w:vAlign w:val="center"/>
          </w:tcPr>
          <w:p w14:paraId="570311D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57F80827">
            <w:pPr>
              <w:adjustRightInd w:val="0"/>
              <w:spacing w:line="300" w:lineRule="exact"/>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存在其他不客观、不公正履行职责的行为，使交易活动产生较坏影响。</w:t>
            </w:r>
          </w:p>
        </w:tc>
        <w:tc>
          <w:tcPr>
            <w:tcW w:w="1839" w:type="pct"/>
            <w:vMerge w:val="continue"/>
            <w:vAlign w:val="center"/>
          </w:tcPr>
          <w:p w14:paraId="5C23B479">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61C5604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p w14:paraId="36839A4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p w14:paraId="1A6C5E7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三级</w:t>
            </w:r>
          </w:p>
        </w:tc>
      </w:tr>
      <w:tr w14:paraId="40F9D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284" w:type="pct"/>
            <w:vAlign w:val="center"/>
          </w:tcPr>
          <w:p w14:paraId="5331016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51</w:t>
            </w:r>
          </w:p>
        </w:tc>
        <w:tc>
          <w:tcPr>
            <w:tcW w:w="504" w:type="pct"/>
            <w:vMerge w:val="restart"/>
            <w:vAlign w:val="center"/>
          </w:tcPr>
          <w:p w14:paraId="7E7E7AE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项目监督</w:t>
            </w:r>
          </w:p>
          <w:p w14:paraId="0A5F415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586F349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未</w:t>
            </w:r>
            <w:r>
              <w:rPr>
                <w:rFonts w:hint="default" w:ascii="Times New Roman" w:hAnsi="Times New Roman" w:eastAsia="仿宋" w:cs="Times New Roman"/>
                <w:color w:val="auto"/>
                <w:sz w:val="24"/>
                <w:szCs w:val="24"/>
                <w:highlight w:val="none"/>
                <w:vertAlign w:val="baseline"/>
                <w:lang w:val="en-US" w:eastAsia="zh-CN"/>
              </w:rPr>
              <w:t>佩戴交易场所发放的工作牌进出评标（审）区域。</w:t>
            </w:r>
          </w:p>
        </w:tc>
        <w:tc>
          <w:tcPr>
            <w:tcW w:w="1839" w:type="pct"/>
            <w:vMerge w:val="restart"/>
            <w:vAlign w:val="center"/>
          </w:tcPr>
          <w:p w14:paraId="3FCE11C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《四川省公共资源交易现场服务公开工作规范》</w:t>
            </w:r>
          </w:p>
          <w:p w14:paraId="046C444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（川政公〔2019〕17号）</w:t>
            </w:r>
          </w:p>
          <w:p w14:paraId="09B530C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《四川省公共资源交易平台管理实施细则》</w:t>
            </w:r>
          </w:p>
          <w:p w14:paraId="159634D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lang w:val="en-US" w:eastAsia="zh-CN"/>
              </w:rPr>
            </w:pPr>
            <w:r>
              <w:rPr>
                <w:rFonts w:hint="default" w:ascii="Times New Roman" w:hAnsi="Times New Roman" w:eastAsia="仿宋" w:cs="Times New Roman"/>
                <w:color w:val="auto"/>
                <w:sz w:val="24"/>
                <w:szCs w:val="24"/>
                <w:highlight w:val="none"/>
                <w:vertAlign w:val="baseline"/>
                <w:lang w:val="en-US" w:eastAsia="zh-CN"/>
              </w:rPr>
              <w:t>（川办发〔2020〕78号）</w:t>
            </w:r>
          </w:p>
        </w:tc>
        <w:tc>
          <w:tcPr>
            <w:tcW w:w="303" w:type="pct"/>
            <w:vAlign w:val="center"/>
          </w:tcPr>
          <w:p w14:paraId="1163F77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57197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284" w:type="pct"/>
            <w:vAlign w:val="center"/>
          </w:tcPr>
          <w:p w14:paraId="16A2AA2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52</w:t>
            </w:r>
          </w:p>
        </w:tc>
        <w:tc>
          <w:tcPr>
            <w:tcW w:w="504" w:type="pct"/>
            <w:vMerge w:val="continue"/>
            <w:vAlign w:val="center"/>
          </w:tcPr>
          <w:p w14:paraId="76DA4D1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396E164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违反评标（审）区域身份核验和通讯工具、电子介质使用等规定。</w:t>
            </w:r>
          </w:p>
        </w:tc>
        <w:tc>
          <w:tcPr>
            <w:tcW w:w="1839" w:type="pct"/>
            <w:vMerge w:val="continue"/>
            <w:vAlign w:val="center"/>
          </w:tcPr>
          <w:p w14:paraId="59DADC8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5D486C1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32434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84" w:type="pct"/>
            <w:vAlign w:val="center"/>
          </w:tcPr>
          <w:p w14:paraId="417CE93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53</w:t>
            </w:r>
          </w:p>
        </w:tc>
        <w:tc>
          <w:tcPr>
            <w:tcW w:w="504" w:type="pct"/>
            <w:vMerge w:val="continue"/>
            <w:vAlign w:val="center"/>
          </w:tcPr>
          <w:p w14:paraId="0590A57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558B338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擅自进入评标（审）区域。</w:t>
            </w:r>
          </w:p>
        </w:tc>
        <w:tc>
          <w:tcPr>
            <w:tcW w:w="1839" w:type="pct"/>
            <w:vMerge w:val="continue"/>
            <w:vAlign w:val="center"/>
          </w:tcPr>
          <w:p w14:paraId="241614E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0FB0613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64EF0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84" w:type="pct"/>
            <w:vAlign w:val="center"/>
          </w:tcPr>
          <w:p w14:paraId="6881BC7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54</w:t>
            </w:r>
          </w:p>
        </w:tc>
        <w:tc>
          <w:tcPr>
            <w:tcW w:w="504" w:type="pct"/>
            <w:vMerge w:val="continue"/>
            <w:vAlign w:val="center"/>
          </w:tcPr>
          <w:p w14:paraId="1F79F0D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4E7EA0F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擅自进入非本项目评标（审）室。</w:t>
            </w:r>
          </w:p>
        </w:tc>
        <w:tc>
          <w:tcPr>
            <w:tcW w:w="1839" w:type="pct"/>
            <w:vMerge w:val="continue"/>
            <w:vAlign w:val="center"/>
          </w:tcPr>
          <w:p w14:paraId="7878F9D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1759AFD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263A8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84" w:type="pct"/>
            <w:vAlign w:val="center"/>
          </w:tcPr>
          <w:p w14:paraId="49E8FCE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55</w:t>
            </w:r>
          </w:p>
        </w:tc>
        <w:tc>
          <w:tcPr>
            <w:tcW w:w="504" w:type="pct"/>
            <w:vMerge w:val="continue"/>
            <w:vAlign w:val="center"/>
          </w:tcPr>
          <w:p w14:paraId="0D7E9C0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51B1425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在评标（审）现场发表倾向性言论，干预或影响评标（审）专家独立评标（审）。</w:t>
            </w:r>
          </w:p>
        </w:tc>
        <w:tc>
          <w:tcPr>
            <w:tcW w:w="1839" w:type="pct"/>
            <w:vMerge w:val="continue"/>
            <w:vAlign w:val="center"/>
          </w:tcPr>
          <w:p w14:paraId="3633CC5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23FC1D7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05CE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284" w:type="pct"/>
            <w:vAlign w:val="center"/>
          </w:tcPr>
          <w:p w14:paraId="339B5C6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56</w:t>
            </w:r>
          </w:p>
        </w:tc>
        <w:tc>
          <w:tcPr>
            <w:tcW w:w="504" w:type="pct"/>
            <w:vMerge w:val="continue"/>
            <w:vAlign w:val="center"/>
          </w:tcPr>
          <w:p w14:paraId="52ECACB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544F3A2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在评标（审）区域监控盲区与评标（审）专家非正常接触。</w:t>
            </w:r>
          </w:p>
        </w:tc>
        <w:tc>
          <w:tcPr>
            <w:tcW w:w="1839" w:type="pct"/>
            <w:vMerge w:val="continue"/>
            <w:vAlign w:val="center"/>
          </w:tcPr>
          <w:p w14:paraId="3CAB33F2">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225B753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49ED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284" w:type="pct"/>
            <w:vAlign w:val="center"/>
          </w:tcPr>
          <w:p w14:paraId="2E71D55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57</w:t>
            </w:r>
          </w:p>
        </w:tc>
        <w:tc>
          <w:tcPr>
            <w:tcW w:w="504" w:type="pct"/>
            <w:vMerge w:val="continue"/>
            <w:vAlign w:val="center"/>
          </w:tcPr>
          <w:p w14:paraId="0205599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04C43551">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存在隔夜评标（审）期间未对专家实施全程监督，杜绝专家与外界联系、专家之间非正常联系。</w:t>
            </w:r>
          </w:p>
        </w:tc>
        <w:tc>
          <w:tcPr>
            <w:tcW w:w="1839" w:type="pct"/>
            <w:vMerge w:val="continue"/>
            <w:vAlign w:val="center"/>
          </w:tcPr>
          <w:p w14:paraId="3588CBD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6DE8C54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0E943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284" w:type="pct"/>
            <w:vAlign w:val="center"/>
          </w:tcPr>
          <w:p w14:paraId="494A455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58</w:t>
            </w:r>
          </w:p>
        </w:tc>
        <w:tc>
          <w:tcPr>
            <w:tcW w:w="504" w:type="pct"/>
            <w:vMerge w:val="continue"/>
            <w:vAlign w:val="center"/>
          </w:tcPr>
          <w:p w14:paraId="6DC58AA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49411F9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发现评标（审）专家有受贿或与交易主体串通等违法违规行为的，未及时告知交易中心及向相关行政主管部门报告。</w:t>
            </w:r>
          </w:p>
        </w:tc>
        <w:tc>
          <w:tcPr>
            <w:tcW w:w="1839" w:type="pct"/>
            <w:vMerge w:val="continue"/>
            <w:vAlign w:val="center"/>
          </w:tcPr>
          <w:p w14:paraId="6A79933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3213EF3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509C5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284" w:type="pct"/>
            <w:vAlign w:val="center"/>
          </w:tcPr>
          <w:p w14:paraId="35D2C05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59</w:t>
            </w:r>
          </w:p>
        </w:tc>
        <w:tc>
          <w:tcPr>
            <w:tcW w:w="504" w:type="pct"/>
            <w:vMerge w:val="continue"/>
            <w:vAlign w:val="center"/>
          </w:tcPr>
          <w:p w14:paraId="7E3DDB2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67728F8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迟到或擅离职守，影响开标（拍卖）、评标等交易工作正常进行。</w:t>
            </w:r>
          </w:p>
        </w:tc>
        <w:tc>
          <w:tcPr>
            <w:tcW w:w="1839" w:type="pct"/>
            <w:vMerge w:val="continue"/>
            <w:vAlign w:val="center"/>
          </w:tcPr>
          <w:p w14:paraId="56D4B679">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05613DE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0BB0B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284" w:type="pct"/>
            <w:vAlign w:val="center"/>
          </w:tcPr>
          <w:p w14:paraId="0DE6DA8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60</w:t>
            </w:r>
          </w:p>
        </w:tc>
        <w:tc>
          <w:tcPr>
            <w:tcW w:w="504" w:type="pct"/>
            <w:vMerge w:val="continue"/>
            <w:vAlign w:val="center"/>
          </w:tcPr>
          <w:p w14:paraId="2267B7D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7D811DE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不认真监督项目交易资料或样品、物品的移送，导致资料、样品遗失或违规资料、物品被送入评标室。</w:t>
            </w:r>
          </w:p>
        </w:tc>
        <w:tc>
          <w:tcPr>
            <w:tcW w:w="1839" w:type="pct"/>
            <w:vMerge w:val="continue"/>
            <w:vAlign w:val="center"/>
          </w:tcPr>
          <w:p w14:paraId="1F7BEC8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7F12E35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062D9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84" w:type="pct"/>
            <w:vAlign w:val="center"/>
          </w:tcPr>
          <w:p w14:paraId="025A0CB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61</w:t>
            </w:r>
          </w:p>
        </w:tc>
        <w:tc>
          <w:tcPr>
            <w:tcW w:w="504" w:type="pct"/>
            <w:vMerge w:val="continue"/>
            <w:vAlign w:val="center"/>
          </w:tcPr>
          <w:p w14:paraId="62414BE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77E206D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将监督证件交予他人代行监督职责。</w:t>
            </w:r>
          </w:p>
        </w:tc>
        <w:tc>
          <w:tcPr>
            <w:tcW w:w="1839" w:type="pct"/>
            <w:vMerge w:val="continue"/>
            <w:vAlign w:val="center"/>
          </w:tcPr>
          <w:p w14:paraId="77ED5917">
            <w:pPr>
              <w:bidi w:val="0"/>
              <w:rPr>
                <w:rFonts w:hint="default" w:ascii="Times New Roman" w:hAnsi="Times New Roman" w:cs="Times New Roman"/>
                <w:color w:val="auto"/>
                <w:lang w:val="en-US" w:eastAsia="zh-CN"/>
              </w:rPr>
            </w:pPr>
          </w:p>
        </w:tc>
        <w:tc>
          <w:tcPr>
            <w:tcW w:w="303" w:type="pct"/>
            <w:vAlign w:val="center"/>
          </w:tcPr>
          <w:p w14:paraId="0974B5A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74D18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284" w:type="pct"/>
            <w:vAlign w:val="center"/>
          </w:tcPr>
          <w:p w14:paraId="6E02C7F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62</w:t>
            </w:r>
          </w:p>
        </w:tc>
        <w:tc>
          <w:tcPr>
            <w:tcW w:w="504" w:type="pct"/>
            <w:vMerge w:val="continue"/>
            <w:vAlign w:val="center"/>
          </w:tcPr>
          <w:p w14:paraId="516199D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7AF620B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不依法履行现场监督职责，强行干涉开标（拍卖）、评标（审）活动和评标（审）结果。</w:t>
            </w:r>
          </w:p>
        </w:tc>
        <w:tc>
          <w:tcPr>
            <w:tcW w:w="1839" w:type="pct"/>
            <w:vMerge w:val="continue"/>
            <w:vAlign w:val="center"/>
          </w:tcPr>
          <w:p w14:paraId="7D39ACCE">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22E910F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36F56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284" w:type="pct"/>
            <w:vAlign w:val="center"/>
          </w:tcPr>
          <w:p w14:paraId="49502EC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63</w:t>
            </w:r>
          </w:p>
        </w:tc>
        <w:tc>
          <w:tcPr>
            <w:tcW w:w="504" w:type="pct"/>
            <w:vMerge w:val="continue"/>
            <w:vAlign w:val="center"/>
          </w:tcPr>
          <w:p w14:paraId="4D7F462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569613E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向他人透露专家抽取、评标（审）等交易保密信息；泄漏、谈论应当保密的交易事项。</w:t>
            </w:r>
          </w:p>
        </w:tc>
        <w:tc>
          <w:tcPr>
            <w:tcW w:w="1839" w:type="pct"/>
            <w:vMerge w:val="continue"/>
            <w:vAlign w:val="center"/>
          </w:tcPr>
          <w:p w14:paraId="45276DC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68C9CB4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0647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284" w:type="pct"/>
            <w:vAlign w:val="center"/>
          </w:tcPr>
          <w:p w14:paraId="3DD42A9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64</w:t>
            </w:r>
          </w:p>
        </w:tc>
        <w:tc>
          <w:tcPr>
            <w:tcW w:w="504" w:type="pct"/>
            <w:vMerge w:val="continue"/>
            <w:vAlign w:val="center"/>
          </w:tcPr>
          <w:p w14:paraId="7B29985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3553DF8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违规接触投标人</w:t>
            </w:r>
            <w:r>
              <w:rPr>
                <w:rFonts w:hint="eastAsia" w:ascii="Times New Roman" w:hAnsi="Times New Roman" w:eastAsia="仿宋" w:cs="Times New Roman"/>
                <w:color w:val="auto"/>
                <w:sz w:val="24"/>
                <w:szCs w:val="24"/>
                <w:highlight w:val="none"/>
                <w:vertAlign w:val="baseline"/>
                <w:lang w:val="en-US" w:eastAsia="zh-CN"/>
              </w:rPr>
              <w:t>（供应商）</w:t>
            </w:r>
            <w:r>
              <w:rPr>
                <w:rFonts w:hint="default" w:ascii="Times New Roman" w:hAnsi="Times New Roman" w:eastAsia="仿宋" w:cs="Times New Roman"/>
                <w:color w:val="auto"/>
                <w:sz w:val="24"/>
                <w:szCs w:val="24"/>
                <w:highlight w:val="none"/>
                <w:vertAlign w:val="baseline"/>
                <w:lang w:val="en-US" w:eastAsia="zh-CN"/>
              </w:rPr>
              <w:t>、竞买人等利害关系人，收受利害关系人的财物、报酬或其他不当利益。</w:t>
            </w:r>
          </w:p>
        </w:tc>
        <w:tc>
          <w:tcPr>
            <w:tcW w:w="1839" w:type="pct"/>
            <w:vMerge w:val="continue"/>
            <w:vAlign w:val="center"/>
          </w:tcPr>
          <w:p w14:paraId="5C51B5E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667500C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08888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284" w:type="pct"/>
            <w:vAlign w:val="center"/>
          </w:tcPr>
          <w:p w14:paraId="3E9DAD8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65</w:t>
            </w:r>
          </w:p>
        </w:tc>
        <w:tc>
          <w:tcPr>
            <w:tcW w:w="504" w:type="pct"/>
            <w:vMerge w:val="continue"/>
            <w:vAlign w:val="center"/>
          </w:tcPr>
          <w:p w14:paraId="19BCE2F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2D1E565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在评标（审）现场大声喧哗干扰本评标（审）室或其他评标（审）室评标（审）专家工作。</w:t>
            </w:r>
          </w:p>
        </w:tc>
        <w:tc>
          <w:tcPr>
            <w:tcW w:w="1839" w:type="pct"/>
            <w:vMerge w:val="continue"/>
            <w:vAlign w:val="center"/>
          </w:tcPr>
          <w:p w14:paraId="14A59ED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3BC19A9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tc>
      </w:tr>
      <w:tr w14:paraId="5BB52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284" w:type="pct"/>
            <w:vAlign w:val="center"/>
          </w:tcPr>
          <w:p w14:paraId="607F395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66</w:t>
            </w:r>
          </w:p>
        </w:tc>
        <w:tc>
          <w:tcPr>
            <w:tcW w:w="504" w:type="pct"/>
            <w:vMerge w:val="continue"/>
            <w:vAlign w:val="center"/>
          </w:tcPr>
          <w:p w14:paraId="6735112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5EE12AD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方正书宋简体"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未</w:t>
            </w:r>
            <w:r>
              <w:rPr>
                <w:rFonts w:hint="default" w:ascii="Times New Roman" w:hAnsi="Times New Roman" w:eastAsia="仿宋" w:cs="Times New Roman"/>
                <w:color w:val="auto"/>
                <w:sz w:val="24"/>
                <w:szCs w:val="24"/>
                <w:highlight w:val="none"/>
                <w:vertAlign w:val="baseline"/>
                <w:lang w:val="en-US" w:eastAsia="zh-CN"/>
              </w:rPr>
              <w:t>按要求监督项目资料的整理、封存。</w:t>
            </w:r>
          </w:p>
        </w:tc>
        <w:tc>
          <w:tcPr>
            <w:tcW w:w="1839" w:type="pct"/>
            <w:vMerge w:val="continue"/>
            <w:vAlign w:val="center"/>
          </w:tcPr>
          <w:p w14:paraId="17C059D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4E8EC82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tc>
      </w:tr>
      <w:tr w14:paraId="53C29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284" w:type="pct"/>
            <w:vAlign w:val="center"/>
          </w:tcPr>
          <w:p w14:paraId="18C2F18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67</w:t>
            </w:r>
          </w:p>
        </w:tc>
        <w:tc>
          <w:tcPr>
            <w:tcW w:w="504" w:type="pct"/>
            <w:vMerge w:val="continue"/>
            <w:vAlign w:val="center"/>
          </w:tcPr>
          <w:p w14:paraId="7DB5FE9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79F259B8">
            <w:pPr>
              <w:adjustRightInd w:val="0"/>
              <w:spacing w:line="300" w:lineRule="exact"/>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在评标（审）区域开展与项目监督无关的工作。</w:t>
            </w:r>
          </w:p>
        </w:tc>
        <w:tc>
          <w:tcPr>
            <w:tcW w:w="1839" w:type="pct"/>
            <w:vMerge w:val="continue"/>
            <w:vAlign w:val="center"/>
          </w:tcPr>
          <w:p w14:paraId="1D5E387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6544998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tc>
      </w:tr>
      <w:tr w14:paraId="20D5F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284" w:type="pct"/>
            <w:vAlign w:val="center"/>
          </w:tcPr>
          <w:p w14:paraId="0B458D6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68</w:t>
            </w:r>
          </w:p>
        </w:tc>
        <w:tc>
          <w:tcPr>
            <w:tcW w:w="504" w:type="pct"/>
            <w:vMerge w:val="continue"/>
            <w:vAlign w:val="center"/>
          </w:tcPr>
          <w:p w14:paraId="2B41D5E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2068" w:type="pct"/>
            <w:vAlign w:val="center"/>
          </w:tcPr>
          <w:p w14:paraId="0996005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其他违反法律法规规定、交易中心有关规定，对交易活动产生较坏影响的行为。</w:t>
            </w:r>
          </w:p>
        </w:tc>
        <w:tc>
          <w:tcPr>
            <w:tcW w:w="1839" w:type="pct"/>
            <w:vMerge w:val="continue"/>
            <w:vAlign w:val="center"/>
          </w:tcPr>
          <w:p w14:paraId="771A57A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2435ADE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p w14:paraId="322DFEC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p w14:paraId="5DF4304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三级</w:t>
            </w:r>
          </w:p>
        </w:tc>
      </w:tr>
      <w:tr w14:paraId="2CB56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284" w:type="pct"/>
            <w:vAlign w:val="center"/>
          </w:tcPr>
          <w:p w14:paraId="256B1D8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69</w:t>
            </w:r>
          </w:p>
        </w:tc>
        <w:tc>
          <w:tcPr>
            <w:tcW w:w="504" w:type="pct"/>
            <w:vMerge w:val="restart"/>
            <w:vAlign w:val="center"/>
          </w:tcPr>
          <w:p w14:paraId="262A1EB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p w14:paraId="0E07794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参与交易</w:t>
            </w:r>
          </w:p>
          <w:p w14:paraId="24F6927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的各方主体</w:t>
            </w:r>
          </w:p>
        </w:tc>
        <w:tc>
          <w:tcPr>
            <w:tcW w:w="5860" w:type="dxa"/>
            <w:vAlign w:val="center"/>
          </w:tcPr>
          <w:p w14:paraId="1FBEB973">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不爱护评标（审）区域公共设施、造成损坏不修复和拒不赔偿的情况。</w:t>
            </w:r>
          </w:p>
        </w:tc>
        <w:tc>
          <w:tcPr>
            <w:tcW w:w="1839" w:type="pct"/>
            <w:vMerge w:val="restart"/>
            <w:vAlign w:val="center"/>
          </w:tcPr>
          <w:p w14:paraId="63B4AC9E">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《中华人民共和国招标投标法》及实施条例</w:t>
            </w:r>
          </w:p>
          <w:p w14:paraId="1E4F5C5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《中华人民共和国政府采购法》及实施条例</w:t>
            </w:r>
          </w:p>
          <w:p w14:paraId="0C2F596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《四川省公共资源交易现场服务公开工作规范》</w:t>
            </w:r>
          </w:p>
          <w:p w14:paraId="28CA4D89">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（川政公〔2019〕17号）</w:t>
            </w:r>
          </w:p>
          <w:p w14:paraId="5CA2C1E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《四川省公共资源交易平台管理实施细则》</w:t>
            </w:r>
          </w:p>
          <w:p w14:paraId="241E8DF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（川办发〔2020〕78号）</w:t>
            </w:r>
          </w:p>
        </w:tc>
        <w:tc>
          <w:tcPr>
            <w:tcW w:w="303" w:type="pct"/>
            <w:vAlign w:val="center"/>
          </w:tcPr>
          <w:p w14:paraId="00F00C4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三级</w:t>
            </w:r>
          </w:p>
        </w:tc>
      </w:tr>
      <w:tr w14:paraId="58650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284" w:type="pct"/>
            <w:vAlign w:val="center"/>
          </w:tcPr>
          <w:p w14:paraId="546A10A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70</w:t>
            </w:r>
          </w:p>
        </w:tc>
        <w:tc>
          <w:tcPr>
            <w:tcW w:w="504" w:type="pct"/>
            <w:vMerge w:val="continue"/>
            <w:vAlign w:val="center"/>
          </w:tcPr>
          <w:p w14:paraId="5584E45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5860" w:type="dxa"/>
            <w:vAlign w:val="center"/>
          </w:tcPr>
          <w:p w14:paraId="1AC28CD1">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不</w:t>
            </w:r>
            <w:r>
              <w:rPr>
                <w:rFonts w:hint="default" w:ascii="Times New Roman" w:hAnsi="Times New Roman" w:eastAsia="仿宋" w:cs="Times New Roman"/>
                <w:color w:val="auto"/>
                <w:sz w:val="24"/>
                <w:szCs w:val="24"/>
                <w:highlight w:val="none"/>
                <w:vertAlign w:val="baseline"/>
                <w:lang w:val="en-US" w:eastAsia="zh-CN"/>
              </w:rPr>
              <w:t>遵守交易场所管理规定或</w:t>
            </w:r>
            <w:r>
              <w:rPr>
                <w:rFonts w:hint="eastAsia" w:ascii="Times New Roman" w:hAnsi="Times New Roman" w:eastAsia="仿宋" w:cs="Times New Roman"/>
                <w:color w:val="auto"/>
                <w:sz w:val="24"/>
                <w:szCs w:val="24"/>
                <w:highlight w:val="none"/>
                <w:vertAlign w:val="baseline"/>
                <w:lang w:val="en-US" w:eastAsia="zh-CN"/>
              </w:rPr>
              <w:t>不</w:t>
            </w:r>
            <w:r>
              <w:rPr>
                <w:rFonts w:hint="default" w:ascii="Times New Roman" w:hAnsi="Times New Roman" w:eastAsia="仿宋" w:cs="Times New Roman"/>
                <w:color w:val="auto"/>
                <w:sz w:val="24"/>
                <w:szCs w:val="24"/>
                <w:highlight w:val="none"/>
                <w:vertAlign w:val="baseline"/>
                <w:lang w:val="en-US" w:eastAsia="zh-CN"/>
              </w:rPr>
              <w:t>服从交易场所现场工作人员管理。</w:t>
            </w:r>
          </w:p>
        </w:tc>
        <w:tc>
          <w:tcPr>
            <w:tcW w:w="1839" w:type="pct"/>
            <w:vMerge w:val="continue"/>
            <w:vAlign w:val="center"/>
          </w:tcPr>
          <w:p w14:paraId="5F0E783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5748AF3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p w14:paraId="50B0007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p w14:paraId="06F97DB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三级</w:t>
            </w:r>
          </w:p>
        </w:tc>
      </w:tr>
      <w:tr w14:paraId="0DF44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284" w:type="pct"/>
            <w:vAlign w:val="center"/>
          </w:tcPr>
          <w:p w14:paraId="39670F4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71</w:t>
            </w:r>
          </w:p>
        </w:tc>
        <w:tc>
          <w:tcPr>
            <w:tcW w:w="504" w:type="pct"/>
            <w:vMerge w:val="continue"/>
            <w:vAlign w:val="center"/>
          </w:tcPr>
          <w:p w14:paraId="43F2C0C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5860" w:type="dxa"/>
            <w:vAlign w:val="center"/>
          </w:tcPr>
          <w:p w14:paraId="42B7061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其他违法违规行为。</w:t>
            </w:r>
          </w:p>
        </w:tc>
        <w:tc>
          <w:tcPr>
            <w:tcW w:w="1839" w:type="pct"/>
            <w:vMerge w:val="continue"/>
            <w:vAlign w:val="center"/>
          </w:tcPr>
          <w:p w14:paraId="1550159E">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7B55352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p w14:paraId="74B2F70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p w14:paraId="450EFDA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三级</w:t>
            </w:r>
          </w:p>
        </w:tc>
      </w:tr>
      <w:tr w14:paraId="5A9D3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4" w:type="pct"/>
            <w:vAlign w:val="center"/>
          </w:tcPr>
          <w:p w14:paraId="7B63CFF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72</w:t>
            </w:r>
          </w:p>
        </w:tc>
        <w:tc>
          <w:tcPr>
            <w:tcW w:w="504" w:type="pct"/>
            <w:vAlign w:val="center"/>
          </w:tcPr>
          <w:p w14:paraId="0D51B3E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交易服务</w:t>
            </w:r>
          </w:p>
          <w:p w14:paraId="478489C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工作人员</w:t>
            </w:r>
          </w:p>
        </w:tc>
        <w:tc>
          <w:tcPr>
            <w:tcW w:w="2068" w:type="pct"/>
            <w:vAlign w:val="center"/>
          </w:tcPr>
          <w:p w14:paraId="39009441">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未</w:t>
            </w:r>
            <w:r>
              <w:rPr>
                <w:rFonts w:hint="default" w:ascii="Times New Roman" w:hAnsi="Times New Roman" w:eastAsia="仿宋" w:cs="Times New Roman"/>
                <w:color w:val="auto"/>
                <w:sz w:val="24"/>
                <w:szCs w:val="24"/>
                <w:highlight w:val="none"/>
                <w:vertAlign w:val="baseline"/>
                <w:lang w:val="en-US" w:eastAsia="zh-CN"/>
              </w:rPr>
              <w:t>按相关规定对门禁、通讯工具行李等物品寄存、身份核验、人员进出、专家对外联系、资料对外传递等情况进行管理和登记。</w:t>
            </w:r>
          </w:p>
        </w:tc>
        <w:tc>
          <w:tcPr>
            <w:tcW w:w="1839" w:type="pct"/>
            <w:vAlign w:val="center"/>
          </w:tcPr>
          <w:p w14:paraId="5833425E">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《四川省公共资源交易现场服务公开工作规范》</w:t>
            </w:r>
          </w:p>
          <w:p w14:paraId="54294E1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（川政公〔2019〕17号）</w:t>
            </w:r>
          </w:p>
          <w:p w14:paraId="0B192CA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《四川省公共资源交易平台管理实施细则》</w:t>
            </w:r>
          </w:p>
          <w:p w14:paraId="174A00D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（川办发〔2020〕78号）</w:t>
            </w:r>
          </w:p>
        </w:tc>
        <w:tc>
          <w:tcPr>
            <w:tcW w:w="303" w:type="pct"/>
            <w:vAlign w:val="center"/>
          </w:tcPr>
          <w:p w14:paraId="5235ACE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p w14:paraId="6A4DE02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p w14:paraId="37D2EED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三级</w:t>
            </w:r>
          </w:p>
        </w:tc>
      </w:tr>
      <w:tr w14:paraId="2FB23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284" w:type="pct"/>
            <w:vAlign w:val="center"/>
          </w:tcPr>
          <w:p w14:paraId="6986960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73</w:t>
            </w:r>
          </w:p>
        </w:tc>
        <w:tc>
          <w:tcPr>
            <w:tcW w:w="504" w:type="pct"/>
            <w:vAlign w:val="center"/>
          </w:tcPr>
          <w:p w14:paraId="2974529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信息系统</w:t>
            </w:r>
          </w:p>
          <w:p w14:paraId="00AE90C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运维单位及运维人员</w:t>
            </w:r>
          </w:p>
        </w:tc>
        <w:tc>
          <w:tcPr>
            <w:tcW w:w="2068" w:type="pct"/>
            <w:vAlign w:val="center"/>
          </w:tcPr>
          <w:p w14:paraId="3FB301C9">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违反系统运维相关规定的不良行为。</w:t>
            </w:r>
          </w:p>
        </w:tc>
        <w:tc>
          <w:tcPr>
            <w:tcW w:w="1839" w:type="pct"/>
            <w:vAlign w:val="center"/>
          </w:tcPr>
          <w:p w14:paraId="31E3FB0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3" w:type="pct"/>
            <w:vAlign w:val="center"/>
          </w:tcPr>
          <w:p w14:paraId="085CF50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p w14:paraId="3915E9A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p w14:paraId="4C18312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三级</w:t>
            </w:r>
          </w:p>
        </w:tc>
      </w:tr>
    </w:tbl>
    <w:p w14:paraId="488AC003">
      <w:pPr>
        <w:jc w:val="both"/>
        <w:rPr>
          <w:rFonts w:hint="default" w:ascii="Times New Roman" w:hAnsi="Times New Roman" w:eastAsia="黑体" w:cs="Times New Roman"/>
          <w:color w:val="auto"/>
          <w:sz w:val="32"/>
          <w:szCs w:val="32"/>
          <w:highlight w:val="none"/>
          <w:lang w:val="en-US" w:eastAsia="zh-CN"/>
        </w:rPr>
      </w:pPr>
    </w:p>
    <w:p w14:paraId="14315FB8">
      <w:pPr>
        <w:jc w:val="both"/>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附件4</w:t>
      </w:r>
    </w:p>
    <w:p w14:paraId="70364AE3">
      <w:pPr>
        <w:jc w:val="center"/>
        <w:rPr>
          <w:rFonts w:hint="default" w:ascii="Times New Roman" w:hAnsi="Times New Roman" w:eastAsia="方正小标宋简体" w:cs="Times New Roman"/>
          <w:color w:val="auto"/>
          <w:sz w:val="44"/>
          <w:szCs w:val="44"/>
          <w:highlight w:val="none"/>
          <w:lang w:val="en-US" w:eastAsia="zh-CN"/>
        </w:rPr>
      </w:pPr>
      <w:r>
        <w:rPr>
          <w:rFonts w:hint="default" w:ascii="Times New Roman" w:hAnsi="Times New Roman" w:eastAsia="方正小标宋简体" w:cs="Times New Roman"/>
          <w:color w:val="auto"/>
          <w:sz w:val="44"/>
          <w:szCs w:val="44"/>
          <w:highlight w:val="none"/>
          <w:lang w:val="en-US" w:eastAsia="zh-CN"/>
        </w:rPr>
        <w:t>专家等候室见证服务清单</w:t>
      </w:r>
    </w:p>
    <w:tbl>
      <w:tblPr>
        <w:tblStyle w:val="1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672"/>
        <w:gridCol w:w="4769"/>
        <w:gridCol w:w="5860"/>
        <w:gridCol w:w="1032"/>
      </w:tblGrid>
      <w:tr w14:paraId="3B014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 w:type="pct"/>
            <w:vAlign w:val="center"/>
          </w:tcPr>
          <w:p w14:paraId="1BFB94F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序号</w:t>
            </w:r>
          </w:p>
        </w:tc>
        <w:tc>
          <w:tcPr>
            <w:tcW w:w="590" w:type="pct"/>
            <w:vAlign w:val="center"/>
          </w:tcPr>
          <w:p w14:paraId="3698796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见证对象</w:t>
            </w:r>
          </w:p>
        </w:tc>
        <w:tc>
          <w:tcPr>
            <w:tcW w:w="1683" w:type="pct"/>
            <w:vAlign w:val="center"/>
          </w:tcPr>
          <w:p w14:paraId="07CC112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见证内容</w:t>
            </w:r>
          </w:p>
        </w:tc>
        <w:tc>
          <w:tcPr>
            <w:tcW w:w="2068" w:type="pct"/>
            <w:vAlign w:val="center"/>
          </w:tcPr>
          <w:p w14:paraId="2F43D6D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依据</w:t>
            </w:r>
          </w:p>
        </w:tc>
        <w:tc>
          <w:tcPr>
            <w:tcW w:w="364" w:type="pct"/>
            <w:vAlign w:val="center"/>
          </w:tcPr>
          <w:p w14:paraId="4BDDFC3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预警</w:t>
            </w:r>
          </w:p>
          <w:p w14:paraId="7A20EC6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级别</w:t>
            </w:r>
          </w:p>
        </w:tc>
      </w:tr>
      <w:tr w14:paraId="6CBE7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293" w:type="pct"/>
            <w:vAlign w:val="center"/>
          </w:tcPr>
          <w:p w14:paraId="1A0D890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w:t>
            </w:r>
          </w:p>
        </w:tc>
        <w:tc>
          <w:tcPr>
            <w:tcW w:w="590" w:type="pct"/>
            <w:vMerge w:val="restart"/>
            <w:vAlign w:val="center"/>
          </w:tcPr>
          <w:p w14:paraId="43B8AE4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投标人</w:t>
            </w:r>
          </w:p>
          <w:p w14:paraId="398A3F4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（供应商）</w:t>
            </w:r>
          </w:p>
        </w:tc>
        <w:tc>
          <w:tcPr>
            <w:tcW w:w="1683" w:type="pct"/>
            <w:vAlign w:val="center"/>
          </w:tcPr>
          <w:p w14:paraId="3EEE99F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擅自进入专家等候室。</w:t>
            </w:r>
          </w:p>
        </w:tc>
        <w:tc>
          <w:tcPr>
            <w:tcW w:w="2068" w:type="pct"/>
            <w:vMerge w:val="restart"/>
            <w:vAlign w:val="center"/>
          </w:tcPr>
          <w:p w14:paraId="3A2CFFF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《四川省公共资源交易现场服务公开工作规范》</w:t>
            </w:r>
          </w:p>
          <w:p w14:paraId="0212D83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（川政公〔2019〕17号）</w:t>
            </w:r>
          </w:p>
          <w:p w14:paraId="5529029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《四川省公共资源交易平台管理实施细则》</w:t>
            </w:r>
          </w:p>
          <w:p w14:paraId="442A01E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（川办发〔2020〕78号）</w:t>
            </w:r>
          </w:p>
        </w:tc>
        <w:tc>
          <w:tcPr>
            <w:tcW w:w="364" w:type="pct"/>
            <w:vAlign w:val="center"/>
          </w:tcPr>
          <w:p w14:paraId="64315C1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2BE0C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293" w:type="pct"/>
            <w:vAlign w:val="center"/>
          </w:tcPr>
          <w:p w14:paraId="0BF52C9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2</w:t>
            </w:r>
          </w:p>
        </w:tc>
        <w:tc>
          <w:tcPr>
            <w:tcW w:w="590" w:type="pct"/>
            <w:vMerge w:val="continue"/>
            <w:vAlign w:val="center"/>
          </w:tcPr>
          <w:p w14:paraId="47E1D65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683" w:type="pct"/>
            <w:vAlign w:val="center"/>
          </w:tcPr>
          <w:p w14:paraId="734B210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私下接触评标（审）专家或其他利害关系人。</w:t>
            </w:r>
          </w:p>
        </w:tc>
        <w:tc>
          <w:tcPr>
            <w:tcW w:w="2068" w:type="pct"/>
            <w:vMerge w:val="continue"/>
            <w:vAlign w:val="center"/>
          </w:tcPr>
          <w:p w14:paraId="39005ECE">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4" w:type="pct"/>
            <w:vAlign w:val="center"/>
          </w:tcPr>
          <w:p w14:paraId="7BC0316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7C009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293" w:type="pct"/>
            <w:vAlign w:val="center"/>
          </w:tcPr>
          <w:p w14:paraId="14B7E99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3</w:t>
            </w:r>
          </w:p>
        </w:tc>
        <w:tc>
          <w:tcPr>
            <w:tcW w:w="590" w:type="pct"/>
            <w:vMerge w:val="restart"/>
            <w:vAlign w:val="center"/>
          </w:tcPr>
          <w:p w14:paraId="02BD668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招标人</w:t>
            </w:r>
          </w:p>
          <w:p w14:paraId="15A21D9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（采购人</w:t>
            </w:r>
            <w:r>
              <w:rPr>
                <w:rFonts w:hint="eastAsia" w:ascii="Times New Roman" w:hAnsi="Times New Roman" w:eastAsia="仿宋" w:cs="Times New Roman"/>
                <w:color w:val="auto"/>
                <w:sz w:val="24"/>
                <w:szCs w:val="24"/>
                <w:highlight w:val="none"/>
                <w:vertAlign w:val="baseline"/>
                <w:lang w:val="en-US" w:eastAsia="zh-CN"/>
              </w:rPr>
              <w:t>、</w:t>
            </w:r>
          </w:p>
          <w:p w14:paraId="250D7AE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代理机构）</w:t>
            </w:r>
          </w:p>
        </w:tc>
        <w:tc>
          <w:tcPr>
            <w:tcW w:w="1683" w:type="pct"/>
            <w:vAlign w:val="center"/>
          </w:tcPr>
          <w:p w14:paraId="614AE1F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未</w:t>
            </w:r>
            <w:r>
              <w:rPr>
                <w:rFonts w:hint="default" w:ascii="Times New Roman" w:hAnsi="Times New Roman" w:eastAsia="仿宋" w:cs="Times New Roman"/>
                <w:color w:val="auto"/>
                <w:sz w:val="24"/>
                <w:szCs w:val="24"/>
                <w:highlight w:val="none"/>
                <w:vertAlign w:val="baseline"/>
                <w:lang w:val="en-US" w:eastAsia="zh-CN"/>
              </w:rPr>
              <w:t>佩戴交易场所发放的工作牌进出专家等候室。</w:t>
            </w:r>
          </w:p>
        </w:tc>
        <w:tc>
          <w:tcPr>
            <w:tcW w:w="2068" w:type="pct"/>
            <w:vMerge w:val="continue"/>
            <w:vAlign w:val="center"/>
          </w:tcPr>
          <w:p w14:paraId="78F69D0E">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4" w:type="pct"/>
            <w:vAlign w:val="center"/>
          </w:tcPr>
          <w:p w14:paraId="1D1410C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10E8A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293" w:type="pct"/>
            <w:vAlign w:val="center"/>
          </w:tcPr>
          <w:p w14:paraId="68EDA59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4</w:t>
            </w:r>
          </w:p>
        </w:tc>
        <w:tc>
          <w:tcPr>
            <w:tcW w:w="590" w:type="pct"/>
            <w:vMerge w:val="continue"/>
            <w:vAlign w:val="center"/>
          </w:tcPr>
          <w:p w14:paraId="1505292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683" w:type="pct"/>
            <w:vAlign w:val="center"/>
          </w:tcPr>
          <w:p w14:paraId="090804E1">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私下接触评标（审）专家或其他利害关系人。</w:t>
            </w:r>
          </w:p>
        </w:tc>
        <w:tc>
          <w:tcPr>
            <w:tcW w:w="2068" w:type="pct"/>
            <w:vMerge w:val="continue"/>
            <w:vAlign w:val="center"/>
          </w:tcPr>
          <w:p w14:paraId="42D3E5D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4" w:type="pct"/>
            <w:vAlign w:val="center"/>
          </w:tcPr>
          <w:p w14:paraId="421EFF7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54D3F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293" w:type="pct"/>
            <w:vAlign w:val="center"/>
          </w:tcPr>
          <w:p w14:paraId="13A2D9D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5</w:t>
            </w:r>
          </w:p>
        </w:tc>
        <w:tc>
          <w:tcPr>
            <w:tcW w:w="590" w:type="pct"/>
            <w:vMerge w:val="restart"/>
            <w:vAlign w:val="center"/>
          </w:tcPr>
          <w:p w14:paraId="12057B8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评标（审）</w:t>
            </w:r>
          </w:p>
          <w:p w14:paraId="2CD4A98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专家</w:t>
            </w:r>
          </w:p>
        </w:tc>
        <w:tc>
          <w:tcPr>
            <w:tcW w:w="1683" w:type="pct"/>
            <w:vAlign w:val="center"/>
          </w:tcPr>
          <w:p w14:paraId="1D364A0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私下</w:t>
            </w:r>
            <w:r>
              <w:rPr>
                <w:rFonts w:hint="eastAsia" w:ascii="Times New Roman" w:hAnsi="Times New Roman" w:eastAsia="仿宋" w:cs="Times New Roman"/>
                <w:color w:val="auto"/>
                <w:sz w:val="24"/>
                <w:szCs w:val="24"/>
                <w:highlight w:val="none"/>
                <w:vertAlign w:val="baseline"/>
                <w:lang w:val="en-US" w:eastAsia="zh-CN"/>
              </w:rPr>
              <w:t>接触</w:t>
            </w:r>
            <w:r>
              <w:rPr>
                <w:rFonts w:hint="default" w:ascii="Times New Roman" w:hAnsi="Times New Roman" w:eastAsia="仿宋" w:cs="Times New Roman"/>
                <w:color w:val="auto"/>
                <w:sz w:val="24"/>
                <w:szCs w:val="24"/>
                <w:highlight w:val="none"/>
                <w:vertAlign w:val="baseline"/>
                <w:lang w:val="en-US" w:eastAsia="zh-CN"/>
              </w:rPr>
              <w:t>招标人（代理机构）、投标人（供应商）或其他利害关系人。</w:t>
            </w:r>
          </w:p>
        </w:tc>
        <w:tc>
          <w:tcPr>
            <w:tcW w:w="2068" w:type="pct"/>
            <w:vMerge w:val="continue"/>
            <w:vAlign w:val="center"/>
          </w:tcPr>
          <w:p w14:paraId="444FBAB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4" w:type="pct"/>
            <w:vAlign w:val="center"/>
          </w:tcPr>
          <w:p w14:paraId="354E28E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351D4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293" w:type="pct"/>
            <w:vAlign w:val="center"/>
          </w:tcPr>
          <w:p w14:paraId="7CC3096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6</w:t>
            </w:r>
          </w:p>
        </w:tc>
        <w:tc>
          <w:tcPr>
            <w:tcW w:w="590" w:type="pct"/>
            <w:vMerge w:val="continue"/>
            <w:vAlign w:val="center"/>
          </w:tcPr>
          <w:p w14:paraId="0D48A7F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683" w:type="pct"/>
            <w:vAlign w:val="center"/>
          </w:tcPr>
          <w:p w14:paraId="2196A9D9">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签到后、知晓评标（审）项目相关信息后违规使用</w:t>
            </w:r>
            <w:r>
              <w:rPr>
                <w:rFonts w:hint="eastAsia" w:ascii="Times New Roman" w:hAnsi="Times New Roman" w:eastAsia="仿宋" w:cs="Times New Roman"/>
                <w:color w:val="auto"/>
                <w:sz w:val="24"/>
                <w:szCs w:val="24"/>
                <w:highlight w:val="none"/>
                <w:vertAlign w:val="baseline"/>
                <w:lang w:val="en-US" w:eastAsia="zh-CN"/>
              </w:rPr>
              <w:t>相关</w:t>
            </w:r>
            <w:r>
              <w:rPr>
                <w:rFonts w:hint="default" w:ascii="Times New Roman" w:hAnsi="Times New Roman" w:eastAsia="仿宋" w:cs="Times New Roman"/>
                <w:color w:val="auto"/>
                <w:sz w:val="24"/>
                <w:szCs w:val="24"/>
                <w:highlight w:val="none"/>
                <w:vertAlign w:val="baseline"/>
                <w:lang w:val="en-US" w:eastAsia="zh-CN"/>
              </w:rPr>
              <w:t>电子产品。</w:t>
            </w:r>
          </w:p>
        </w:tc>
        <w:tc>
          <w:tcPr>
            <w:tcW w:w="2068" w:type="pct"/>
            <w:vMerge w:val="continue"/>
            <w:vAlign w:val="center"/>
          </w:tcPr>
          <w:p w14:paraId="42B9823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4" w:type="pct"/>
            <w:vAlign w:val="center"/>
          </w:tcPr>
          <w:p w14:paraId="3028242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6DDF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293" w:type="pct"/>
            <w:vAlign w:val="center"/>
          </w:tcPr>
          <w:p w14:paraId="01A9F0B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7</w:t>
            </w:r>
          </w:p>
        </w:tc>
        <w:tc>
          <w:tcPr>
            <w:tcW w:w="590" w:type="pct"/>
            <w:vAlign w:val="center"/>
          </w:tcPr>
          <w:p w14:paraId="0D18593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项目监督</w:t>
            </w:r>
          </w:p>
        </w:tc>
        <w:tc>
          <w:tcPr>
            <w:tcW w:w="1683" w:type="pct"/>
            <w:vAlign w:val="center"/>
          </w:tcPr>
          <w:p w14:paraId="121F790E">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未</w:t>
            </w:r>
            <w:r>
              <w:rPr>
                <w:rFonts w:hint="default" w:ascii="Times New Roman" w:hAnsi="Times New Roman" w:eastAsia="仿宋" w:cs="Times New Roman"/>
                <w:color w:val="auto"/>
                <w:sz w:val="24"/>
                <w:szCs w:val="24"/>
                <w:highlight w:val="none"/>
                <w:vertAlign w:val="baseline"/>
                <w:lang w:val="en-US" w:eastAsia="zh-CN"/>
              </w:rPr>
              <w:t>佩戴交易场所发放的工作牌进出专家等候室。</w:t>
            </w:r>
          </w:p>
        </w:tc>
        <w:tc>
          <w:tcPr>
            <w:tcW w:w="2068" w:type="pct"/>
            <w:vMerge w:val="continue"/>
            <w:vAlign w:val="center"/>
          </w:tcPr>
          <w:p w14:paraId="029B694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4" w:type="pct"/>
            <w:vAlign w:val="center"/>
          </w:tcPr>
          <w:p w14:paraId="00E798D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5B3C8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93" w:type="pct"/>
            <w:vAlign w:val="center"/>
          </w:tcPr>
          <w:p w14:paraId="226D443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8</w:t>
            </w:r>
          </w:p>
        </w:tc>
        <w:tc>
          <w:tcPr>
            <w:tcW w:w="590" w:type="pct"/>
            <w:vMerge w:val="restart"/>
            <w:vAlign w:val="center"/>
          </w:tcPr>
          <w:p w14:paraId="2974CDC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参与交易</w:t>
            </w:r>
          </w:p>
          <w:p w14:paraId="1B0A489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的各方主体</w:t>
            </w:r>
          </w:p>
        </w:tc>
        <w:tc>
          <w:tcPr>
            <w:tcW w:w="1683" w:type="pct"/>
            <w:vAlign w:val="center"/>
          </w:tcPr>
          <w:p w14:paraId="1194577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不爱护专家等候室公共设施、造成损坏不修复和拒不赔偿的情况。</w:t>
            </w:r>
          </w:p>
        </w:tc>
        <w:tc>
          <w:tcPr>
            <w:tcW w:w="2068" w:type="pct"/>
            <w:vMerge w:val="restart"/>
            <w:vAlign w:val="center"/>
          </w:tcPr>
          <w:p w14:paraId="28569D62">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《中华人民共和国招标投标法》及实施条例</w:t>
            </w:r>
          </w:p>
          <w:p w14:paraId="041AF4F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《中华人民共和国政府采购法》及实施条例</w:t>
            </w:r>
          </w:p>
          <w:p w14:paraId="50E68DB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《四川省公共资源交易现场服务公开工作规范》</w:t>
            </w:r>
          </w:p>
          <w:p w14:paraId="19520AF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（川政公〔2019〕17号）</w:t>
            </w:r>
          </w:p>
          <w:p w14:paraId="423517B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《四川省公共资源交易平台管理实施细则》</w:t>
            </w:r>
          </w:p>
          <w:p w14:paraId="7518AC82">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（川办发〔2020〕78号）</w:t>
            </w:r>
          </w:p>
        </w:tc>
        <w:tc>
          <w:tcPr>
            <w:tcW w:w="364" w:type="pct"/>
            <w:vAlign w:val="center"/>
          </w:tcPr>
          <w:p w14:paraId="237B34E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三级</w:t>
            </w:r>
          </w:p>
        </w:tc>
      </w:tr>
      <w:tr w14:paraId="5588A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293" w:type="pct"/>
            <w:vAlign w:val="center"/>
          </w:tcPr>
          <w:p w14:paraId="1C59107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9</w:t>
            </w:r>
          </w:p>
        </w:tc>
        <w:tc>
          <w:tcPr>
            <w:tcW w:w="590" w:type="pct"/>
            <w:vMerge w:val="continue"/>
            <w:vAlign w:val="center"/>
          </w:tcPr>
          <w:p w14:paraId="0CCFD1F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683" w:type="pct"/>
            <w:vAlign w:val="center"/>
          </w:tcPr>
          <w:p w14:paraId="42E7CD49">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不</w:t>
            </w:r>
            <w:r>
              <w:rPr>
                <w:rFonts w:hint="default" w:ascii="Times New Roman" w:hAnsi="Times New Roman" w:eastAsia="仿宋" w:cs="Times New Roman"/>
                <w:color w:val="auto"/>
                <w:sz w:val="24"/>
                <w:szCs w:val="24"/>
                <w:highlight w:val="none"/>
                <w:vertAlign w:val="baseline"/>
                <w:lang w:val="en-US" w:eastAsia="zh-CN"/>
              </w:rPr>
              <w:t>遵守交易场所管理规定或</w:t>
            </w:r>
            <w:r>
              <w:rPr>
                <w:rFonts w:hint="eastAsia" w:ascii="Times New Roman" w:hAnsi="Times New Roman" w:eastAsia="仿宋" w:cs="Times New Roman"/>
                <w:color w:val="auto"/>
                <w:sz w:val="24"/>
                <w:szCs w:val="24"/>
                <w:highlight w:val="none"/>
                <w:vertAlign w:val="baseline"/>
                <w:lang w:val="en-US" w:eastAsia="zh-CN"/>
              </w:rPr>
              <w:t>不</w:t>
            </w:r>
            <w:r>
              <w:rPr>
                <w:rFonts w:hint="default" w:ascii="Times New Roman" w:hAnsi="Times New Roman" w:eastAsia="仿宋" w:cs="Times New Roman"/>
                <w:color w:val="auto"/>
                <w:sz w:val="24"/>
                <w:szCs w:val="24"/>
                <w:highlight w:val="none"/>
                <w:vertAlign w:val="baseline"/>
                <w:lang w:val="en-US" w:eastAsia="zh-CN"/>
              </w:rPr>
              <w:t>服从交易场所现场工作人员管理。</w:t>
            </w:r>
          </w:p>
        </w:tc>
        <w:tc>
          <w:tcPr>
            <w:tcW w:w="2068" w:type="pct"/>
            <w:vMerge w:val="continue"/>
            <w:vAlign w:val="center"/>
          </w:tcPr>
          <w:p w14:paraId="406B17D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4" w:type="pct"/>
            <w:vAlign w:val="center"/>
          </w:tcPr>
          <w:p w14:paraId="1270F8A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p w14:paraId="052C7C2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p w14:paraId="1D3D400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三级</w:t>
            </w:r>
          </w:p>
        </w:tc>
      </w:tr>
      <w:tr w14:paraId="7E9A0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trPr>
        <w:tc>
          <w:tcPr>
            <w:tcW w:w="293" w:type="pct"/>
            <w:vAlign w:val="center"/>
          </w:tcPr>
          <w:p w14:paraId="47AB9C0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10</w:t>
            </w:r>
          </w:p>
        </w:tc>
        <w:tc>
          <w:tcPr>
            <w:tcW w:w="590" w:type="pct"/>
            <w:vMerge w:val="continue"/>
            <w:vAlign w:val="center"/>
          </w:tcPr>
          <w:p w14:paraId="6554596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683" w:type="pct"/>
            <w:vAlign w:val="center"/>
          </w:tcPr>
          <w:p w14:paraId="63443AB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其他违法违规行为。</w:t>
            </w:r>
          </w:p>
        </w:tc>
        <w:tc>
          <w:tcPr>
            <w:tcW w:w="2068" w:type="pct"/>
            <w:vMerge w:val="continue"/>
            <w:vAlign w:val="center"/>
          </w:tcPr>
          <w:p w14:paraId="3CA0C01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4" w:type="pct"/>
            <w:vAlign w:val="center"/>
          </w:tcPr>
          <w:p w14:paraId="4C7B707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p w14:paraId="553D9C8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p w14:paraId="1860D41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三级</w:t>
            </w:r>
          </w:p>
        </w:tc>
      </w:tr>
      <w:tr w14:paraId="4EA28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4" w:hRule="atLeast"/>
        </w:trPr>
        <w:tc>
          <w:tcPr>
            <w:tcW w:w="293" w:type="pct"/>
            <w:vAlign w:val="center"/>
          </w:tcPr>
          <w:p w14:paraId="252DF02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11</w:t>
            </w:r>
          </w:p>
        </w:tc>
        <w:tc>
          <w:tcPr>
            <w:tcW w:w="590" w:type="pct"/>
            <w:vAlign w:val="center"/>
          </w:tcPr>
          <w:p w14:paraId="645CB1C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交易服务</w:t>
            </w:r>
          </w:p>
          <w:p w14:paraId="24B56FB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工作人员</w:t>
            </w:r>
          </w:p>
        </w:tc>
        <w:tc>
          <w:tcPr>
            <w:tcW w:w="1683" w:type="pct"/>
            <w:vAlign w:val="center"/>
          </w:tcPr>
          <w:p w14:paraId="179FD172">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未</w:t>
            </w:r>
            <w:r>
              <w:rPr>
                <w:rFonts w:hint="default" w:ascii="Times New Roman" w:hAnsi="Times New Roman" w:eastAsia="仿宋" w:cs="Times New Roman"/>
                <w:color w:val="auto"/>
                <w:sz w:val="24"/>
                <w:szCs w:val="24"/>
                <w:highlight w:val="none"/>
                <w:vertAlign w:val="baseline"/>
                <w:lang w:val="en-US" w:eastAsia="zh-CN"/>
              </w:rPr>
              <w:t>按相关规定对专家等候区进行管理或违反相关规定。</w:t>
            </w:r>
          </w:p>
        </w:tc>
        <w:tc>
          <w:tcPr>
            <w:tcW w:w="2068" w:type="pct"/>
            <w:vAlign w:val="center"/>
          </w:tcPr>
          <w:p w14:paraId="42D9CA2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《四川省公共资源交易现场服务公开工作规范》</w:t>
            </w:r>
          </w:p>
          <w:p w14:paraId="19154DF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（川政公〔2019〕17号）</w:t>
            </w:r>
          </w:p>
          <w:p w14:paraId="07B5E4F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《四川省公共资源交易平台管理实施细则》</w:t>
            </w:r>
          </w:p>
          <w:p w14:paraId="234978C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（川办发〔2020〕78号）</w:t>
            </w:r>
          </w:p>
        </w:tc>
        <w:tc>
          <w:tcPr>
            <w:tcW w:w="364" w:type="pct"/>
            <w:vAlign w:val="center"/>
          </w:tcPr>
          <w:p w14:paraId="02E150E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p w14:paraId="3902642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p w14:paraId="3B6F72A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三级</w:t>
            </w:r>
          </w:p>
        </w:tc>
      </w:tr>
    </w:tbl>
    <w:p w14:paraId="7B7F509D">
      <w:pPr>
        <w:jc w:val="center"/>
        <w:rPr>
          <w:rFonts w:hint="default" w:ascii="Times New Roman" w:hAnsi="Times New Roman" w:cs="Times New Roman"/>
          <w:color w:val="auto"/>
          <w:highlight w:val="none"/>
          <w:lang w:val="en-US" w:eastAsia="zh-CN"/>
        </w:rPr>
      </w:pPr>
    </w:p>
    <w:p w14:paraId="5DFB38C1">
      <w:pPr>
        <w:rPr>
          <w:rFonts w:hint="default" w:ascii="Times New Roman" w:hAnsi="Times New Roman" w:cs="Times New Roman"/>
          <w:color w:val="auto"/>
          <w:highlight w:val="none"/>
        </w:rPr>
      </w:pPr>
    </w:p>
    <w:p w14:paraId="1D2B7891">
      <w:pPr>
        <w:pStyle w:val="7"/>
        <w:keepNext w:val="0"/>
        <w:keepLines w:val="0"/>
        <w:widowControl/>
        <w:suppressLineNumbers w:val="0"/>
        <w:jc w:val="left"/>
        <w:rPr>
          <w:rFonts w:hint="default" w:ascii="Times New Roman" w:hAnsi="Times New Roman" w:eastAsia="仿宋_GB2312" w:cs="Times New Roman"/>
          <w:color w:val="auto"/>
          <w:sz w:val="31"/>
          <w:szCs w:val="31"/>
          <w:lang w:val="en-US" w:eastAsia="zh-CN"/>
        </w:rPr>
      </w:pPr>
    </w:p>
    <w:p w14:paraId="3D81D49E">
      <w:pPr>
        <w:pStyle w:val="7"/>
        <w:keepNext w:val="0"/>
        <w:keepLines w:val="0"/>
        <w:widowControl/>
        <w:suppressLineNumbers w:val="0"/>
        <w:jc w:val="left"/>
        <w:rPr>
          <w:rFonts w:hint="default" w:ascii="Times New Roman" w:hAnsi="Times New Roman" w:eastAsia="仿宋_GB2312" w:cs="Times New Roman"/>
          <w:color w:val="auto"/>
          <w:sz w:val="31"/>
          <w:szCs w:val="31"/>
          <w:lang w:val="en-US" w:eastAsia="zh-CN"/>
        </w:rPr>
      </w:pPr>
    </w:p>
    <w:p w14:paraId="76B003EC">
      <w:pPr>
        <w:pStyle w:val="7"/>
        <w:keepNext w:val="0"/>
        <w:keepLines w:val="0"/>
        <w:widowControl/>
        <w:suppressLineNumbers w:val="0"/>
        <w:jc w:val="left"/>
        <w:rPr>
          <w:rFonts w:hint="default" w:ascii="Times New Roman" w:hAnsi="Times New Roman" w:eastAsia="仿宋_GB2312" w:cs="Times New Roman"/>
          <w:color w:val="auto"/>
          <w:sz w:val="31"/>
          <w:szCs w:val="31"/>
          <w:lang w:val="en-US" w:eastAsia="zh-CN"/>
        </w:rPr>
      </w:pPr>
    </w:p>
    <w:p w14:paraId="75CA0F07">
      <w:pPr>
        <w:jc w:val="both"/>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附件5</w:t>
      </w:r>
    </w:p>
    <w:p w14:paraId="60A19042">
      <w:pPr>
        <w:jc w:val="center"/>
        <w:rPr>
          <w:rFonts w:hint="default" w:ascii="Times New Roman" w:hAnsi="Times New Roman" w:eastAsia="方正小标宋简体" w:cs="Times New Roman"/>
          <w:color w:val="auto"/>
          <w:sz w:val="44"/>
          <w:szCs w:val="44"/>
          <w:highlight w:val="none"/>
          <w:lang w:val="en-US" w:eastAsia="zh-CN"/>
        </w:rPr>
      </w:pPr>
      <w:r>
        <w:rPr>
          <w:rFonts w:hint="default" w:ascii="Times New Roman" w:hAnsi="Times New Roman" w:eastAsia="方正小标宋简体" w:cs="Times New Roman"/>
          <w:color w:val="auto"/>
          <w:sz w:val="44"/>
          <w:szCs w:val="44"/>
          <w:highlight w:val="none"/>
          <w:lang w:val="en-US" w:eastAsia="zh-CN"/>
        </w:rPr>
        <w:t>专家抽取室见证服务清单</w:t>
      </w:r>
    </w:p>
    <w:tbl>
      <w:tblPr>
        <w:tblStyle w:val="1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1666"/>
        <w:gridCol w:w="5636"/>
        <w:gridCol w:w="5228"/>
        <w:gridCol w:w="868"/>
      </w:tblGrid>
      <w:tr w14:paraId="5C8BA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4E87D0C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序号</w:t>
            </w:r>
          </w:p>
        </w:tc>
        <w:tc>
          <w:tcPr>
            <w:tcW w:w="588" w:type="pct"/>
            <w:vAlign w:val="center"/>
          </w:tcPr>
          <w:p w14:paraId="6360592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见证对象</w:t>
            </w:r>
          </w:p>
        </w:tc>
        <w:tc>
          <w:tcPr>
            <w:tcW w:w="1989" w:type="pct"/>
            <w:vAlign w:val="center"/>
          </w:tcPr>
          <w:p w14:paraId="411F503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见证内容</w:t>
            </w:r>
          </w:p>
        </w:tc>
        <w:tc>
          <w:tcPr>
            <w:tcW w:w="1845" w:type="pct"/>
            <w:vAlign w:val="center"/>
          </w:tcPr>
          <w:p w14:paraId="486B6C5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依据</w:t>
            </w:r>
          </w:p>
        </w:tc>
        <w:tc>
          <w:tcPr>
            <w:tcW w:w="306" w:type="pct"/>
            <w:vAlign w:val="center"/>
          </w:tcPr>
          <w:p w14:paraId="74DA927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预警</w:t>
            </w:r>
          </w:p>
          <w:p w14:paraId="7B0D989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级别</w:t>
            </w:r>
          </w:p>
        </w:tc>
      </w:tr>
      <w:tr w14:paraId="4272B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270" w:type="pct"/>
            <w:vAlign w:val="center"/>
          </w:tcPr>
          <w:p w14:paraId="5D8B8D6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w:t>
            </w:r>
          </w:p>
        </w:tc>
        <w:tc>
          <w:tcPr>
            <w:tcW w:w="588" w:type="pct"/>
            <w:vMerge w:val="restart"/>
            <w:vAlign w:val="center"/>
          </w:tcPr>
          <w:p w14:paraId="45F9F69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招标人</w:t>
            </w:r>
          </w:p>
          <w:p w14:paraId="7D852C0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（代理机构）</w:t>
            </w:r>
          </w:p>
        </w:tc>
        <w:tc>
          <w:tcPr>
            <w:tcW w:w="1989" w:type="pct"/>
            <w:vAlign w:val="center"/>
          </w:tcPr>
          <w:p w14:paraId="108E889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未</w:t>
            </w:r>
            <w:r>
              <w:rPr>
                <w:rFonts w:hint="default" w:ascii="Times New Roman" w:hAnsi="Times New Roman" w:eastAsia="仿宋" w:cs="Times New Roman"/>
                <w:color w:val="auto"/>
                <w:sz w:val="24"/>
                <w:szCs w:val="24"/>
                <w:highlight w:val="none"/>
                <w:vertAlign w:val="baseline"/>
                <w:lang w:val="en-US" w:eastAsia="zh-CN"/>
              </w:rPr>
              <w:t>佩戴交易场所发放的工作牌开展专家抽取工作。</w:t>
            </w:r>
          </w:p>
        </w:tc>
        <w:tc>
          <w:tcPr>
            <w:tcW w:w="1845" w:type="pct"/>
            <w:vMerge w:val="restart"/>
            <w:vAlign w:val="center"/>
          </w:tcPr>
          <w:p w14:paraId="58ED0AB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《四川省公共资源交易现场服务公开工作规范》</w:t>
            </w:r>
          </w:p>
          <w:p w14:paraId="345BEF23">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（川政公〔2019〕17号）</w:t>
            </w:r>
          </w:p>
          <w:p w14:paraId="728DF0FE">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《四川省公共资源交易平台管理实施细则》</w:t>
            </w:r>
          </w:p>
          <w:p w14:paraId="43D8A3C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（川办发〔2020〕78号）</w:t>
            </w:r>
          </w:p>
        </w:tc>
        <w:tc>
          <w:tcPr>
            <w:tcW w:w="306" w:type="pct"/>
            <w:vAlign w:val="center"/>
          </w:tcPr>
          <w:p w14:paraId="1308F79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53342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270" w:type="pct"/>
            <w:vAlign w:val="center"/>
          </w:tcPr>
          <w:p w14:paraId="53B0EF7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2</w:t>
            </w:r>
          </w:p>
        </w:tc>
        <w:tc>
          <w:tcPr>
            <w:tcW w:w="588" w:type="pct"/>
            <w:vMerge w:val="continue"/>
            <w:vAlign w:val="center"/>
          </w:tcPr>
          <w:p w14:paraId="07DF566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89" w:type="pct"/>
            <w:vAlign w:val="center"/>
          </w:tcPr>
          <w:p w14:paraId="3B03C4D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不</w:t>
            </w:r>
            <w:r>
              <w:rPr>
                <w:rFonts w:hint="default" w:ascii="Times New Roman" w:hAnsi="Times New Roman" w:eastAsia="仿宋" w:cs="Times New Roman"/>
                <w:color w:val="auto"/>
                <w:sz w:val="24"/>
                <w:szCs w:val="24"/>
                <w:highlight w:val="none"/>
                <w:vertAlign w:val="baseline"/>
                <w:lang w:val="en-US" w:eastAsia="zh-CN"/>
              </w:rPr>
              <w:t>按规定准备评标（审）</w:t>
            </w:r>
            <w:r>
              <w:rPr>
                <w:rFonts w:hint="eastAsia" w:ascii="Times New Roman" w:hAnsi="Times New Roman" w:eastAsia="仿宋" w:cs="Times New Roman"/>
                <w:color w:val="auto"/>
                <w:sz w:val="24"/>
                <w:szCs w:val="24"/>
                <w:highlight w:val="none"/>
                <w:vertAlign w:val="baseline"/>
                <w:lang w:val="en-US" w:eastAsia="zh-CN"/>
              </w:rPr>
              <w:t>专家</w:t>
            </w:r>
            <w:r>
              <w:rPr>
                <w:rFonts w:hint="default" w:ascii="Times New Roman" w:hAnsi="Times New Roman" w:eastAsia="仿宋" w:cs="Times New Roman"/>
                <w:color w:val="auto"/>
                <w:sz w:val="24"/>
                <w:szCs w:val="24"/>
                <w:highlight w:val="none"/>
                <w:vertAlign w:val="baseline"/>
                <w:lang w:val="en-US" w:eastAsia="zh-CN"/>
              </w:rPr>
              <w:t>抽取资料</w:t>
            </w:r>
            <w:r>
              <w:rPr>
                <w:rFonts w:hint="eastAsia" w:ascii="Times New Roman" w:hAnsi="Times New Roman" w:eastAsia="仿宋" w:cs="Times New Roman"/>
                <w:color w:val="auto"/>
                <w:sz w:val="24"/>
                <w:szCs w:val="24"/>
                <w:highlight w:val="none"/>
                <w:vertAlign w:val="baseline"/>
                <w:lang w:val="en-US" w:eastAsia="zh-CN"/>
              </w:rPr>
              <w:t>。</w:t>
            </w:r>
          </w:p>
        </w:tc>
        <w:tc>
          <w:tcPr>
            <w:tcW w:w="1845" w:type="pct"/>
            <w:vMerge w:val="continue"/>
            <w:vAlign w:val="center"/>
          </w:tcPr>
          <w:p w14:paraId="43423DC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6" w:type="pct"/>
            <w:vAlign w:val="center"/>
          </w:tcPr>
          <w:p w14:paraId="74EC1D1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一级</w:t>
            </w:r>
          </w:p>
        </w:tc>
      </w:tr>
      <w:tr w14:paraId="286B5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270" w:type="pct"/>
            <w:vAlign w:val="center"/>
          </w:tcPr>
          <w:p w14:paraId="5FE8CC1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3</w:t>
            </w:r>
          </w:p>
        </w:tc>
        <w:tc>
          <w:tcPr>
            <w:tcW w:w="588" w:type="pct"/>
            <w:vMerge w:val="continue"/>
            <w:vAlign w:val="center"/>
          </w:tcPr>
          <w:p w14:paraId="25E5A70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89" w:type="pct"/>
            <w:vAlign w:val="center"/>
          </w:tcPr>
          <w:p w14:paraId="49FDD8EE">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不</w:t>
            </w:r>
            <w:r>
              <w:rPr>
                <w:rFonts w:hint="default" w:ascii="Times New Roman" w:hAnsi="Times New Roman" w:eastAsia="仿宋" w:cs="Times New Roman"/>
                <w:color w:val="auto"/>
                <w:sz w:val="24"/>
                <w:szCs w:val="24"/>
                <w:highlight w:val="none"/>
                <w:vertAlign w:val="baseline"/>
                <w:lang w:val="en-US" w:eastAsia="zh-CN"/>
              </w:rPr>
              <w:t>按规定和流程抽取评标专家。</w:t>
            </w:r>
          </w:p>
        </w:tc>
        <w:tc>
          <w:tcPr>
            <w:tcW w:w="1845" w:type="pct"/>
            <w:vMerge w:val="continue"/>
            <w:vAlign w:val="center"/>
          </w:tcPr>
          <w:p w14:paraId="6CA79631">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6" w:type="pct"/>
            <w:vAlign w:val="center"/>
          </w:tcPr>
          <w:p w14:paraId="02A055D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77BB1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270" w:type="pct"/>
            <w:vAlign w:val="center"/>
          </w:tcPr>
          <w:p w14:paraId="3772F9A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4</w:t>
            </w:r>
          </w:p>
        </w:tc>
        <w:tc>
          <w:tcPr>
            <w:tcW w:w="588" w:type="pct"/>
            <w:vMerge w:val="restart"/>
            <w:vAlign w:val="center"/>
          </w:tcPr>
          <w:p w14:paraId="48585D4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项目监督</w:t>
            </w:r>
          </w:p>
        </w:tc>
        <w:tc>
          <w:tcPr>
            <w:tcW w:w="1989" w:type="pct"/>
            <w:vAlign w:val="center"/>
          </w:tcPr>
          <w:p w14:paraId="3265C5A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未</w:t>
            </w:r>
            <w:r>
              <w:rPr>
                <w:rFonts w:hint="default" w:ascii="Times New Roman" w:hAnsi="Times New Roman" w:eastAsia="仿宋" w:cs="Times New Roman"/>
                <w:color w:val="auto"/>
                <w:sz w:val="24"/>
                <w:szCs w:val="24"/>
                <w:highlight w:val="none"/>
                <w:vertAlign w:val="baseline"/>
                <w:lang w:val="en-US" w:eastAsia="zh-CN"/>
              </w:rPr>
              <w:t>佩戴交易场所发放的工作牌进入、进出专家抽取室。</w:t>
            </w:r>
          </w:p>
        </w:tc>
        <w:tc>
          <w:tcPr>
            <w:tcW w:w="1845" w:type="pct"/>
            <w:vMerge w:val="continue"/>
            <w:vAlign w:val="center"/>
          </w:tcPr>
          <w:p w14:paraId="3BA0F65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6" w:type="pct"/>
            <w:vAlign w:val="center"/>
          </w:tcPr>
          <w:p w14:paraId="79CF26F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0F90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270" w:type="pct"/>
            <w:vAlign w:val="center"/>
          </w:tcPr>
          <w:p w14:paraId="1944308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5</w:t>
            </w:r>
          </w:p>
        </w:tc>
        <w:tc>
          <w:tcPr>
            <w:tcW w:w="588" w:type="pct"/>
            <w:vMerge w:val="continue"/>
            <w:vAlign w:val="center"/>
          </w:tcPr>
          <w:p w14:paraId="3B89126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89" w:type="pct"/>
            <w:vAlign w:val="center"/>
          </w:tcPr>
          <w:p w14:paraId="2308C8D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擅自拆开专家抽取结果表或泄露评标（审）专家抽取信息或遗失专家抽取结果表等重要资料。</w:t>
            </w:r>
          </w:p>
        </w:tc>
        <w:tc>
          <w:tcPr>
            <w:tcW w:w="1845" w:type="pct"/>
            <w:vMerge w:val="continue"/>
            <w:vAlign w:val="center"/>
          </w:tcPr>
          <w:p w14:paraId="5B54538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6" w:type="pct"/>
            <w:vAlign w:val="center"/>
          </w:tcPr>
          <w:p w14:paraId="112C8AC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6694E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270" w:type="pct"/>
            <w:vAlign w:val="center"/>
          </w:tcPr>
          <w:p w14:paraId="0FAC6E0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6</w:t>
            </w:r>
          </w:p>
        </w:tc>
        <w:tc>
          <w:tcPr>
            <w:tcW w:w="588" w:type="pct"/>
            <w:vMerge w:val="continue"/>
            <w:vAlign w:val="center"/>
          </w:tcPr>
          <w:p w14:paraId="4B74A5E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89" w:type="pct"/>
            <w:vAlign w:val="center"/>
          </w:tcPr>
          <w:p w14:paraId="35DC5AF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专家抽取时擅离电子监控区或对外联系。</w:t>
            </w:r>
          </w:p>
        </w:tc>
        <w:tc>
          <w:tcPr>
            <w:tcW w:w="1845" w:type="pct"/>
            <w:vMerge w:val="continue"/>
            <w:vAlign w:val="center"/>
          </w:tcPr>
          <w:p w14:paraId="28D3477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6" w:type="pct"/>
            <w:vAlign w:val="center"/>
          </w:tcPr>
          <w:p w14:paraId="5EEF4B8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056F5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270" w:type="pct"/>
            <w:vAlign w:val="center"/>
          </w:tcPr>
          <w:p w14:paraId="1F45A15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7</w:t>
            </w:r>
          </w:p>
        </w:tc>
        <w:tc>
          <w:tcPr>
            <w:tcW w:w="588" w:type="pct"/>
            <w:vMerge w:val="restart"/>
            <w:vAlign w:val="center"/>
          </w:tcPr>
          <w:p w14:paraId="7FA774B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p w14:paraId="45B700D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参与交易</w:t>
            </w:r>
          </w:p>
          <w:p w14:paraId="4C15F78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的各方主体</w:t>
            </w:r>
          </w:p>
        </w:tc>
        <w:tc>
          <w:tcPr>
            <w:tcW w:w="1989" w:type="pct"/>
            <w:vAlign w:val="center"/>
          </w:tcPr>
          <w:p w14:paraId="61005CC1">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违反专家抽取室电子产品使用等规定。</w:t>
            </w:r>
          </w:p>
        </w:tc>
        <w:tc>
          <w:tcPr>
            <w:tcW w:w="1845" w:type="pct"/>
            <w:vMerge w:val="restart"/>
            <w:vAlign w:val="center"/>
          </w:tcPr>
          <w:p w14:paraId="3EC8EDA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《中华人民共和国招标投标法》及实施条例</w:t>
            </w:r>
          </w:p>
          <w:p w14:paraId="6DDD439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《中华人民共和国政府采购法》及实施条例</w:t>
            </w:r>
          </w:p>
          <w:p w14:paraId="7BF203D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《四川省公共资源交易现场服务公开工作规范》</w:t>
            </w:r>
          </w:p>
          <w:p w14:paraId="44B664F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（川政公〔2019〕17号）</w:t>
            </w:r>
          </w:p>
          <w:p w14:paraId="1FE459B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《四川省公共资源交易平台管理实施细则》</w:t>
            </w:r>
          </w:p>
          <w:p w14:paraId="51A7862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（川办发〔2020〕78号）</w:t>
            </w:r>
          </w:p>
        </w:tc>
        <w:tc>
          <w:tcPr>
            <w:tcW w:w="306" w:type="pct"/>
            <w:vAlign w:val="center"/>
          </w:tcPr>
          <w:p w14:paraId="6E7CCE2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4826E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270" w:type="pct"/>
            <w:vAlign w:val="center"/>
          </w:tcPr>
          <w:p w14:paraId="3029F1E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8</w:t>
            </w:r>
          </w:p>
        </w:tc>
        <w:tc>
          <w:tcPr>
            <w:tcW w:w="588" w:type="pct"/>
            <w:vMerge w:val="continue"/>
            <w:vAlign w:val="center"/>
          </w:tcPr>
          <w:p w14:paraId="67455ED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89" w:type="pct"/>
            <w:vAlign w:val="center"/>
          </w:tcPr>
          <w:p w14:paraId="08872D99">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窥探、打听评标专家信息或资料。</w:t>
            </w:r>
          </w:p>
        </w:tc>
        <w:tc>
          <w:tcPr>
            <w:tcW w:w="1845" w:type="pct"/>
            <w:vMerge w:val="continue"/>
            <w:vAlign w:val="center"/>
          </w:tcPr>
          <w:p w14:paraId="042C368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6" w:type="pct"/>
            <w:vAlign w:val="center"/>
          </w:tcPr>
          <w:p w14:paraId="7712B90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4E3C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70" w:type="pct"/>
            <w:vAlign w:val="center"/>
          </w:tcPr>
          <w:p w14:paraId="12BB23E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9</w:t>
            </w:r>
          </w:p>
        </w:tc>
        <w:tc>
          <w:tcPr>
            <w:tcW w:w="588" w:type="pct"/>
            <w:vMerge w:val="continue"/>
            <w:vAlign w:val="center"/>
          </w:tcPr>
          <w:p w14:paraId="5C353AE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5636" w:type="dxa"/>
            <w:vAlign w:val="center"/>
          </w:tcPr>
          <w:p w14:paraId="0B4B4119">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不爱护专家抽取室公共设施、造成损坏不修复和拒不赔偿的情况。</w:t>
            </w:r>
          </w:p>
        </w:tc>
        <w:tc>
          <w:tcPr>
            <w:tcW w:w="1845" w:type="pct"/>
            <w:vMerge w:val="continue"/>
            <w:vAlign w:val="center"/>
          </w:tcPr>
          <w:p w14:paraId="57296F4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6" w:type="pct"/>
            <w:vAlign w:val="center"/>
          </w:tcPr>
          <w:p w14:paraId="74F3DAC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三级</w:t>
            </w:r>
          </w:p>
        </w:tc>
      </w:tr>
      <w:tr w14:paraId="22BE6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 w:hRule="atLeast"/>
        </w:trPr>
        <w:tc>
          <w:tcPr>
            <w:tcW w:w="270" w:type="pct"/>
            <w:vAlign w:val="center"/>
          </w:tcPr>
          <w:p w14:paraId="13ED2F8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10</w:t>
            </w:r>
          </w:p>
        </w:tc>
        <w:tc>
          <w:tcPr>
            <w:tcW w:w="588" w:type="pct"/>
            <w:vMerge w:val="continue"/>
            <w:vAlign w:val="center"/>
          </w:tcPr>
          <w:p w14:paraId="10E3622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5636" w:type="dxa"/>
            <w:vAlign w:val="center"/>
          </w:tcPr>
          <w:p w14:paraId="291A768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不</w:t>
            </w:r>
            <w:r>
              <w:rPr>
                <w:rFonts w:hint="default" w:ascii="Times New Roman" w:hAnsi="Times New Roman" w:eastAsia="仿宋" w:cs="Times New Roman"/>
                <w:color w:val="auto"/>
                <w:sz w:val="24"/>
                <w:szCs w:val="24"/>
                <w:highlight w:val="none"/>
                <w:vertAlign w:val="baseline"/>
                <w:lang w:val="en-US" w:eastAsia="zh-CN"/>
              </w:rPr>
              <w:t>遵守交易场所管理规定或</w:t>
            </w:r>
            <w:r>
              <w:rPr>
                <w:rFonts w:hint="eastAsia" w:ascii="Times New Roman" w:hAnsi="Times New Roman" w:eastAsia="仿宋" w:cs="Times New Roman"/>
                <w:color w:val="auto"/>
                <w:sz w:val="24"/>
                <w:szCs w:val="24"/>
                <w:highlight w:val="none"/>
                <w:vertAlign w:val="baseline"/>
                <w:lang w:val="en-US" w:eastAsia="zh-CN"/>
              </w:rPr>
              <w:t>不</w:t>
            </w:r>
            <w:r>
              <w:rPr>
                <w:rFonts w:hint="default" w:ascii="Times New Roman" w:hAnsi="Times New Roman" w:eastAsia="仿宋" w:cs="Times New Roman"/>
                <w:color w:val="auto"/>
                <w:sz w:val="24"/>
                <w:szCs w:val="24"/>
                <w:highlight w:val="none"/>
                <w:vertAlign w:val="baseline"/>
                <w:lang w:val="en-US" w:eastAsia="zh-CN"/>
              </w:rPr>
              <w:t>服从交易场所现场工作人员管理。</w:t>
            </w:r>
          </w:p>
        </w:tc>
        <w:tc>
          <w:tcPr>
            <w:tcW w:w="1845" w:type="pct"/>
            <w:vMerge w:val="continue"/>
            <w:vAlign w:val="center"/>
          </w:tcPr>
          <w:p w14:paraId="298FFA39">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6" w:type="pct"/>
            <w:vAlign w:val="center"/>
          </w:tcPr>
          <w:p w14:paraId="2A57467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p w14:paraId="5DA7403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p w14:paraId="28C1746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三级</w:t>
            </w:r>
          </w:p>
        </w:tc>
      </w:tr>
      <w:tr w14:paraId="5A942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270" w:type="pct"/>
            <w:vAlign w:val="center"/>
          </w:tcPr>
          <w:p w14:paraId="48F6987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11</w:t>
            </w:r>
          </w:p>
        </w:tc>
        <w:tc>
          <w:tcPr>
            <w:tcW w:w="588" w:type="pct"/>
            <w:vMerge w:val="continue"/>
            <w:vAlign w:val="center"/>
          </w:tcPr>
          <w:p w14:paraId="3F36B77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5636" w:type="dxa"/>
            <w:vAlign w:val="center"/>
          </w:tcPr>
          <w:p w14:paraId="48F26BA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其他违法违规行为。</w:t>
            </w:r>
          </w:p>
        </w:tc>
        <w:tc>
          <w:tcPr>
            <w:tcW w:w="1845" w:type="pct"/>
            <w:vMerge w:val="continue"/>
            <w:vAlign w:val="center"/>
          </w:tcPr>
          <w:p w14:paraId="27EA292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06" w:type="pct"/>
            <w:vAlign w:val="center"/>
          </w:tcPr>
          <w:p w14:paraId="77345AE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p w14:paraId="16A0BE1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p w14:paraId="3B27680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三级</w:t>
            </w:r>
          </w:p>
        </w:tc>
      </w:tr>
      <w:tr w14:paraId="4FAC9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270" w:type="pct"/>
            <w:vAlign w:val="center"/>
          </w:tcPr>
          <w:p w14:paraId="531AAE3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w:t>
            </w:r>
            <w:r>
              <w:rPr>
                <w:rFonts w:hint="eastAsia" w:ascii="Times New Roman" w:hAnsi="Times New Roman" w:eastAsia="仿宋" w:cs="Times New Roman"/>
                <w:color w:val="auto"/>
                <w:sz w:val="24"/>
                <w:szCs w:val="24"/>
                <w:highlight w:val="none"/>
                <w:vertAlign w:val="baseline"/>
                <w:lang w:val="en-US" w:eastAsia="zh-CN"/>
              </w:rPr>
              <w:t>2</w:t>
            </w:r>
          </w:p>
        </w:tc>
        <w:tc>
          <w:tcPr>
            <w:tcW w:w="588" w:type="pct"/>
            <w:vAlign w:val="center"/>
          </w:tcPr>
          <w:p w14:paraId="1CA98FF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交易服务</w:t>
            </w:r>
          </w:p>
          <w:p w14:paraId="31B27A1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工作人员</w:t>
            </w:r>
          </w:p>
        </w:tc>
        <w:tc>
          <w:tcPr>
            <w:tcW w:w="1989" w:type="pct"/>
            <w:vAlign w:val="center"/>
          </w:tcPr>
          <w:p w14:paraId="33C67A1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未</w:t>
            </w:r>
            <w:r>
              <w:rPr>
                <w:rFonts w:hint="default" w:ascii="Times New Roman" w:hAnsi="Times New Roman" w:eastAsia="仿宋" w:cs="Times New Roman"/>
                <w:color w:val="auto"/>
                <w:sz w:val="24"/>
                <w:szCs w:val="24"/>
                <w:highlight w:val="none"/>
                <w:vertAlign w:val="baseline"/>
                <w:lang w:val="en-US" w:eastAsia="zh-CN"/>
              </w:rPr>
              <w:t>按相关规定进行专家抽取。</w:t>
            </w:r>
          </w:p>
        </w:tc>
        <w:tc>
          <w:tcPr>
            <w:tcW w:w="1845" w:type="pct"/>
            <w:vAlign w:val="center"/>
          </w:tcPr>
          <w:p w14:paraId="4F5FF5C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《四川省公共资源交易现场服务公开工作规范》</w:t>
            </w:r>
          </w:p>
          <w:p w14:paraId="493AC32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（川政公〔2019〕17号）</w:t>
            </w:r>
          </w:p>
          <w:p w14:paraId="30890842">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《四川省公共资源交易平台管理实施细则》</w:t>
            </w:r>
          </w:p>
          <w:p w14:paraId="10C36DE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（川办发〔2020〕78号）</w:t>
            </w:r>
          </w:p>
        </w:tc>
        <w:tc>
          <w:tcPr>
            <w:tcW w:w="306" w:type="pct"/>
            <w:vAlign w:val="center"/>
          </w:tcPr>
          <w:p w14:paraId="54FFE79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p w14:paraId="26354DA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p w14:paraId="3BB289D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三级</w:t>
            </w:r>
          </w:p>
        </w:tc>
      </w:tr>
    </w:tbl>
    <w:p w14:paraId="0BF3B493">
      <w:pPr>
        <w:pStyle w:val="7"/>
        <w:keepNext w:val="0"/>
        <w:keepLines w:val="0"/>
        <w:widowControl/>
        <w:suppressLineNumbers w:val="0"/>
        <w:jc w:val="left"/>
        <w:rPr>
          <w:rFonts w:hint="default" w:ascii="Times New Roman" w:hAnsi="Times New Roman" w:eastAsia="仿宋_GB2312" w:cs="Times New Roman"/>
          <w:color w:val="auto"/>
          <w:sz w:val="31"/>
          <w:szCs w:val="31"/>
          <w:lang w:val="en-US" w:eastAsia="zh-CN"/>
        </w:rPr>
      </w:pPr>
    </w:p>
    <w:p w14:paraId="64362708">
      <w:pPr>
        <w:pStyle w:val="7"/>
        <w:keepNext w:val="0"/>
        <w:keepLines w:val="0"/>
        <w:widowControl/>
        <w:suppressLineNumbers w:val="0"/>
        <w:jc w:val="left"/>
        <w:rPr>
          <w:rFonts w:hint="default" w:ascii="Times New Roman" w:hAnsi="Times New Roman" w:eastAsia="仿宋_GB2312" w:cs="Times New Roman"/>
          <w:color w:val="auto"/>
          <w:sz w:val="31"/>
          <w:szCs w:val="31"/>
          <w:lang w:val="en-US" w:eastAsia="zh-CN"/>
        </w:rPr>
      </w:pPr>
    </w:p>
    <w:p w14:paraId="0954293D">
      <w:pPr>
        <w:pStyle w:val="7"/>
        <w:keepNext w:val="0"/>
        <w:keepLines w:val="0"/>
        <w:widowControl/>
        <w:suppressLineNumbers w:val="0"/>
        <w:jc w:val="left"/>
        <w:rPr>
          <w:rFonts w:hint="default" w:ascii="Times New Roman" w:hAnsi="Times New Roman" w:eastAsia="仿宋_GB2312" w:cs="Times New Roman"/>
          <w:color w:val="auto"/>
          <w:sz w:val="31"/>
          <w:szCs w:val="31"/>
          <w:lang w:val="en-US" w:eastAsia="zh-CN"/>
        </w:rPr>
      </w:pPr>
    </w:p>
    <w:p w14:paraId="16F56E01">
      <w:pPr>
        <w:pStyle w:val="7"/>
        <w:keepNext w:val="0"/>
        <w:keepLines w:val="0"/>
        <w:widowControl/>
        <w:suppressLineNumbers w:val="0"/>
        <w:jc w:val="left"/>
        <w:rPr>
          <w:rFonts w:hint="default" w:ascii="Times New Roman" w:hAnsi="Times New Roman" w:eastAsia="仿宋_GB2312" w:cs="Times New Roman"/>
          <w:color w:val="auto"/>
          <w:sz w:val="31"/>
          <w:szCs w:val="31"/>
          <w:lang w:val="en-US" w:eastAsia="zh-CN"/>
        </w:rPr>
      </w:pPr>
    </w:p>
    <w:p w14:paraId="31D6ED67">
      <w:pPr>
        <w:jc w:val="both"/>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附件6</w:t>
      </w:r>
    </w:p>
    <w:p w14:paraId="2BB2598B">
      <w:pPr>
        <w:jc w:val="center"/>
        <w:rPr>
          <w:rFonts w:hint="default" w:ascii="Times New Roman" w:hAnsi="Times New Roman" w:eastAsia="方正小标宋简体" w:cs="Times New Roman"/>
          <w:color w:val="auto"/>
          <w:sz w:val="44"/>
          <w:szCs w:val="44"/>
          <w:highlight w:val="none"/>
          <w:lang w:val="en-US" w:eastAsia="zh-CN"/>
        </w:rPr>
      </w:pPr>
      <w:r>
        <w:rPr>
          <w:rFonts w:hint="default" w:ascii="Times New Roman" w:hAnsi="Times New Roman" w:eastAsia="方正小标宋简体" w:cs="Times New Roman"/>
          <w:color w:val="auto"/>
          <w:sz w:val="44"/>
          <w:szCs w:val="44"/>
          <w:highlight w:val="none"/>
          <w:lang w:val="en-US" w:eastAsia="zh-CN"/>
        </w:rPr>
        <w:t>监控室见证服务清单</w:t>
      </w:r>
    </w:p>
    <w:tbl>
      <w:tblPr>
        <w:tblStyle w:val="1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1431"/>
        <w:gridCol w:w="5622"/>
        <w:gridCol w:w="5248"/>
        <w:gridCol w:w="1040"/>
      </w:tblGrid>
      <w:tr w14:paraId="6AAC3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230C061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序号</w:t>
            </w:r>
          </w:p>
        </w:tc>
        <w:tc>
          <w:tcPr>
            <w:tcW w:w="505" w:type="pct"/>
            <w:vAlign w:val="center"/>
          </w:tcPr>
          <w:p w14:paraId="63EA9AA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见证对象</w:t>
            </w:r>
          </w:p>
        </w:tc>
        <w:tc>
          <w:tcPr>
            <w:tcW w:w="1984" w:type="pct"/>
            <w:vAlign w:val="center"/>
          </w:tcPr>
          <w:p w14:paraId="228C9F1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见证内容</w:t>
            </w:r>
          </w:p>
        </w:tc>
        <w:tc>
          <w:tcPr>
            <w:tcW w:w="1852" w:type="pct"/>
            <w:vAlign w:val="center"/>
          </w:tcPr>
          <w:p w14:paraId="386D491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依据</w:t>
            </w:r>
          </w:p>
        </w:tc>
        <w:tc>
          <w:tcPr>
            <w:tcW w:w="367" w:type="pct"/>
            <w:vAlign w:val="center"/>
          </w:tcPr>
          <w:p w14:paraId="744F38B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预警</w:t>
            </w:r>
          </w:p>
          <w:p w14:paraId="126EF20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级别</w:t>
            </w:r>
          </w:p>
        </w:tc>
      </w:tr>
      <w:tr w14:paraId="34DF2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290" w:type="pct"/>
            <w:vAlign w:val="center"/>
          </w:tcPr>
          <w:p w14:paraId="7A3CD99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w:t>
            </w:r>
          </w:p>
        </w:tc>
        <w:tc>
          <w:tcPr>
            <w:tcW w:w="505" w:type="pct"/>
            <w:vAlign w:val="center"/>
          </w:tcPr>
          <w:p w14:paraId="2337253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投标人</w:t>
            </w:r>
          </w:p>
          <w:p w14:paraId="7F0FDCB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（供应商）</w:t>
            </w:r>
          </w:p>
        </w:tc>
        <w:tc>
          <w:tcPr>
            <w:tcW w:w="1984" w:type="pct"/>
            <w:vAlign w:val="center"/>
          </w:tcPr>
          <w:p w14:paraId="1515E13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方正书宋简体"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擅自进入监控室。</w:t>
            </w:r>
          </w:p>
        </w:tc>
        <w:tc>
          <w:tcPr>
            <w:tcW w:w="1852" w:type="pct"/>
            <w:vMerge w:val="restart"/>
            <w:vAlign w:val="center"/>
          </w:tcPr>
          <w:p w14:paraId="2244E73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《四川省公共资源交易现场服务公开工作规范》</w:t>
            </w:r>
          </w:p>
          <w:p w14:paraId="604E0D3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（川政公〔2019〕17号）</w:t>
            </w:r>
          </w:p>
          <w:p w14:paraId="51DFEE1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《四川省公共资源交易平台管理实施细则》</w:t>
            </w:r>
          </w:p>
          <w:p w14:paraId="6871683F">
            <w:pPr>
              <w:adjustRightInd w:val="0"/>
              <w:spacing w:line="300" w:lineRule="exact"/>
              <w:rPr>
                <w:rFonts w:hint="default" w:ascii="Times New Roman" w:hAnsi="Times New Roman" w:eastAsia="方正书宋简体" w:cs="Times New Roman"/>
                <w:color w:val="auto"/>
                <w:szCs w:val="21"/>
              </w:rPr>
            </w:pPr>
            <w:r>
              <w:rPr>
                <w:rFonts w:hint="default" w:ascii="Times New Roman" w:hAnsi="Times New Roman" w:eastAsia="仿宋" w:cs="Times New Roman"/>
                <w:color w:val="auto"/>
                <w:sz w:val="24"/>
                <w:szCs w:val="24"/>
                <w:highlight w:val="none"/>
                <w:vertAlign w:val="baseline"/>
                <w:lang w:val="en-US" w:eastAsia="zh-CN"/>
              </w:rPr>
              <w:t>（川办发〔2020〕78号）</w:t>
            </w:r>
          </w:p>
          <w:p w14:paraId="6F9E1BB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7" w:type="pct"/>
            <w:vAlign w:val="center"/>
          </w:tcPr>
          <w:p w14:paraId="27FA9E9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4639D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290" w:type="pct"/>
            <w:vAlign w:val="center"/>
          </w:tcPr>
          <w:p w14:paraId="5A9DAB4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2</w:t>
            </w:r>
          </w:p>
        </w:tc>
        <w:tc>
          <w:tcPr>
            <w:tcW w:w="505" w:type="pct"/>
            <w:vMerge w:val="restart"/>
            <w:vAlign w:val="center"/>
          </w:tcPr>
          <w:p w14:paraId="6D53451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招标人</w:t>
            </w:r>
          </w:p>
          <w:p w14:paraId="6F3D6AB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（采购人、</w:t>
            </w:r>
          </w:p>
          <w:p w14:paraId="3686D55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出让人、</w:t>
            </w:r>
          </w:p>
          <w:p w14:paraId="74244D8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kern w:val="2"/>
                <w:sz w:val="24"/>
                <w:szCs w:val="24"/>
                <w:highlight w:val="none"/>
                <w:vertAlign w:val="baseline"/>
                <w:lang w:val="en-US" w:eastAsia="zh-CN" w:bidi="ar-SA"/>
              </w:rPr>
            </w:pPr>
            <w:r>
              <w:rPr>
                <w:rFonts w:hint="default" w:ascii="Times New Roman" w:hAnsi="Times New Roman" w:eastAsia="仿宋" w:cs="Times New Roman"/>
                <w:color w:val="auto"/>
                <w:sz w:val="24"/>
                <w:szCs w:val="24"/>
                <w:highlight w:val="none"/>
                <w:vertAlign w:val="baseline"/>
                <w:lang w:val="en-US" w:eastAsia="zh-CN"/>
              </w:rPr>
              <w:t>代理机构）</w:t>
            </w:r>
          </w:p>
        </w:tc>
        <w:tc>
          <w:tcPr>
            <w:tcW w:w="1984" w:type="pct"/>
            <w:vAlign w:val="center"/>
          </w:tcPr>
          <w:p w14:paraId="3681D6F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不按规定擅自进入监控室。</w:t>
            </w:r>
          </w:p>
        </w:tc>
        <w:tc>
          <w:tcPr>
            <w:tcW w:w="1852" w:type="pct"/>
            <w:vMerge w:val="continue"/>
            <w:vAlign w:val="center"/>
          </w:tcPr>
          <w:p w14:paraId="5CED858E">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7" w:type="pct"/>
            <w:vAlign w:val="center"/>
          </w:tcPr>
          <w:p w14:paraId="68F75DC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559F3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290" w:type="pct"/>
            <w:vAlign w:val="center"/>
          </w:tcPr>
          <w:p w14:paraId="121C4A5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3</w:t>
            </w:r>
          </w:p>
        </w:tc>
        <w:tc>
          <w:tcPr>
            <w:tcW w:w="505" w:type="pct"/>
            <w:vMerge w:val="continue"/>
            <w:vAlign w:val="center"/>
          </w:tcPr>
          <w:p w14:paraId="6341172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84" w:type="pct"/>
            <w:vAlign w:val="center"/>
          </w:tcPr>
          <w:p w14:paraId="23B23EC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未</w:t>
            </w:r>
            <w:r>
              <w:rPr>
                <w:rFonts w:hint="default" w:ascii="Times New Roman" w:hAnsi="Times New Roman" w:eastAsia="仿宋" w:cs="Times New Roman"/>
                <w:color w:val="auto"/>
                <w:sz w:val="24"/>
                <w:szCs w:val="24"/>
                <w:highlight w:val="none"/>
                <w:vertAlign w:val="baseline"/>
                <w:lang w:val="en-US" w:eastAsia="zh-CN"/>
              </w:rPr>
              <w:t>佩戴交易场所发放的工作牌擅自进出监控室。</w:t>
            </w:r>
          </w:p>
        </w:tc>
        <w:tc>
          <w:tcPr>
            <w:tcW w:w="1852" w:type="pct"/>
            <w:vMerge w:val="continue"/>
            <w:vAlign w:val="center"/>
          </w:tcPr>
          <w:p w14:paraId="1AAC28B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7" w:type="pct"/>
            <w:vAlign w:val="center"/>
          </w:tcPr>
          <w:p w14:paraId="7E3AB97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77734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290" w:type="pct"/>
            <w:vAlign w:val="center"/>
          </w:tcPr>
          <w:p w14:paraId="5B78D1C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4</w:t>
            </w:r>
          </w:p>
        </w:tc>
        <w:tc>
          <w:tcPr>
            <w:tcW w:w="505" w:type="pct"/>
            <w:vAlign w:val="center"/>
          </w:tcPr>
          <w:p w14:paraId="29DA882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评标（审）</w:t>
            </w:r>
          </w:p>
          <w:p w14:paraId="6A096B2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专家</w:t>
            </w:r>
          </w:p>
        </w:tc>
        <w:tc>
          <w:tcPr>
            <w:tcW w:w="1984" w:type="pct"/>
            <w:vAlign w:val="center"/>
          </w:tcPr>
          <w:p w14:paraId="4ADB659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擅自进入监控室。</w:t>
            </w:r>
          </w:p>
        </w:tc>
        <w:tc>
          <w:tcPr>
            <w:tcW w:w="1852" w:type="pct"/>
            <w:vMerge w:val="continue"/>
            <w:vAlign w:val="center"/>
          </w:tcPr>
          <w:p w14:paraId="1B5C4E22">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7" w:type="pct"/>
            <w:vAlign w:val="center"/>
          </w:tcPr>
          <w:p w14:paraId="3524F5C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5A107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290" w:type="pct"/>
            <w:vAlign w:val="center"/>
          </w:tcPr>
          <w:p w14:paraId="300FB91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5</w:t>
            </w:r>
          </w:p>
        </w:tc>
        <w:tc>
          <w:tcPr>
            <w:tcW w:w="505" w:type="pct"/>
            <w:vMerge w:val="restart"/>
            <w:vAlign w:val="center"/>
          </w:tcPr>
          <w:p w14:paraId="20F5BC8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项目监督</w:t>
            </w:r>
          </w:p>
        </w:tc>
        <w:tc>
          <w:tcPr>
            <w:tcW w:w="1984" w:type="pct"/>
            <w:vAlign w:val="center"/>
          </w:tcPr>
          <w:p w14:paraId="1275D2E2">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方正书宋简体"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未</w:t>
            </w:r>
            <w:r>
              <w:rPr>
                <w:rFonts w:hint="default" w:ascii="Times New Roman" w:hAnsi="Times New Roman" w:eastAsia="仿宋" w:cs="Times New Roman"/>
                <w:color w:val="auto"/>
                <w:sz w:val="24"/>
                <w:szCs w:val="24"/>
                <w:highlight w:val="none"/>
                <w:vertAlign w:val="baseline"/>
                <w:lang w:val="en-US" w:eastAsia="zh-CN"/>
              </w:rPr>
              <w:t>佩戴交易场所发放的工作牌进入、进出监控室。</w:t>
            </w:r>
          </w:p>
        </w:tc>
        <w:tc>
          <w:tcPr>
            <w:tcW w:w="1852" w:type="pct"/>
            <w:vMerge w:val="continue"/>
            <w:vAlign w:val="center"/>
          </w:tcPr>
          <w:p w14:paraId="12C51B73">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7" w:type="pct"/>
            <w:vAlign w:val="center"/>
          </w:tcPr>
          <w:p w14:paraId="64FDD41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500AE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290" w:type="pct"/>
            <w:vAlign w:val="center"/>
          </w:tcPr>
          <w:p w14:paraId="0AD410A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6</w:t>
            </w:r>
          </w:p>
        </w:tc>
        <w:tc>
          <w:tcPr>
            <w:tcW w:w="505" w:type="pct"/>
            <w:vMerge w:val="continue"/>
            <w:vAlign w:val="center"/>
          </w:tcPr>
          <w:p w14:paraId="70532F8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84" w:type="pct"/>
            <w:vAlign w:val="center"/>
          </w:tcPr>
          <w:p w14:paraId="57A35A2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未</w:t>
            </w:r>
            <w:r>
              <w:rPr>
                <w:rFonts w:hint="default" w:ascii="Times New Roman" w:hAnsi="Times New Roman" w:eastAsia="仿宋" w:cs="Times New Roman"/>
                <w:color w:val="auto"/>
                <w:sz w:val="24"/>
                <w:szCs w:val="24"/>
                <w:highlight w:val="none"/>
                <w:vertAlign w:val="baseline"/>
                <w:lang w:val="en-US" w:eastAsia="zh-CN"/>
              </w:rPr>
              <w:t>按规定签到、开展项目监督工作。</w:t>
            </w:r>
          </w:p>
        </w:tc>
        <w:tc>
          <w:tcPr>
            <w:tcW w:w="1852" w:type="pct"/>
            <w:vMerge w:val="continue"/>
            <w:vAlign w:val="center"/>
          </w:tcPr>
          <w:p w14:paraId="50828711">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7" w:type="pct"/>
            <w:vAlign w:val="center"/>
          </w:tcPr>
          <w:p w14:paraId="5B94166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4650C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290" w:type="pct"/>
            <w:vAlign w:val="center"/>
          </w:tcPr>
          <w:p w14:paraId="79E709A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7</w:t>
            </w:r>
          </w:p>
        </w:tc>
        <w:tc>
          <w:tcPr>
            <w:tcW w:w="505" w:type="pct"/>
            <w:vMerge w:val="continue"/>
            <w:vAlign w:val="center"/>
          </w:tcPr>
          <w:p w14:paraId="4A554F0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84" w:type="pct"/>
            <w:vAlign w:val="center"/>
          </w:tcPr>
          <w:p w14:paraId="7BCFBC6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违反监控室电子产品使用（擅自拍摄监控画面、录取评标</w:t>
            </w:r>
            <w:r>
              <w:rPr>
                <w:rFonts w:hint="eastAsia" w:ascii="Times New Roman" w:hAnsi="Times New Roman" w:eastAsia="仿宋" w:cs="Times New Roman"/>
                <w:color w:val="auto"/>
                <w:sz w:val="24"/>
                <w:szCs w:val="24"/>
                <w:highlight w:val="none"/>
                <w:vertAlign w:val="baseline"/>
                <w:lang w:val="en-US" w:eastAsia="zh-CN"/>
              </w:rPr>
              <w:t>〈</w:t>
            </w:r>
            <w:r>
              <w:rPr>
                <w:rFonts w:hint="default" w:ascii="Times New Roman" w:hAnsi="Times New Roman" w:eastAsia="仿宋" w:cs="Times New Roman"/>
                <w:color w:val="auto"/>
                <w:sz w:val="24"/>
                <w:szCs w:val="24"/>
                <w:highlight w:val="none"/>
                <w:vertAlign w:val="baseline"/>
                <w:lang w:val="en-US" w:eastAsia="zh-CN"/>
              </w:rPr>
              <w:t>审</w:t>
            </w:r>
            <w:r>
              <w:rPr>
                <w:rFonts w:hint="eastAsia" w:ascii="Times New Roman" w:hAnsi="Times New Roman" w:eastAsia="仿宋" w:cs="Times New Roman"/>
                <w:color w:val="auto"/>
                <w:sz w:val="24"/>
                <w:szCs w:val="24"/>
                <w:highlight w:val="none"/>
                <w:vertAlign w:val="baseline"/>
                <w:lang w:val="en-US" w:eastAsia="zh-CN"/>
              </w:rPr>
              <w:t>〉</w:t>
            </w:r>
            <w:r>
              <w:rPr>
                <w:rFonts w:hint="default" w:ascii="Times New Roman" w:hAnsi="Times New Roman" w:eastAsia="仿宋" w:cs="Times New Roman"/>
                <w:color w:val="auto"/>
                <w:sz w:val="24"/>
                <w:szCs w:val="24"/>
                <w:highlight w:val="none"/>
                <w:vertAlign w:val="baseline"/>
                <w:lang w:val="en-US" w:eastAsia="zh-CN"/>
              </w:rPr>
              <w:t>室音频）等规定。</w:t>
            </w:r>
          </w:p>
        </w:tc>
        <w:tc>
          <w:tcPr>
            <w:tcW w:w="1852" w:type="pct"/>
            <w:vMerge w:val="continue"/>
            <w:vAlign w:val="center"/>
          </w:tcPr>
          <w:p w14:paraId="37843E7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7" w:type="pct"/>
            <w:vAlign w:val="center"/>
          </w:tcPr>
          <w:p w14:paraId="4044AE6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19B44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290" w:type="pct"/>
            <w:vAlign w:val="center"/>
          </w:tcPr>
          <w:p w14:paraId="4E6A94E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8</w:t>
            </w:r>
          </w:p>
        </w:tc>
        <w:tc>
          <w:tcPr>
            <w:tcW w:w="505" w:type="pct"/>
            <w:vMerge w:val="restart"/>
            <w:vAlign w:val="center"/>
          </w:tcPr>
          <w:p w14:paraId="0CE845D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项目监督</w:t>
            </w:r>
          </w:p>
        </w:tc>
        <w:tc>
          <w:tcPr>
            <w:tcW w:w="1984" w:type="pct"/>
            <w:vAlign w:val="center"/>
          </w:tcPr>
          <w:p w14:paraId="59D30623">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随意泄露评标（审）专家个人信息等。</w:t>
            </w:r>
          </w:p>
        </w:tc>
        <w:tc>
          <w:tcPr>
            <w:tcW w:w="1852" w:type="pct"/>
            <w:vMerge w:val="restart"/>
            <w:vAlign w:val="center"/>
          </w:tcPr>
          <w:p w14:paraId="29EB7F0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《四川省公共资源交易现场服务公开工作规范》</w:t>
            </w:r>
          </w:p>
          <w:p w14:paraId="7746C0D3">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（川政公〔2019〕17号）</w:t>
            </w:r>
          </w:p>
          <w:p w14:paraId="5AC4EF8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《四川省公共资源交易平台管理实施细则》</w:t>
            </w:r>
          </w:p>
          <w:p w14:paraId="4EC6C963">
            <w:pPr>
              <w:adjustRightInd w:val="0"/>
              <w:spacing w:line="300" w:lineRule="exact"/>
              <w:ind w:firstLine="480" w:firstLineChars="200"/>
              <w:rPr>
                <w:rFonts w:hint="default" w:ascii="Times New Roman" w:hAnsi="Times New Roman" w:eastAsia="方正书宋简体" w:cs="Times New Roman"/>
                <w:color w:val="auto"/>
                <w:szCs w:val="21"/>
              </w:rPr>
            </w:pPr>
            <w:r>
              <w:rPr>
                <w:rFonts w:hint="default" w:ascii="Times New Roman" w:hAnsi="Times New Roman" w:eastAsia="仿宋" w:cs="Times New Roman"/>
                <w:color w:val="auto"/>
                <w:sz w:val="24"/>
                <w:szCs w:val="24"/>
                <w:highlight w:val="none"/>
                <w:vertAlign w:val="baseline"/>
                <w:lang w:val="en-US" w:eastAsia="zh-CN"/>
              </w:rPr>
              <w:t>（川办发〔2020〕78号）</w:t>
            </w:r>
          </w:p>
          <w:p w14:paraId="5866F73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7" w:type="pct"/>
            <w:vAlign w:val="center"/>
          </w:tcPr>
          <w:p w14:paraId="769E1F7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6ED54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290" w:type="pct"/>
            <w:vAlign w:val="center"/>
          </w:tcPr>
          <w:p w14:paraId="29D329A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9</w:t>
            </w:r>
          </w:p>
        </w:tc>
        <w:tc>
          <w:tcPr>
            <w:tcW w:w="505" w:type="pct"/>
            <w:vMerge w:val="continue"/>
            <w:vAlign w:val="center"/>
          </w:tcPr>
          <w:p w14:paraId="594485C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84" w:type="pct"/>
            <w:vAlign w:val="center"/>
          </w:tcPr>
          <w:p w14:paraId="2B74F539">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在项目评标（审）结束前无正当理由串岗脱岗、擅离职守。</w:t>
            </w:r>
          </w:p>
        </w:tc>
        <w:tc>
          <w:tcPr>
            <w:tcW w:w="1852" w:type="pct"/>
            <w:vMerge w:val="continue"/>
            <w:vAlign w:val="center"/>
          </w:tcPr>
          <w:p w14:paraId="5C919412">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7" w:type="pct"/>
            <w:vAlign w:val="center"/>
          </w:tcPr>
          <w:p w14:paraId="2659144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tc>
      </w:tr>
      <w:tr w14:paraId="5C502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290" w:type="pct"/>
            <w:vAlign w:val="center"/>
          </w:tcPr>
          <w:p w14:paraId="21E17B5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10</w:t>
            </w:r>
          </w:p>
        </w:tc>
        <w:tc>
          <w:tcPr>
            <w:tcW w:w="505" w:type="pct"/>
            <w:vMerge w:val="continue"/>
            <w:vAlign w:val="center"/>
          </w:tcPr>
          <w:p w14:paraId="1345E9A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84" w:type="pct"/>
            <w:vAlign w:val="center"/>
          </w:tcPr>
          <w:p w14:paraId="028103DE">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在监控室大声喧哗干扰其他项目监督正常开展工作。</w:t>
            </w:r>
          </w:p>
        </w:tc>
        <w:tc>
          <w:tcPr>
            <w:tcW w:w="1852" w:type="pct"/>
            <w:vMerge w:val="continue"/>
            <w:vAlign w:val="center"/>
          </w:tcPr>
          <w:p w14:paraId="2DECE66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7" w:type="pct"/>
            <w:vAlign w:val="center"/>
          </w:tcPr>
          <w:p w14:paraId="057908B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tc>
      </w:tr>
      <w:tr w14:paraId="5F374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290" w:type="pct"/>
            <w:vAlign w:val="center"/>
          </w:tcPr>
          <w:p w14:paraId="5C87547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11</w:t>
            </w:r>
          </w:p>
        </w:tc>
        <w:tc>
          <w:tcPr>
            <w:tcW w:w="505" w:type="pct"/>
            <w:vMerge w:val="continue"/>
            <w:vAlign w:val="center"/>
          </w:tcPr>
          <w:p w14:paraId="1B00A20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1984" w:type="pct"/>
            <w:vAlign w:val="center"/>
          </w:tcPr>
          <w:p w14:paraId="7AA47BA2">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在监控室开展与项目监督无关的工作或存在其他行为（闲聊、睡觉、吸烟、打游戏、看网络视频等）。</w:t>
            </w:r>
          </w:p>
        </w:tc>
        <w:tc>
          <w:tcPr>
            <w:tcW w:w="1852" w:type="pct"/>
            <w:vMerge w:val="continue"/>
            <w:vAlign w:val="center"/>
          </w:tcPr>
          <w:p w14:paraId="47D79B2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7" w:type="pct"/>
            <w:vAlign w:val="center"/>
          </w:tcPr>
          <w:p w14:paraId="7624F37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tc>
      </w:tr>
      <w:tr w14:paraId="52FCE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290" w:type="pct"/>
            <w:vAlign w:val="center"/>
          </w:tcPr>
          <w:p w14:paraId="1452E5F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12</w:t>
            </w:r>
          </w:p>
        </w:tc>
        <w:tc>
          <w:tcPr>
            <w:tcW w:w="505" w:type="pct"/>
            <w:vMerge w:val="restart"/>
            <w:vAlign w:val="center"/>
          </w:tcPr>
          <w:p w14:paraId="286210B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p w14:paraId="2E24855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参与交易</w:t>
            </w:r>
          </w:p>
          <w:p w14:paraId="1BAE49E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的各方主体</w:t>
            </w:r>
          </w:p>
        </w:tc>
        <w:tc>
          <w:tcPr>
            <w:tcW w:w="5622" w:type="dxa"/>
            <w:vAlign w:val="center"/>
          </w:tcPr>
          <w:p w14:paraId="4DCB7BF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不爱护监控室公共设施、造成损坏不修复和拒不赔偿的情况。</w:t>
            </w:r>
          </w:p>
        </w:tc>
        <w:tc>
          <w:tcPr>
            <w:tcW w:w="1852" w:type="pct"/>
            <w:vMerge w:val="restart"/>
            <w:vAlign w:val="center"/>
          </w:tcPr>
          <w:p w14:paraId="46FA3852">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《中华人民共和国招标投标法》及实施条例</w:t>
            </w:r>
          </w:p>
          <w:p w14:paraId="4DC362B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《中华人民共和国政府采购法》及实施条例</w:t>
            </w:r>
          </w:p>
          <w:p w14:paraId="4F87158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《四川省公共资源交易现场服务公开工作规范》</w:t>
            </w:r>
          </w:p>
          <w:p w14:paraId="1747561C">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（川政公〔2019〕17号）</w:t>
            </w:r>
          </w:p>
          <w:p w14:paraId="4A270D6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《四川省公共资源交易平台管理实施细则》</w:t>
            </w:r>
          </w:p>
          <w:p w14:paraId="26D4F31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（川办发〔2020〕78号）</w:t>
            </w:r>
          </w:p>
        </w:tc>
        <w:tc>
          <w:tcPr>
            <w:tcW w:w="367" w:type="pct"/>
            <w:vAlign w:val="center"/>
          </w:tcPr>
          <w:p w14:paraId="6C49020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三级</w:t>
            </w:r>
          </w:p>
        </w:tc>
      </w:tr>
      <w:tr w14:paraId="64F63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290" w:type="pct"/>
            <w:vAlign w:val="center"/>
          </w:tcPr>
          <w:p w14:paraId="48F5AF6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13</w:t>
            </w:r>
          </w:p>
        </w:tc>
        <w:tc>
          <w:tcPr>
            <w:tcW w:w="505" w:type="pct"/>
            <w:vMerge w:val="continue"/>
            <w:vAlign w:val="center"/>
          </w:tcPr>
          <w:p w14:paraId="5D7D8B4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5622" w:type="dxa"/>
            <w:vAlign w:val="center"/>
          </w:tcPr>
          <w:p w14:paraId="6F040272">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不</w:t>
            </w:r>
            <w:r>
              <w:rPr>
                <w:rFonts w:hint="default" w:ascii="Times New Roman" w:hAnsi="Times New Roman" w:eastAsia="仿宋" w:cs="Times New Roman"/>
                <w:color w:val="auto"/>
                <w:sz w:val="24"/>
                <w:szCs w:val="24"/>
                <w:highlight w:val="none"/>
                <w:vertAlign w:val="baseline"/>
                <w:lang w:val="en-US" w:eastAsia="zh-CN"/>
              </w:rPr>
              <w:t>遵守交易场所管理规定或</w:t>
            </w:r>
            <w:r>
              <w:rPr>
                <w:rFonts w:hint="eastAsia" w:ascii="Times New Roman" w:hAnsi="Times New Roman" w:eastAsia="仿宋" w:cs="Times New Roman"/>
                <w:color w:val="auto"/>
                <w:sz w:val="24"/>
                <w:szCs w:val="24"/>
                <w:highlight w:val="none"/>
                <w:vertAlign w:val="baseline"/>
                <w:lang w:val="en-US" w:eastAsia="zh-CN"/>
              </w:rPr>
              <w:t>不</w:t>
            </w:r>
            <w:r>
              <w:rPr>
                <w:rFonts w:hint="default" w:ascii="Times New Roman" w:hAnsi="Times New Roman" w:eastAsia="仿宋" w:cs="Times New Roman"/>
                <w:color w:val="auto"/>
                <w:sz w:val="24"/>
                <w:szCs w:val="24"/>
                <w:highlight w:val="none"/>
                <w:vertAlign w:val="baseline"/>
                <w:lang w:val="en-US" w:eastAsia="zh-CN"/>
              </w:rPr>
              <w:t>服从交易场所现场工作人员管理。</w:t>
            </w:r>
          </w:p>
        </w:tc>
        <w:tc>
          <w:tcPr>
            <w:tcW w:w="1852" w:type="pct"/>
            <w:vMerge w:val="continue"/>
            <w:vAlign w:val="center"/>
          </w:tcPr>
          <w:p w14:paraId="64E69B6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7" w:type="pct"/>
            <w:vAlign w:val="center"/>
          </w:tcPr>
          <w:p w14:paraId="3E1C0D7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p w14:paraId="252B16A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p w14:paraId="0C7C146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三级</w:t>
            </w:r>
          </w:p>
        </w:tc>
      </w:tr>
      <w:tr w14:paraId="50B7D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290" w:type="pct"/>
            <w:vAlign w:val="center"/>
          </w:tcPr>
          <w:p w14:paraId="5B6AFF1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14</w:t>
            </w:r>
          </w:p>
        </w:tc>
        <w:tc>
          <w:tcPr>
            <w:tcW w:w="505" w:type="pct"/>
            <w:vMerge w:val="continue"/>
            <w:vAlign w:val="center"/>
          </w:tcPr>
          <w:p w14:paraId="722D384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p>
        </w:tc>
        <w:tc>
          <w:tcPr>
            <w:tcW w:w="5622" w:type="dxa"/>
            <w:vAlign w:val="center"/>
          </w:tcPr>
          <w:p w14:paraId="7C797292">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其他违法违规行为。</w:t>
            </w:r>
          </w:p>
        </w:tc>
        <w:tc>
          <w:tcPr>
            <w:tcW w:w="1852" w:type="pct"/>
            <w:vMerge w:val="continue"/>
            <w:vAlign w:val="center"/>
          </w:tcPr>
          <w:p w14:paraId="05DD0B6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p>
        </w:tc>
        <w:tc>
          <w:tcPr>
            <w:tcW w:w="367" w:type="pct"/>
            <w:vAlign w:val="center"/>
          </w:tcPr>
          <w:p w14:paraId="39ABC58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p w14:paraId="6683DDB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p w14:paraId="0A4EF3D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三级</w:t>
            </w:r>
          </w:p>
        </w:tc>
      </w:tr>
      <w:tr w14:paraId="0D8C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290" w:type="pct"/>
            <w:vAlign w:val="center"/>
          </w:tcPr>
          <w:p w14:paraId="6884779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15</w:t>
            </w:r>
          </w:p>
        </w:tc>
        <w:tc>
          <w:tcPr>
            <w:tcW w:w="505" w:type="pct"/>
            <w:vAlign w:val="center"/>
          </w:tcPr>
          <w:p w14:paraId="5F1B782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交易服务</w:t>
            </w:r>
          </w:p>
          <w:p w14:paraId="57890DC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工作人员</w:t>
            </w:r>
          </w:p>
        </w:tc>
        <w:tc>
          <w:tcPr>
            <w:tcW w:w="1984" w:type="pct"/>
            <w:vAlign w:val="center"/>
          </w:tcPr>
          <w:p w14:paraId="48ABDFD3">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eastAsia" w:ascii="Times New Roman" w:hAnsi="Times New Roman" w:eastAsia="仿宋" w:cs="Times New Roman"/>
                <w:color w:val="auto"/>
                <w:sz w:val="24"/>
                <w:szCs w:val="24"/>
                <w:highlight w:val="none"/>
                <w:vertAlign w:val="baseline"/>
                <w:lang w:val="en-US" w:eastAsia="zh-CN"/>
              </w:rPr>
              <w:t>未</w:t>
            </w:r>
            <w:r>
              <w:rPr>
                <w:rFonts w:hint="default" w:ascii="Times New Roman" w:hAnsi="Times New Roman" w:eastAsia="仿宋" w:cs="Times New Roman"/>
                <w:color w:val="auto"/>
                <w:sz w:val="24"/>
                <w:szCs w:val="24"/>
                <w:highlight w:val="none"/>
                <w:vertAlign w:val="baseline"/>
                <w:lang w:val="en-US" w:eastAsia="zh-CN"/>
              </w:rPr>
              <w:t>按规定对监控室进行管理和违反相关规定。</w:t>
            </w:r>
          </w:p>
        </w:tc>
        <w:tc>
          <w:tcPr>
            <w:tcW w:w="1852" w:type="pct"/>
            <w:vAlign w:val="center"/>
          </w:tcPr>
          <w:p w14:paraId="6067C33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《四川省公共资源交易现场服务公开工作规范》</w:t>
            </w:r>
          </w:p>
          <w:p w14:paraId="1B7CE85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（川政公〔2019〕17号）</w:t>
            </w:r>
          </w:p>
          <w:p w14:paraId="6333732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《四川省公共资源交易平台管理实施细则》</w:t>
            </w:r>
          </w:p>
          <w:p w14:paraId="4A70505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（川办发〔2020〕78号）</w:t>
            </w:r>
          </w:p>
        </w:tc>
        <w:tc>
          <w:tcPr>
            <w:tcW w:w="367" w:type="pct"/>
            <w:vAlign w:val="center"/>
          </w:tcPr>
          <w:p w14:paraId="39C766F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一级</w:t>
            </w:r>
          </w:p>
          <w:p w14:paraId="5F4034D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二级</w:t>
            </w:r>
          </w:p>
          <w:p w14:paraId="3D1E93F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 w:cs="Times New Roman"/>
                <w:color w:val="auto"/>
                <w:sz w:val="24"/>
                <w:szCs w:val="24"/>
                <w:highlight w:val="none"/>
                <w:vertAlign w:val="baseline"/>
                <w:lang w:val="en-US" w:eastAsia="zh-CN"/>
              </w:rPr>
            </w:pPr>
            <w:r>
              <w:rPr>
                <w:rFonts w:hint="default" w:ascii="Times New Roman" w:hAnsi="Times New Roman" w:eastAsia="仿宋" w:cs="Times New Roman"/>
                <w:color w:val="auto"/>
                <w:sz w:val="24"/>
                <w:szCs w:val="24"/>
                <w:highlight w:val="none"/>
                <w:vertAlign w:val="baseline"/>
                <w:lang w:val="en-US" w:eastAsia="zh-CN"/>
              </w:rPr>
              <w:t>三级</w:t>
            </w:r>
          </w:p>
        </w:tc>
      </w:tr>
    </w:tbl>
    <w:p w14:paraId="502BF4FF">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jc w:val="both"/>
        <w:textAlignment w:val="auto"/>
        <w:rPr>
          <w:rFonts w:hint="default" w:ascii="Times New Roman" w:hAnsi="Times New Roman" w:eastAsia="仿宋" w:cs="Times New Roman"/>
          <w:color w:val="auto"/>
          <w:kern w:val="0"/>
          <w:sz w:val="32"/>
          <w:szCs w:val="32"/>
          <w:lang w:val="en-US" w:eastAsia="zh-CN" w:bidi="ar"/>
        </w:rPr>
        <w:sectPr>
          <w:footerReference r:id="rId5" w:type="default"/>
          <w:pgSz w:w="16838" w:h="11906" w:orient="landscape"/>
          <w:pgMar w:top="1587" w:right="1440" w:bottom="1474" w:left="1440" w:header="851" w:footer="992" w:gutter="0"/>
          <w:pgNumType w:fmt="decimal"/>
          <w:cols w:space="425" w:num="1"/>
          <w:docGrid w:type="lines" w:linePitch="312" w:charSpace="0"/>
        </w:sectPr>
      </w:pPr>
    </w:p>
    <w:p w14:paraId="619C99E2">
      <w:pPr>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附件7</w:t>
      </w:r>
    </w:p>
    <w:p w14:paraId="0C7AA056">
      <w:pPr>
        <w:jc w:val="center"/>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drawing>
          <wp:inline distT="0" distB="0" distL="114300" distR="114300">
            <wp:extent cx="5610860" cy="7934960"/>
            <wp:effectExtent l="0" t="0" r="8890" b="8890"/>
            <wp:docPr id="5" name="图片 5" descr="C:/Users/HP/Desktop/0520_工程建设项目进场交易见证报告_00.jpg0520_工程建设项目进场交易见证报告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P/Desktop/0520_工程建设项目进场交易见证报告_00.jpg0520_工程建设项目进场交易见证报告_00"/>
                    <pic:cNvPicPr>
                      <a:picLocks noChangeAspect="1"/>
                    </pic:cNvPicPr>
                  </pic:nvPicPr>
                  <pic:blipFill>
                    <a:blip r:embed="rId10"/>
                    <a:srcRect l="4" r="4"/>
                    <a:stretch>
                      <a:fillRect/>
                    </a:stretch>
                  </pic:blipFill>
                  <pic:spPr>
                    <a:xfrm>
                      <a:off x="0" y="0"/>
                      <a:ext cx="5610860" cy="7934960"/>
                    </a:xfrm>
                    <a:prstGeom prst="rect">
                      <a:avLst/>
                    </a:prstGeom>
                  </pic:spPr>
                </pic:pic>
              </a:graphicData>
            </a:graphic>
          </wp:inline>
        </w:drawing>
      </w:r>
    </w:p>
    <w:p w14:paraId="7469A4A8">
      <w:pPr>
        <w:jc w:val="center"/>
        <w:rPr>
          <w:rFonts w:hint="default" w:ascii="Times New Roman" w:hAnsi="Times New Roman" w:eastAsia="黑体" w:cs="Times New Roman"/>
          <w:color w:val="auto"/>
          <w:sz w:val="32"/>
          <w:szCs w:val="32"/>
          <w:lang w:val="en-US" w:eastAsia="zh-CN"/>
        </w:rPr>
      </w:pPr>
    </w:p>
    <w:p w14:paraId="02C157FA">
      <w:pPr>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附件8</w:t>
      </w:r>
    </w:p>
    <w:p w14:paraId="3CA4C736">
      <w:pPr>
        <w:jc w:val="center"/>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drawing>
          <wp:inline distT="0" distB="0" distL="114300" distR="114300">
            <wp:extent cx="5610860" cy="7934960"/>
            <wp:effectExtent l="0" t="0" r="8890" b="8890"/>
            <wp:docPr id="6" name="图片 6" descr="C:/Users/HP/Desktop/0520_国有资产处置项目进场交易见证报告_00.jpg0520_国有资产处置项目进场交易见证报告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HP/Desktop/0520_国有资产处置项目进场交易见证报告_00.jpg0520_国有资产处置项目进场交易见证报告_00"/>
                    <pic:cNvPicPr>
                      <a:picLocks noChangeAspect="1"/>
                    </pic:cNvPicPr>
                  </pic:nvPicPr>
                  <pic:blipFill>
                    <a:blip r:embed="rId11"/>
                    <a:srcRect l="4" r="4"/>
                    <a:stretch>
                      <a:fillRect/>
                    </a:stretch>
                  </pic:blipFill>
                  <pic:spPr>
                    <a:xfrm>
                      <a:off x="0" y="0"/>
                      <a:ext cx="5610860" cy="7934960"/>
                    </a:xfrm>
                    <a:prstGeom prst="rect">
                      <a:avLst/>
                    </a:prstGeom>
                  </pic:spPr>
                </pic:pic>
              </a:graphicData>
            </a:graphic>
          </wp:inline>
        </w:drawing>
      </w:r>
    </w:p>
    <w:p w14:paraId="4B12EF5D">
      <w:pPr>
        <w:jc w:val="both"/>
        <w:rPr>
          <w:rFonts w:hint="default" w:ascii="Times New Roman" w:hAnsi="Times New Roman" w:eastAsia="黑体" w:cs="Times New Roman"/>
          <w:color w:val="auto"/>
          <w:sz w:val="32"/>
          <w:szCs w:val="32"/>
          <w:lang w:val="en-US" w:eastAsia="zh-CN"/>
        </w:rPr>
      </w:pPr>
    </w:p>
    <w:p w14:paraId="6CE9057C">
      <w:pPr>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附件9</w:t>
      </w:r>
    </w:p>
    <w:p w14:paraId="024269FA">
      <w:pPr>
        <w:jc w:val="center"/>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drawing>
          <wp:inline distT="0" distB="0" distL="114300" distR="114300">
            <wp:extent cx="5610860" cy="7934960"/>
            <wp:effectExtent l="0" t="0" r="8890" b="8890"/>
            <wp:docPr id="7" name="图片 7" descr="C:/Users/HP/Desktop/0520_矿业权出让项目进场交易见证报告_00.jpg0520_矿业权出让项目进场交易见证报告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HP/Desktop/0520_矿业权出让项目进场交易见证报告_00.jpg0520_矿业权出让项目进场交易见证报告_00"/>
                    <pic:cNvPicPr>
                      <a:picLocks noChangeAspect="1"/>
                    </pic:cNvPicPr>
                  </pic:nvPicPr>
                  <pic:blipFill>
                    <a:blip r:embed="rId12"/>
                    <a:srcRect l="4" r="4"/>
                    <a:stretch>
                      <a:fillRect/>
                    </a:stretch>
                  </pic:blipFill>
                  <pic:spPr>
                    <a:xfrm>
                      <a:off x="0" y="0"/>
                      <a:ext cx="5610860" cy="7934960"/>
                    </a:xfrm>
                    <a:prstGeom prst="rect">
                      <a:avLst/>
                    </a:prstGeom>
                  </pic:spPr>
                </pic:pic>
              </a:graphicData>
            </a:graphic>
          </wp:inline>
        </w:drawing>
      </w:r>
    </w:p>
    <w:p w14:paraId="0FC6504D">
      <w:pPr>
        <w:jc w:val="both"/>
        <w:rPr>
          <w:rFonts w:hint="default" w:ascii="Times New Roman" w:hAnsi="Times New Roman" w:eastAsia="黑体" w:cs="Times New Roman"/>
          <w:color w:val="auto"/>
          <w:sz w:val="32"/>
          <w:szCs w:val="32"/>
          <w:lang w:val="en-US" w:eastAsia="zh-CN"/>
        </w:rPr>
      </w:pPr>
    </w:p>
    <w:p w14:paraId="0FFE6325">
      <w:pPr>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附件10</w:t>
      </w:r>
    </w:p>
    <w:p w14:paraId="3977B825">
      <w:pPr>
        <w:jc w:val="center"/>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drawing>
          <wp:inline distT="0" distB="0" distL="114300" distR="114300">
            <wp:extent cx="5610860" cy="7934960"/>
            <wp:effectExtent l="0" t="0" r="8890" b="8890"/>
            <wp:docPr id="2" name="图片 2" descr="C:/Users/HP/Desktop/0520_政府采购项目进场交易见证报告_00.jpg0520_政府采购项目进场交易见证报告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HP/Desktop/0520_政府采购项目进场交易见证报告_00.jpg0520_政府采购项目进场交易见证报告_00"/>
                    <pic:cNvPicPr>
                      <a:picLocks noChangeAspect="1"/>
                    </pic:cNvPicPr>
                  </pic:nvPicPr>
                  <pic:blipFill>
                    <a:blip r:embed="rId13"/>
                    <a:srcRect l="4" r="4"/>
                    <a:stretch>
                      <a:fillRect/>
                    </a:stretch>
                  </pic:blipFill>
                  <pic:spPr>
                    <a:xfrm>
                      <a:off x="0" y="0"/>
                      <a:ext cx="5610860" cy="7934960"/>
                    </a:xfrm>
                    <a:prstGeom prst="rect">
                      <a:avLst/>
                    </a:prstGeom>
                  </pic:spPr>
                </pic:pic>
              </a:graphicData>
            </a:graphic>
          </wp:inline>
        </w:drawing>
      </w:r>
    </w:p>
    <w:p w14:paraId="412C996D">
      <w:pPr>
        <w:jc w:val="center"/>
        <w:rPr>
          <w:rFonts w:hint="default" w:ascii="Times New Roman" w:hAnsi="Times New Roman" w:eastAsia="黑体" w:cs="Times New Roman"/>
          <w:color w:val="auto"/>
          <w:sz w:val="32"/>
          <w:szCs w:val="32"/>
          <w:lang w:val="en-US" w:eastAsia="zh-CN"/>
        </w:rPr>
      </w:pPr>
    </w:p>
    <w:p w14:paraId="16B65DC1">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附件11</w:t>
      </w:r>
    </w:p>
    <w:p w14:paraId="7F3C4E4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color w:val="auto"/>
          <w:sz w:val="44"/>
          <w:szCs w:val="44"/>
          <w:lang w:val="en-US" w:eastAsia="zh-CN"/>
        </w:rPr>
      </w:pPr>
      <w:r>
        <w:rPr>
          <w:rFonts w:hint="default" w:ascii="Times New Roman" w:hAnsi="Times New Roman" w:eastAsia="方正小标宋简体" w:cs="Times New Roman"/>
          <w:color w:val="auto"/>
          <w:sz w:val="44"/>
          <w:szCs w:val="44"/>
          <w:lang w:val="en-US" w:eastAsia="zh-CN"/>
        </w:rPr>
        <w:t>进场交易项目档案调阅申请表</w:t>
      </w:r>
    </w:p>
    <w:p w14:paraId="22580B3A">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 w:cs="Times New Roman"/>
          <w:color w:val="auto"/>
          <w:sz w:val="32"/>
          <w:szCs w:val="32"/>
          <w:lang w:val="en-US" w:eastAsia="zh-CN"/>
        </w:rPr>
      </w:pPr>
      <w:r>
        <w:rPr>
          <w:rFonts w:hint="default" w:ascii="Times New Roman" w:hAnsi="Times New Roman" w:eastAsia="仿宋" w:cs="Times New Roman"/>
          <w:color w:val="auto"/>
          <w:sz w:val="32"/>
          <w:szCs w:val="32"/>
          <w:lang w:val="en-US" w:eastAsia="zh-CN"/>
        </w:rPr>
        <w:t>编号：</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8"/>
        <w:gridCol w:w="3807"/>
        <w:gridCol w:w="1374"/>
        <w:gridCol w:w="1892"/>
      </w:tblGrid>
      <w:tr w14:paraId="645DB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988" w:type="dxa"/>
            <w:vAlign w:val="center"/>
          </w:tcPr>
          <w:p w14:paraId="009A944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申请单位</w:t>
            </w:r>
          </w:p>
        </w:tc>
        <w:tc>
          <w:tcPr>
            <w:tcW w:w="3807" w:type="dxa"/>
            <w:vAlign w:val="center"/>
          </w:tcPr>
          <w:p w14:paraId="66C5225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374" w:type="dxa"/>
            <w:vAlign w:val="center"/>
          </w:tcPr>
          <w:p w14:paraId="06255E8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申请时间</w:t>
            </w:r>
          </w:p>
        </w:tc>
        <w:tc>
          <w:tcPr>
            <w:tcW w:w="1892" w:type="dxa"/>
            <w:vAlign w:val="center"/>
          </w:tcPr>
          <w:p w14:paraId="7D5DE25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11369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988" w:type="dxa"/>
            <w:vAlign w:val="center"/>
          </w:tcPr>
          <w:p w14:paraId="077105C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项目名称</w:t>
            </w:r>
          </w:p>
        </w:tc>
        <w:tc>
          <w:tcPr>
            <w:tcW w:w="3807" w:type="dxa"/>
            <w:vAlign w:val="center"/>
          </w:tcPr>
          <w:p w14:paraId="6DF8B07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374" w:type="dxa"/>
            <w:vAlign w:val="center"/>
          </w:tcPr>
          <w:p w14:paraId="1275104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项目</w:t>
            </w:r>
          </w:p>
          <w:p w14:paraId="2A01D4B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交易时间</w:t>
            </w:r>
          </w:p>
        </w:tc>
        <w:tc>
          <w:tcPr>
            <w:tcW w:w="1892" w:type="dxa"/>
            <w:vAlign w:val="center"/>
          </w:tcPr>
          <w:p w14:paraId="3B2052B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0F4EA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988" w:type="dxa"/>
            <w:vAlign w:val="center"/>
          </w:tcPr>
          <w:p w14:paraId="267E52D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申请人</w:t>
            </w:r>
          </w:p>
          <w:p w14:paraId="31BC6D2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证件号</w:t>
            </w:r>
          </w:p>
        </w:tc>
        <w:tc>
          <w:tcPr>
            <w:tcW w:w="3807" w:type="dxa"/>
            <w:vAlign w:val="center"/>
          </w:tcPr>
          <w:p w14:paraId="6FEFF29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374" w:type="dxa"/>
            <w:vAlign w:val="center"/>
          </w:tcPr>
          <w:p w14:paraId="0134357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申请人</w:t>
            </w:r>
          </w:p>
          <w:p w14:paraId="5D2C756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（签字）</w:t>
            </w:r>
          </w:p>
        </w:tc>
        <w:tc>
          <w:tcPr>
            <w:tcW w:w="1892" w:type="dxa"/>
            <w:vAlign w:val="center"/>
          </w:tcPr>
          <w:p w14:paraId="350AD38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1DFE2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988" w:type="dxa"/>
            <w:vAlign w:val="center"/>
          </w:tcPr>
          <w:p w14:paraId="0E1D1DE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申请资料</w:t>
            </w:r>
          </w:p>
        </w:tc>
        <w:tc>
          <w:tcPr>
            <w:tcW w:w="3807" w:type="dxa"/>
            <w:vAlign w:val="center"/>
          </w:tcPr>
          <w:p w14:paraId="29847C4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（材料可附后）</w:t>
            </w:r>
          </w:p>
        </w:tc>
        <w:tc>
          <w:tcPr>
            <w:tcW w:w="1374" w:type="dxa"/>
            <w:vAlign w:val="center"/>
          </w:tcPr>
          <w:p w14:paraId="10EEFEA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申请人</w:t>
            </w:r>
          </w:p>
          <w:p w14:paraId="0802705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联系电话</w:t>
            </w:r>
          </w:p>
        </w:tc>
        <w:tc>
          <w:tcPr>
            <w:tcW w:w="1892" w:type="dxa"/>
            <w:vAlign w:val="center"/>
          </w:tcPr>
          <w:p w14:paraId="3DB232F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35441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988" w:type="dxa"/>
            <w:vAlign w:val="center"/>
          </w:tcPr>
          <w:p w14:paraId="7501CCE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调阅类型</w:t>
            </w:r>
          </w:p>
        </w:tc>
        <w:tc>
          <w:tcPr>
            <w:tcW w:w="7073" w:type="dxa"/>
            <w:gridSpan w:val="3"/>
            <w:vAlign w:val="center"/>
          </w:tcPr>
          <w:p w14:paraId="5C2C91F8">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u w:val="single"/>
                <w:vertAlign w:val="baseline"/>
                <w:lang w:val="en-US" w:eastAsia="zh-CN"/>
              </w:rPr>
            </w:pPr>
            <w:r>
              <w:rPr>
                <w:rFonts w:hint="default" w:ascii="Times New Roman" w:hAnsi="Times New Roman" w:eastAsia="仿宋" w:cs="Times New Roman"/>
                <w:color w:val="auto"/>
                <w:sz w:val="24"/>
                <w:szCs w:val="24"/>
                <w:vertAlign w:val="baseline"/>
                <w:lang w:val="en-US" w:eastAsia="zh-CN"/>
              </w:rPr>
              <w:sym w:font="Wingdings" w:char="00A8"/>
            </w:r>
            <w:r>
              <w:rPr>
                <w:rFonts w:hint="default" w:ascii="Times New Roman" w:hAnsi="Times New Roman" w:eastAsia="仿宋" w:cs="Times New Roman"/>
                <w:color w:val="auto"/>
                <w:sz w:val="24"/>
                <w:szCs w:val="24"/>
                <w:vertAlign w:val="baseline"/>
                <w:lang w:val="en-US" w:eastAsia="zh-CN"/>
              </w:rPr>
              <w:t xml:space="preserve">查看      </w:t>
            </w:r>
            <w:r>
              <w:rPr>
                <w:rFonts w:hint="default" w:ascii="Times New Roman" w:hAnsi="Times New Roman" w:eastAsia="仿宋" w:cs="Times New Roman"/>
                <w:color w:val="auto"/>
                <w:sz w:val="24"/>
                <w:szCs w:val="24"/>
                <w:vertAlign w:val="baseline"/>
                <w:lang w:val="en-US" w:eastAsia="zh-CN"/>
              </w:rPr>
              <w:sym w:font="Wingdings" w:char="00A8"/>
            </w:r>
            <w:r>
              <w:rPr>
                <w:rFonts w:hint="default" w:ascii="Times New Roman" w:hAnsi="Times New Roman" w:eastAsia="仿宋" w:cs="Times New Roman"/>
                <w:color w:val="auto"/>
                <w:sz w:val="24"/>
                <w:szCs w:val="24"/>
                <w:vertAlign w:val="baseline"/>
                <w:lang w:val="en-US" w:eastAsia="zh-CN"/>
              </w:rPr>
              <w:t xml:space="preserve">拷贝      </w:t>
            </w:r>
            <w:r>
              <w:rPr>
                <w:rFonts w:hint="default" w:ascii="Times New Roman" w:hAnsi="Times New Roman" w:eastAsia="仿宋" w:cs="Times New Roman"/>
                <w:color w:val="auto"/>
                <w:sz w:val="24"/>
                <w:szCs w:val="24"/>
                <w:vertAlign w:val="baseline"/>
                <w:lang w:val="en-US" w:eastAsia="zh-CN"/>
              </w:rPr>
              <w:sym w:font="Wingdings" w:char="00A8"/>
            </w:r>
            <w:r>
              <w:rPr>
                <w:rFonts w:hint="default" w:ascii="Times New Roman" w:hAnsi="Times New Roman" w:eastAsia="仿宋" w:cs="Times New Roman"/>
                <w:color w:val="auto"/>
                <w:sz w:val="24"/>
                <w:szCs w:val="24"/>
                <w:vertAlign w:val="baseline"/>
                <w:lang w:val="en-US" w:eastAsia="zh-CN"/>
              </w:rPr>
              <w:t xml:space="preserve">复制     </w:t>
            </w:r>
            <w:r>
              <w:rPr>
                <w:rFonts w:hint="default" w:ascii="Times New Roman" w:hAnsi="Times New Roman" w:eastAsia="仿宋" w:cs="Times New Roman"/>
                <w:color w:val="auto"/>
                <w:sz w:val="24"/>
                <w:szCs w:val="24"/>
                <w:vertAlign w:val="baseline"/>
                <w:lang w:val="en-US" w:eastAsia="zh-CN"/>
              </w:rPr>
              <w:sym w:font="Wingdings" w:char="00A8"/>
            </w:r>
            <w:r>
              <w:rPr>
                <w:rFonts w:hint="default" w:ascii="Times New Roman" w:hAnsi="Times New Roman" w:eastAsia="仿宋" w:cs="Times New Roman"/>
                <w:color w:val="auto"/>
                <w:sz w:val="24"/>
                <w:szCs w:val="24"/>
                <w:vertAlign w:val="baseline"/>
                <w:lang w:val="en-US" w:eastAsia="zh-CN"/>
              </w:rPr>
              <w:t>其他</w:t>
            </w:r>
            <w:r>
              <w:rPr>
                <w:rFonts w:hint="default" w:ascii="Times New Roman" w:hAnsi="Times New Roman" w:eastAsia="仿宋" w:cs="Times New Roman"/>
                <w:color w:val="auto"/>
                <w:sz w:val="24"/>
                <w:szCs w:val="24"/>
                <w:u w:val="single"/>
                <w:vertAlign w:val="baseline"/>
                <w:lang w:val="en-US" w:eastAsia="zh-CN"/>
              </w:rPr>
              <w:t xml:space="preserve">               </w:t>
            </w:r>
          </w:p>
        </w:tc>
      </w:tr>
      <w:tr w14:paraId="05721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988" w:type="dxa"/>
            <w:vAlign w:val="center"/>
          </w:tcPr>
          <w:p w14:paraId="74D56B8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调阅原因</w:t>
            </w:r>
          </w:p>
        </w:tc>
        <w:tc>
          <w:tcPr>
            <w:tcW w:w="7073" w:type="dxa"/>
            <w:gridSpan w:val="3"/>
            <w:vAlign w:val="center"/>
          </w:tcPr>
          <w:p w14:paraId="2D82306E">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p>
        </w:tc>
      </w:tr>
      <w:tr w14:paraId="4FFD2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1988" w:type="dxa"/>
            <w:vAlign w:val="center"/>
          </w:tcPr>
          <w:p w14:paraId="7042F89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调阅内容</w:t>
            </w:r>
          </w:p>
        </w:tc>
        <w:tc>
          <w:tcPr>
            <w:tcW w:w="7073" w:type="dxa"/>
            <w:gridSpan w:val="3"/>
            <w:vAlign w:val="center"/>
          </w:tcPr>
          <w:p w14:paraId="634AC2AD">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p>
        </w:tc>
      </w:tr>
      <w:tr w14:paraId="1CA60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988" w:type="dxa"/>
            <w:vAlign w:val="center"/>
          </w:tcPr>
          <w:p w14:paraId="66DA572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现场监督处</w:t>
            </w:r>
          </w:p>
          <w:p w14:paraId="1E90673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经办人</w:t>
            </w:r>
          </w:p>
        </w:tc>
        <w:tc>
          <w:tcPr>
            <w:tcW w:w="7073" w:type="dxa"/>
            <w:gridSpan w:val="3"/>
            <w:vAlign w:val="center"/>
          </w:tcPr>
          <w:p w14:paraId="08B71FC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1FC3C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988" w:type="dxa"/>
            <w:vAlign w:val="center"/>
          </w:tcPr>
          <w:p w14:paraId="0C2810F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现场监督处</w:t>
            </w:r>
          </w:p>
          <w:p w14:paraId="7034031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分管领导意见</w:t>
            </w:r>
          </w:p>
        </w:tc>
        <w:tc>
          <w:tcPr>
            <w:tcW w:w="7073" w:type="dxa"/>
            <w:gridSpan w:val="3"/>
            <w:vAlign w:val="center"/>
          </w:tcPr>
          <w:p w14:paraId="03F6DB8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2514A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988" w:type="dxa"/>
            <w:vAlign w:val="center"/>
          </w:tcPr>
          <w:p w14:paraId="4396B07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现场监督处</w:t>
            </w:r>
          </w:p>
          <w:p w14:paraId="71559E6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负责人意见</w:t>
            </w:r>
          </w:p>
        </w:tc>
        <w:tc>
          <w:tcPr>
            <w:tcW w:w="7073" w:type="dxa"/>
            <w:gridSpan w:val="3"/>
            <w:vAlign w:val="center"/>
          </w:tcPr>
          <w:p w14:paraId="5B9C86F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5527B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trPr>
        <w:tc>
          <w:tcPr>
            <w:tcW w:w="1988" w:type="dxa"/>
            <w:vAlign w:val="center"/>
          </w:tcPr>
          <w:p w14:paraId="0F8E2CA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中心分管</w:t>
            </w:r>
          </w:p>
          <w:p w14:paraId="59715BA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领导意见</w:t>
            </w:r>
          </w:p>
        </w:tc>
        <w:tc>
          <w:tcPr>
            <w:tcW w:w="7073" w:type="dxa"/>
            <w:gridSpan w:val="3"/>
            <w:vAlign w:val="center"/>
          </w:tcPr>
          <w:p w14:paraId="03F2EC7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480E0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988" w:type="dxa"/>
            <w:vAlign w:val="center"/>
          </w:tcPr>
          <w:p w14:paraId="2F46ADD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eastAsia" w:ascii="Times New Roman" w:hAnsi="Times New Roman" w:eastAsia="仿宋" w:cs="Times New Roman"/>
                <w:color w:val="auto"/>
                <w:sz w:val="24"/>
                <w:szCs w:val="24"/>
                <w:vertAlign w:val="baseline"/>
                <w:lang w:val="en-US" w:eastAsia="zh-CN"/>
              </w:rPr>
              <w:t>调阅</w:t>
            </w:r>
            <w:r>
              <w:rPr>
                <w:rFonts w:hint="default" w:ascii="Times New Roman" w:hAnsi="Times New Roman" w:eastAsia="仿宋" w:cs="Times New Roman"/>
                <w:color w:val="auto"/>
                <w:sz w:val="24"/>
                <w:szCs w:val="24"/>
                <w:vertAlign w:val="baseline"/>
                <w:lang w:val="en-US" w:eastAsia="zh-CN"/>
              </w:rPr>
              <w:t>处室</w:t>
            </w:r>
          </w:p>
        </w:tc>
        <w:tc>
          <w:tcPr>
            <w:tcW w:w="3807" w:type="dxa"/>
            <w:vAlign w:val="center"/>
          </w:tcPr>
          <w:p w14:paraId="7918556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374" w:type="dxa"/>
            <w:vAlign w:val="center"/>
          </w:tcPr>
          <w:p w14:paraId="222F712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经办人</w:t>
            </w:r>
          </w:p>
        </w:tc>
        <w:tc>
          <w:tcPr>
            <w:tcW w:w="1892" w:type="dxa"/>
            <w:vAlign w:val="center"/>
          </w:tcPr>
          <w:p w14:paraId="734F5FE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55CC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1988" w:type="dxa"/>
            <w:vAlign w:val="center"/>
          </w:tcPr>
          <w:p w14:paraId="7A78092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eastAsia" w:ascii="Times New Roman" w:hAnsi="Times New Roman" w:eastAsia="仿宋" w:cs="Times New Roman"/>
                <w:color w:val="auto"/>
                <w:sz w:val="24"/>
                <w:szCs w:val="24"/>
                <w:vertAlign w:val="baseline"/>
                <w:lang w:val="en-US" w:eastAsia="zh-CN"/>
              </w:rPr>
              <w:t>调阅</w:t>
            </w:r>
            <w:r>
              <w:rPr>
                <w:rFonts w:hint="default" w:ascii="Times New Roman" w:hAnsi="Times New Roman" w:eastAsia="仿宋" w:cs="Times New Roman"/>
                <w:color w:val="auto"/>
                <w:sz w:val="24"/>
                <w:szCs w:val="24"/>
                <w:vertAlign w:val="baseline"/>
                <w:lang w:val="en-US" w:eastAsia="zh-CN"/>
              </w:rPr>
              <w:t>处室</w:t>
            </w:r>
          </w:p>
          <w:p w14:paraId="2178205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eastAsia" w:ascii="Times New Roman" w:hAnsi="Times New Roman" w:eastAsia="仿宋" w:cs="Times New Roman"/>
                <w:color w:val="auto"/>
                <w:sz w:val="24"/>
                <w:szCs w:val="24"/>
                <w:vertAlign w:val="baseline"/>
                <w:lang w:val="en-US" w:eastAsia="zh-CN"/>
              </w:rPr>
              <w:t>领导</w:t>
            </w:r>
            <w:r>
              <w:rPr>
                <w:rFonts w:hint="default" w:ascii="Times New Roman" w:hAnsi="Times New Roman" w:eastAsia="仿宋" w:cs="Times New Roman"/>
                <w:color w:val="auto"/>
                <w:sz w:val="24"/>
                <w:szCs w:val="24"/>
                <w:vertAlign w:val="baseline"/>
                <w:lang w:val="en-US" w:eastAsia="zh-CN"/>
              </w:rPr>
              <w:t>意见</w:t>
            </w:r>
          </w:p>
        </w:tc>
        <w:tc>
          <w:tcPr>
            <w:tcW w:w="7073" w:type="dxa"/>
            <w:gridSpan w:val="3"/>
            <w:vAlign w:val="center"/>
          </w:tcPr>
          <w:p w14:paraId="0E8F4D3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bl>
    <w:p w14:paraId="4FBA2FF0">
      <w:pPr>
        <w:keepNext w:val="0"/>
        <w:keepLines w:val="0"/>
        <w:pageBreakBefore w:val="0"/>
        <w:widowControl w:val="0"/>
        <w:kinsoku/>
        <w:wordWrap/>
        <w:overflowPunct/>
        <w:topLinePunct w:val="0"/>
        <w:autoSpaceDE/>
        <w:autoSpaceDN/>
        <w:bidi w:val="0"/>
        <w:adjustRightInd/>
        <w:snapToGrid/>
        <w:spacing w:line="480" w:lineRule="exact"/>
        <w:ind w:left="900" w:hanging="900" w:hangingChars="3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注：1.</w:t>
      </w:r>
      <w:r>
        <w:rPr>
          <w:rFonts w:hint="eastAsia" w:ascii="Times New Roman" w:hAnsi="Times New Roman" w:eastAsia="仿宋" w:cs="Times New Roman"/>
          <w:color w:val="auto"/>
          <w:sz w:val="30"/>
          <w:szCs w:val="30"/>
          <w:lang w:val="en-US" w:eastAsia="zh-CN"/>
        </w:rPr>
        <w:t>档案调阅范围含</w:t>
      </w:r>
      <w:r>
        <w:rPr>
          <w:rFonts w:hint="default" w:ascii="Times New Roman" w:hAnsi="Times New Roman" w:eastAsia="仿宋" w:cs="Times New Roman"/>
          <w:color w:val="auto"/>
          <w:sz w:val="30"/>
          <w:szCs w:val="30"/>
          <w:lang w:val="en-US" w:eastAsia="zh-CN"/>
        </w:rPr>
        <w:t>受理、开标（拍卖、竞价）</w:t>
      </w:r>
      <w:r>
        <w:rPr>
          <w:rFonts w:hint="eastAsia" w:ascii="Times New Roman" w:hAnsi="Times New Roman" w:eastAsia="仿宋" w:cs="Times New Roman"/>
          <w:color w:val="auto"/>
          <w:sz w:val="30"/>
          <w:szCs w:val="30"/>
          <w:lang w:val="en-US" w:eastAsia="zh-CN"/>
        </w:rPr>
        <w:t>、</w:t>
      </w:r>
      <w:r>
        <w:rPr>
          <w:rFonts w:hint="default" w:ascii="Times New Roman" w:hAnsi="Times New Roman" w:eastAsia="仿宋" w:cs="Times New Roman"/>
          <w:color w:val="auto"/>
          <w:sz w:val="30"/>
          <w:szCs w:val="30"/>
          <w:lang w:val="en-US" w:eastAsia="zh-CN"/>
        </w:rPr>
        <w:t>评标（审）、信息</w:t>
      </w:r>
      <w:r>
        <w:rPr>
          <w:rFonts w:hint="eastAsia" w:ascii="Times New Roman" w:hAnsi="Times New Roman" w:eastAsia="仿宋" w:cs="Times New Roman"/>
          <w:color w:val="auto"/>
          <w:sz w:val="30"/>
          <w:szCs w:val="30"/>
          <w:lang w:val="en-US" w:eastAsia="zh-CN"/>
        </w:rPr>
        <w:t>技术</w:t>
      </w:r>
      <w:r>
        <w:rPr>
          <w:rFonts w:hint="default" w:ascii="Times New Roman" w:hAnsi="Times New Roman" w:eastAsia="仿宋" w:cs="Times New Roman"/>
          <w:color w:val="auto"/>
          <w:sz w:val="30"/>
          <w:szCs w:val="30"/>
          <w:lang w:val="en-US" w:eastAsia="zh-CN"/>
        </w:rPr>
        <w:t>等</w:t>
      </w:r>
      <w:r>
        <w:rPr>
          <w:rFonts w:hint="eastAsia" w:ascii="Times New Roman" w:hAnsi="Times New Roman" w:eastAsia="仿宋" w:cs="Times New Roman"/>
          <w:color w:val="auto"/>
          <w:sz w:val="30"/>
          <w:szCs w:val="30"/>
          <w:lang w:val="en-US" w:eastAsia="zh-CN"/>
        </w:rPr>
        <w:t>业务流程，</w:t>
      </w:r>
      <w:r>
        <w:rPr>
          <w:rFonts w:hint="default" w:ascii="Times New Roman" w:hAnsi="Times New Roman" w:eastAsia="仿宋" w:cs="Times New Roman"/>
          <w:color w:val="auto"/>
          <w:sz w:val="30"/>
          <w:szCs w:val="30"/>
          <w:lang w:val="en-US" w:eastAsia="zh-CN"/>
        </w:rPr>
        <w:t>相关</w:t>
      </w:r>
      <w:r>
        <w:rPr>
          <w:rFonts w:hint="eastAsia" w:ascii="Times New Roman" w:hAnsi="Times New Roman" w:eastAsia="仿宋" w:cs="Times New Roman"/>
          <w:color w:val="auto"/>
          <w:sz w:val="30"/>
          <w:szCs w:val="30"/>
          <w:lang w:val="en-US" w:eastAsia="zh-CN"/>
        </w:rPr>
        <w:t>业务</w:t>
      </w:r>
      <w:r>
        <w:rPr>
          <w:rFonts w:hint="default" w:ascii="Times New Roman" w:hAnsi="Times New Roman" w:eastAsia="仿宋" w:cs="Times New Roman"/>
          <w:color w:val="auto"/>
          <w:sz w:val="30"/>
          <w:szCs w:val="30"/>
          <w:lang w:val="en-US" w:eastAsia="zh-CN"/>
        </w:rPr>
        <w:t>处室</w:t>
      </w:r>
      <w:r>
        <w:rPr>
          <w:rFonts w:hint="eastAsia" w:ascii="Times New Roman" w:hAnsi="Times New Roman" w:eastAsia="仿宋" w:cs="Times New Roman"/>
          <w:color w:val="auto"/>
          <w:sz w:val="30"/>
          <w:szCs w:val="30"/>
          <w:lang w:val="en-US" w:eastAsia="zh-CN"/>
        </w:rPr>
        <w:t>配合；</w:t>
      </w:r>
    </w:p>
    <w:p w14:paraId="1E5F9D79">
      <w:pPr>
        <w:keepNext w:val="0"/>
        <w:keepLines w:val="0"/>
        <w:pageBreakBefore w:val="0"/>
        <w:widowControl w:val="0"/>
        <w:kinsoku/>
        <w:wordWrap/>
        <w:overflowPunct/>
        <w:topLinePunct w:val="0"/>
        <w:autoSpaceDE/>
        <w:autoSpaceDN/>
        <w:bidi w:val="0"/>
        <w:adjustRightInd/>
        <w:snapToGrid/>
        <w:spacing w:line="480" w:lineRule="exact"/>
        <w:ind w:firstLine="600" w:firstLineChars="200"/>
        <w:jc w:val="both"/>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仿宋" w:cs="Times New Roman"/>
          <w:color w:val="auto"/>
          <w:sz w:val="30"/>
          <w:szCs w:val="30"/>
          <w:lang w:val="en-US" w:eastAsia="zh-CN"/>
        </w:rPr>
        <w:t>2.流程结束后，</w:t>
      </w:r>
      <w:r>
        <w:rPr>
          <w:rFonts w:hint="eastAsia" w:ascii="Times New Roman" w:hAnsi="Times New Roman" w:eastAsia="仿宋" w:cs="Times New Roman"/>
          <w:color w:val="auto"/>
          <w:sz w:val="30"/>
          <w:szCs w:val="30"/>
          <w:lang w:val="en-US" w:eastAsia="zh-CN"/>
        </w:rPr>
        <w:t>调阅</w:t>
      </w:r>
      <w:r>
        <w:rPr>
          <w:rFonts w:hint="default" w:ascii="Times New Roman" w:hAnsi="Times New Roman" w:eastAsia="仿宋" w:cs="Times New Roman"/>
          <w:color w:val="auto"/>
          <w:sz w:val="30"/>
          <w:szCs w:val="30"/>
          <w:lang w:val="en-US" w:eastAsia="zh-CN"/>
        </w:rPr>
        <w:t>处室留存表格原件，经办处室留存复印件。</w:t>
      </w:r>
    </w:p>
    <w:p w14:paraId="2ED4F3CD">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附件12</w:t>
      </w:r>
    </w:p>
    <w:p w14:paraId="39604F64">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方正小标宋简体" w:cs="Times New Roman"/>
          <w:color w:val="auto"/>
          <w:sz w:val="44"/>
          <w:szCs w:val="44"/>
          <w:lang w:val="en-US" w:eastAsia="zh-CN"/>
        </w:rPr>
      </w:pPr>
      <w:r>
        <w:rPr>
          <w:rFonts w:hint="default" w:ascii="Times New Roman" w:hAnsi="Times New Roman" w:eastAsia="方正小标宋简体" w:cs="Times New Roman"/>
          <w:color w:val="auto"/>
          <w:sz w:val="44"/>
          <w:szCs w:val="44"/>
          <w:lang w:val="en-US" w:eastAsia="zh-CN"/>
        </w:rPr>
        <w:t>进场交易项目异常情况见证处理内部流转表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0"/>
        <w:gridCol w:w="2143"/>
        <w:gridCol w:w="2253"/>
        <w:gridCol w:w="1812"/>
        <w:gridCol w:w="1813"/>
      </w:tblGrid>
      <w:tr w14:paraId="1AC6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40" w:type="dxa"/>
            <w:vMerge w:val="restart"/>
            <w:vAlign w:val="center"/>
          </w:tcPr>
          <w:p w14:paraId="14F0512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项目</w:t>
            </w:r>
          </w:p>
          <w:p w14:paraId="0AB7EBB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基本</w:t>
            </w:r>
          </w:p>
          <w:p w14:paraId="46956AF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信息</w:t>
            </w:r>
          </w:p>
        </w:tc>
        <w:tc>
          <w:tcPr>
            <w:tcW w:w="2143" w:type="dxa"/>
            <w:vAlign w:val="center"/>
          </w:tcPr>
          <w:p w14:paraId="2841108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项目名称</w:t>
            </w:r>
          </w:p>
        </w:tc>
        <w:tc>
          <w:tcPr>
            <w:tcW w:w="5878" w:type="dxa"/>
            <w:gridSpan w:val="3"/>
            <w:vAlign w:val="center"/>
          </w:tcPr>
          <w:p w14:paraId="5555EEC9">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p>
        </w:tc>
      </w:tr>
      <w:tr w14:paraId="41BBD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40" w:type="dxa"/>
            <w:vMerge w:val="continue"/>
            <w:vAlign w:val="center"/>
          </w:tcPr>
          <w:p w14:paraId="426C1CD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02AC7AD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项目编号</w:t>
            </w:r>
          </w:p>
        </w:tc>
        <w:tc>
          <w:tcPr>
            <w:tcW w:w="5878" w:type="dxa"/>
            <w:gridSpan w:val="3"/>
            <w:vAlign w:val="center"/>
          </w:tcPr>
          <w:p w14:paraId="291A3529">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p>
        </w:tc>
      </w:tr>
      <w:tr w14:paraId="495E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0" w:type="dxa"/>
            <w:vMerge w:val="continue"/>
            <w:vAlign w:val="center"/>
          </w:tcPr>
          <w:p w14:paraId="0BEECE6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775153B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招标</w:t>
            </w:r>
          </w:p>
          <w:p w14:paraId="6CE6736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（采购）人</w:t>
            </w:r>
          </w:p>
        </w:tc>
        <w:tc>
          <w:tcPr>
            <w:tcW w:w="5878" w:type="dxa"/>
            <w:gridSpan w:val="3"/>
            <w:vAlign w:val="center"/>
          </w:tcPr>
          <w:p w14:paraId="6C73CF12">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p>
        </w:tc>
      </w:tr>
      <w:tr w14:paraId="6CE05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40" w:type="dxa"/>
            <w:vMerge w:val="continue"/>
            <w:vAlign w:val="center"/>
          </w:tcPr>
          <w:p w14:paraId="2564C2C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75B3CFD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代理机构</w:t>
            </w:r>
          </w:p>
        </w:tc>
        <w:tc>
          <w:tcPr>
            <w:tcW w:w="5878" w:type="dxa"/>
            <w:gridSpan w:val="3"/>
            <w:vAlign w:val="center"/>
          </w:tcPr>
          <w:p w14:paraId="604FC249">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p>
        </w:tc>
      </w:tr>
      <w:tr w14:paraId="1481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040" w:type="dxa"/>
            <w:vMerge w:val="continue"/>
            <w:vAlign w:val="center"/>
          </w:tcPr>
          <w:p w14:paraId="6428E9B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71184BC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行政监督部门</w:t>
            </w:r>
          </w:p>
        </w:tc>
        <w:tc>
          <w:tcPr>
            <w:tcW w:w="5878" w:type="dxa"/>
            <w:gridSpan w:val="3"/>
            <w:vAlign w:val="center"/>
          </w:tcPr>
          <w:p w14:paraId="082BC37B">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p>
        </w:tc>
      </w:tr>
      <w:tr w14:paraId="7A147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0" w:type="dxa"/>
            <w:vMerge w:val="continue"/>
            <w:vAlign w:val="center"/>
          </w:tcPr>
          <w:p w14:paraId="64262F5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1C94035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投资（预算）</w:t>
            </w:r>
          </w:p>
          <w:p w14:paraId="6870443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金额</w:t>
            </w:r>
          </w:p>
        </w:tc>
        <w:tc>
          <w:tcPr>
            <w:tcW w:w="2253" w:type="dxa"/>
            <w:vAlign w:val="center"/>
          </w:tcPr>
          <w:p w14:paraId="0686332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812" w:type="dxa"/>
            <w:vAlign w:val="center"/>
          </w:tcPr>
          <w:p w14:paraId="473845B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招标（采购）</w:t>
            </w:r>
          </w:p>
          <w:p w14:paraId="5684530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方式</w:t>
            </w:r>
          </w:p>
        </w:tc>
        <w:tc>
          <w:tcPr>
            <w:tcW w:w="1813" w:type="dxa"/>
            <w:vAlign w:val="center"/>
          </w:tcPr>
          <w:p w14:paraId="1B9496B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5934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040" w:type="dxa"/>
            <w:vMerge w:val="continue"/>
            <w:vAlign w:val="center"/>
          </w:tcPr>
          <w:p w14:paraId="47BD2E1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2445481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开标起止时间</w:t>
            </w:r>
          </w:p>
        </w:tc>
        <w:tc>
          <w:tcPr>
            <w:tcW w:w="2253" w:type="dxa"/>
            <w:vAlign w:val="center"/>
          </w:tcPr>
          <w:p w14:paraId="56B98D7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812" w:type="dxa"/>
            <w:vAlign w:val="center"/>
          </w:tcPr>
          <w:p w14:paraId="29939F1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开标室</w:t>
            </w:r>
          </w:p>
        </w:tc>
        <w:tc>
          <w:tcPr>
            <w:tcW w:w="1813" w:type="dxa"/>
            <w:vAlign w:val="center"/>
          </w:tcPr>
          <w:p w14:paraId="1A807E4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0C719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040" w:type="dxa"/>
            <w:vMerge w:val="continue"/>
            <w:vAlign w:val="center"/>
          </w:tcPr>
          <w:p w14:paraId="149000E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727552A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评标起止时间</w:t>
            </w:r>
          </w:p>
        </w:tc>
        <w:tc>
          <w:tcPr>
            <w:tcW w:w="2253" w:type="dxa"/>
            <w:vAlign w:val="center"/>
          </w:tcPr>
          <w:p w14:paraId="63AE9F4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812" w:type="dxa"/>
            <w:vAlign w:val="center"/>
          </w:tcPr>
          <w:p w14:paraId="2000467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评标室</w:t>
            </w:r>
          </w:p>
        </w:tc>
        <w:tc>
          <w:tcPr>
            <w:tcW w:w="1813" w:type="dxa"/>
            <w:vAlign w:val="center"/>
          </w:tcPr>
          <w:p w14:paraId="475F092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15081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040" w:type="dxa"/>
            <w:vMerge w:val="restart"/>
            <w:vAlign w:val="center"/>
          </w:tcPr>
          <w:p w14:paraId="5048271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见证</w:t>
            </w:r>
          </w:p>
          <w:p w14:paraId="609CC7F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情况</w:t>
            </w:r>
          </w:p>
        </w:tc>
        <w:tc>
          <w:tcPr>
            <w:tcW w:w="2143" w:type="dxa"/>
            <w:vAlign w:val="center"/>
          </w:tcPr>
          <w:p w14:paraId="6EA6BAB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见证处室</w:t>
            </w:r>
          </w:p>
        </w:tc>
        <w:tc>
          <w:tcPr>
            <w:tcW w:w="2253" w:type="dxa"/>
            <w:vAlign w:val="center"/>
          </w:tcPr>
          <w:p w14:paraId="300C13F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812" w:type="dxa"/>
            <w:vAlign w:val="center"/>
          </w:tcPr>
          <w:p w14:paraId="57E1A6F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eastAsia" w:ascii="Times New Roman" w:hAnsi="Times New Roman" w:eastAsia="仿宋" w:cs="Times New Roman"/>
                <w:color w:val="auto"/>
                <w:sz w:val="24"/>
                <w:szCs w:val="24"/>
                <w:vertAlign w:val="baseline"/>
                <w:lang w:val="en-US" w:eastAsia="zh-CN"/>
              </w:rPr>
              <w:t>见证工作人员</w:t>
            </w:r>
          </w:p>
        </w:tc>
        <w:tc>
          <w:tcPr>
            <w:tcW w:w="1813" w:type="dxa"/>
            <w:vAlign w:val="center"/>
          </w:tcPr>
          <w:p w14:paraId="7BCF456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42102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040" w:type="dxa"/>
            <w:vMerge w:val="continue"/>
            <w:vAlign w:val="center"/>
          </w:tcPr>
          <w:p w14:paraId="14EC1CA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57884F1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异常行为情况</w:t>
            </w:r>
          </w:p>
          <w:p w14:paraId="08BF4A6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（简要说明）</w:t>
            </w:r>
          </w:p>
        </w:tc>
        <w:tc>
          <w:tcPr>
            <w:tcW w:w="5878" w:type="dxa"/>
            <w:gridSpan w:val="3"/>
            <w:vAlign w:val="center"/>
          </w:tcPr>
          <w:p w14:paraId="591843FF">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p>
        </w:tc>
      </w:tr>
      <w:tr w14:paraId="32E03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1040" w:type="dxa"/>
            <w:vMerge w:val="continue"/>
            <w:vAlign w:val="center"/>
          </w:tcPr>
          <w:p w14:paraId="498E463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66EDFEE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依据</w:t>
            </w:r>
          </w:p>
          <w:p w14:paraId="1A9038D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（有材料可附后）</w:t>
            </w:r>
          </w:p>
        </w:tc>
        <w:tc>
          <w:tcPr>
            <w:tcW w:w="5878" w:type="dxa"/>
            <w:gridSpan w:val="3"/>
            <w:vAlign w:val="center"/>
          </w:tcPr>
          <w:p w14:paraId="7EA1C74D">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p>
        </w:tc>
      </w:tr>
      <w:tr w14:paraId="6A0C4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1040" w:type="dxa"/>
            <w:vMerge w:val="continue"/>
            <w:vAlign w:val="center"/>
          </w:tcPr>
          <w:p w14:paraId="0B3DF8B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6AF46BE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处室领导意见</w:t>
            </w:r>
          </w:p>
          <w:p w14:paraId="13ABC78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878" w:type="dxa"/>
            <w:gridSpan w:val="3"/>
            <w:vAlign w:val="center"/>
          </w:tcPr>
          <w:p w14:paraId="04DC6531">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p>
        </w:tc>
      </w:tr>
      <w:tr w14:paraId="297A0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040" w:type="dxa"/>
            <w:vMerge w:val="restart"/>
            <w:vAlign w:val="center"/>
          </w:tcPr>
          <w:p w14:paraId="564A9DD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流转</w:t>
            </w:r>
          </w:p>
          <w:p w14:paraId="093C905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处理</w:t>
            </w:r>
          </w:p>
          <w:p w14:paraId="67BEF20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情况</w:t>
            </w:r>
          </w:p>
        </w:tc>
        <w:tc>
          <w:tcPr>
            <w:tcW w:w="2143" w:type="dxa"/>
            <w:vAlign w:val="center"/>
          </w:tcPr>
          <w:p w14:paraId="4FD7223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接收处室</w:t>
            </w:r>
          </w:p>
        </w:tc>
        <w:tc>
          <w:tcPr>
            <w:tcW w:w="2253" w:type="dxa"/>
            <w:vAlign w:val="center"/>
          </w:tcPr>
          <w:p w14:paraId="49B8E0A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812" w:type="dxa"/>
            <w:vAlign w:val="center"/>
          </w:tcPr>
          <w:p w14:paraId="63B537C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接收人</w:t>
            </w:r>
          </w:p>
        </w:tc>
        <w:tc>
          <w:tcPr>
            <w:tcW w:w="1813" w:type="dxa"/>
            <w:vAlign w:val="center"/>
          </w:tcPr>
          <w:p w14:paraId="67CAA61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69216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1040" w:type="dxa"/>
            <w:vMerge w:val="continue"/>
            <w:vAlign w:val="center"/>
          </w:tcPr>
          <w:p w14:paraId="0AEFE4D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4B537EB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处室领导意见</w:t>
            </w:r>
          </w:p>
          <w:p w14:paraId="10A9B33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5878" w:type="dxa"/>
            <w:gridSpan w:val="3"/>
            <w:vAlign w:val="center"/>
          </w:tcPr>
          <w:p w14:paraId="323531A9">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p>
        </w:tc>
      </w:tr>
      <w:tr w14:paraId="20F1A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trPr>
        <w:tc>
          <w:tcPr>
            <w:tcW w:w="1040" w:type="dxa"/>
            <w:vAlign w:val="center"/>
          </w:tcPr>
          <w:p w14:paraId="1FBA650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中心</w:t>
            </w:r>
          </w:p>
          <w:p w14:paraId="344255C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领导</w:t>
            </w:r>
          </w:p>
          <w:p w14:paraId="52E783C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意见</w:t>
            </w:r>
          </w:p>
        </w:tc>
        <w:tc>
          <w:tcPr>
            <w:tcW w:w="8021" w:type="dxa"/>
            <w:gridSpan w:val="4"/>
            <w:vAlign w:val="center"/>
          </w:tcPr>
          <w:p w14:paraId="4F6922A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712FB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0" w:type="dxa"/>
            <w:vAlign w:val="center"/>
          </w:tcPr>
          <w:p w14:paraId="63E1C40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备注</w:t>
            </w:r>
          </w:p>
        </w:tc>
        <w:tc>
          <w:tcPr>
            <w:tcW w:w="8021" w:type="dxa"/>
            <w:gridSpan w:val="4"/>
            <w:vAlign w:val="center"/>
          </w:tcPr>
          <w:p w14:paraId="06882028">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（有材料可附后）</w:t>
            </w:r>
          </w:p>
        </w:tc>
      </w:tr>
    </w:tbl>
    <w:p w14:paraId="2C67E646">
      <w:pPr>
        <w:keepNext w:val="0"/>
        <w:keepLines w:val="0"/>
        <w:pageBreakBefore w:val="0"/>
        <w:widowControl w:val="0"/>
        <w:kinsoku/>
        <w:wordWrap/>
        <w:overflowPunct/>
        <w:topLinePunct w:val="0"/>
        <w:autoSpaceDE/>
        <w:autoSpaceDN/>
        <w:bidi w:val="0"/>
        <w:adjustRightInd/>
        <w:snapToGrid/>
        <w:spacing w:line="480" w:lineRule="exact"/>
        <w:ind w:left="0" w:hanging="600" w:hanging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注：1.此表适用于受理、开评标各环节，以及各方交易主体异常情况；2.流程结束后，接收处室留存表格原件，见证处室留存复印件。</w:t>
      </w:r>
    </w:p>
    <w:p w14:paraId="211E2F58">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附件13</w:t>
      </w:r>
    </w:p>
    <w:p w14:paraId="70820AA0">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方正小标宋简体" w:cs="Times New Roman"/>
          <w:color w:val="auto"/>
          <w:sz w:val="44"/>
          <w:szCs w:val="44"/>
          <w:lang w:val="en-US" w:eastAsia="zh-CN"/>
        </w:rPr>
      </w:pPr>
      <w:r>
        <w:rPr>
          <w:rFonts w:hint="default" w:ascii="Times New Roman" w:hAnsi="Times New Roman" w:eastAsia="方正小标宋简体" w:cs="Times New Roman"/>
          <w:color w:val="auto"/>
          <w:sz w:val="44"/>
          <w:szCs w:val="44"/>
          <w:lang w:val="en-US" w:eastAsia="zh-CN"/>
        </w:rPr>
        <w:t>代理机构不良行为现场见证移送表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0"/>
        <w:gridCol w:w="2143"/>
        <w:gridCol w:w="2253"/>
        <w:gridCol w:w="1812"/>
        <w:gridCol w:w="1813"/>
      </w:tblGrid>
      <w:tr w14:paraId="67D3F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040" w:type="dxa"/>
            <w:vMerge w:val="restart"/>
            <w:vAlign w:val="center"/>
          </w:tcPr>
          <w:p w14:paraId="21FB8F7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基本</w:t>
            </w:r>
          </w:p>
          <w:p w14:paraId="3B88F6B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信息</w:t>
            </w:r>
          </w:p>
        </w:tc>
        <w:tc>
          <w:tcPr>
            <w:tcW w:w="2143" w:type="dxa"/>
            <w:vAlign w:val="center"/>
          </w:tcPr>
          <w:p w14:paraId="46C42E7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单位名称</w:t>
            </w:r>
          </w:p>
        </w:tc>
        <w:tc>
          <w:tcPr>
            <w:tcW w:w="5878" w:type="dxa"/>
            <w:gridSpan w:val="3"/>
            <w:vAlign w:val="center"/>
          </w:tcPr>
          <w:p w14:paraId="21932EC6">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p>
        </w:tc>
      </w:tr>
      <w:tr w14:paraId="56EEC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040" w:type="dxa"/>
            <w:vMerge w:val="continue"/>
            <w:vAlign w:val="center"/>
          </w:tcPr>
          <w:p w14:paraId="674D7A6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1D962A8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统一社会</w:t>
            </w:r>
          </w:p>
          <w:p w14:paraId="3F5B1BD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信用代码</w:t>
            </w:r>
          </w:p>
        </w:tc>
        <w:tc>
          <w:tcPr>
            <w:tcW w:w="5878" w:type="dxa"/>
            <w:gridSpan w:val="3"/>
            <w:vAlign w:val="center"/>
          </w:tcPr>
          <w:p w14:paraId="131A5519">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p>
        </w:tc>
      </w:tr>
      <w:tr w14:paraId="1C1F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040" w:type="dxa"/>
            <w:vMerge w:val="continue"/>
            <w:vAlign w:val="center"/>
          </w:tcPr>
          <w:p w14:paraId="2166AAD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26AD673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代理项目名称</w:t>
            </w:r>
          </w:p>
        </w:tc>
        <w:tc>
          <w:tcPr>
            <w:tcW w:w="5878" w:type="dxa"/>
            <w:gridSpan w:val="3"/>
            <w:vAlign w:val="center"/>
          </w:tcPr>
          <w:p w14:paraId="1718A052">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p>
        </w:tc>
      </w:tr>
      <w:tr w14:paraId="63278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040" w:type="dxa"/>
            <w:vMerge w:val="continue"/>
            <w:vAlign w:val="center"/>
          </w:tcPr>
          <w:p w14:paraId="5E97168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1E6DF4B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项目编号</w:t>
            </w:r>
          </w:p>
        </w:tc>
        <w:tc>
          <w:tcPr>
            <w:tcW w:w="5878" w:type="dxa"/>
            <w:gridSpan w:val="3"/>
            <w:vAlign w:val="center"/>
          </w:tcPr>
          <w:p w14:paraId="3B334A55">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p>
        </w:tc>
      </w:tr>
      <w:tr w14:paraId="6DFB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040" w:type="dxa"/>
            <w:vMerge w:val="continue"/>
            <w:vAlign w:val="center"/>
          </w:tcPr>
          <w:p w14:paraId="5D28CC0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7F2B5C1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开标起止时间</w:t>
            </w:r>
          </w:p>
        </w:tc>
        <w:tc>
          <w:tcPr>
            <w:tcW w:w="2253" w:type="dxa"/>
            <w:vAlign w:val="center"/>
          </w:tcPr>
          <w:p w14:paraId="6BF430A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812" w:type="dxa"/>
            <w:vAlign w:val="center"/>
          </w:tcPr>
          <w:p w14:paraId="295FC18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开标室</w:t>
            </w:r>
          </w:p>
        </w:tc>
        <w:tc>
          <w:tcPr>
            <w:tcW w:w="1813" w:type="dxa"/>
            <w:vAlign w:val="center"/>
          </w:tcPr>
          <w:p w14:paraId="2117813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5230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040" w:type="dxa"/>
            <w:vMerge w:val="continue"/>
            <w:vAlign w:val="center"/>
          </w:tcPr>
          <w:p w14:paraId="2175064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419C58B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评标起止时间</w:t>
            </w:r>
          </w:p>
        </w:tc>
        <w:tc>
          <w:tcPr>
            <w:tcW w:w="2253" w:type="dxa"/>
            <w:vAlign w:val="center"/>
          </w:tcPr>
          <w:p w14:paraId="1E87033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812" w:type="dxa"/>
            <w:vAlign w:val="center"/>
          </w:tcPr>
          <w:p w14:paraId="3BC849E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评标室</w:t>
            </w:r>
          </w:p>
        </w:tc>
        <w:tc>
          <w:tcPr>
            <w:tcW w:w="1813" w:type="dxa"/>
            <w:vAlign w:val="center"/>
          </w:tcPr>
          <w:p w14:paraId="4C96326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137F3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4" w:hRule="atLeast"/>
        </w:trPr>
        <w:tc>
          <w:tcPr>
            <w:tcW w:w="1040" w:type="dxa"/>
            <w:vMerge w:val="restart"/>
            <w:vAlign w:val="center"/>
          </w:tcPr>
          <w:p w14:paraId="3CF785D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见证</w:t>
            </w:r>
          </w:p>
          <w:p w14:paraId="62FAB05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情况</w:t>
            </w:r>
          </w:p>
        </w:tc>
        <w:tc>
          <w:tcPr>
            <w:tcW w:w="2143" w:type="dxa"/>
            <w:vAlign w:val="center"/>
          </w:tcPr>
          <w:p w14:paraId="55240C6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现场不良行为</w:t>
            </w:r>
          </w:p>
          <w:p w14:paraId="55293ED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（简要说明）</w:t>
            </w:r>
          </w:p>
        </w:tc>
        <w:tc>
          <w:tcPr>
            <w:tcW w:w="5878" w:type="dxa"/>
            <w:gridSpan w:val="3"/>
            <w:vAlign w:val="center"/>
          </w:tcPr>
          <w:p w14:paraId="7659D2F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1AA55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6" w:hRule="atLeast"/>
        </w:trPr>
        <w:tc>
          <w:tcPr>
            <w:tcW w:w="1040" w:type="dxa"/>
            <w:vMerge w:val="continue"/>
            <w:vAlign w:val="center"/>
          </w:tcPr>
          <w:p w14:paraId="5D923B0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361BE68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依据</w:t>
            </w:r>
          </w:p>
        </w:tc>
        <w:tc>
          <w:tcPr>
            <w:tcW w:w="5878" w:type="dxa"/>
            <w:gridSpan w:val="3"/>
            <w:vAlign w:val="center"/>
          </w:tcPr>
          <w:p w14:paraId="0BD44EA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59DE3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040" w:type="dxa"/>
            <w:vMerge w:val="continue"/>
            <w:vAlign w:val="center"/>
          </w:tcPr>
          <w:p w14:paraId="0B8F9B7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58BE602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代理机构</w:t>
            </w:r>
          </w:p>
          <w:p w14:paraId="394E8B1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项目负责人</w:t>
            </w:r>
          </w:p>
        </w:tc>
        <w:tc>
          <w:tcPr>
            <w:tcW w:w="5878" w:type="dxa"/>
            <w:gridSpan w:val="3"/>
            <w:vAlign w:val="center"/>
          </w:tcPr>
          <w:p w14:paraId="5429EAD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17F3D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1040" w:type="dxa"/>
            <w:vMerge w:val="continue"/>
            <w:vAlign w:val="center"/>
          </w:tcPr>
          <w:p w14:paraId="777E0F2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0AC9D18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项目监督</w:t>
            </w:r>
            <w:r>
              <w:rPr>
                <w:rFonts w:hint="eastAsia" w:ascii="Times New Roman" w:hAnsi="Times New Roman" w:eastAsia="仿宋" w:cs="Times New Roman"/>
                <w:color w:val="auto"/>
                <w:sz w:val="24"/>
                <w:szCs w:val="24"/>
                <w:vertAlign w:val="baseline"/>
                <w:lang w:val="en-US" w:eastAsia="zh-CN"/>
              </w:rPr>
              <w:t>人员</w:t>
            </w:r>
          </w:p>
          <w:p w14:paraId="66BB2B4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意见</w:t>
            </w:r>
          </w:p>
        </w:tc>
        <w:tc>
          <w:tcPr>
            <w:tcW w:w="5878" w:type="dxa"/>
            <w:gridSpan w:val="3"/>
            <w:vAlign w:val="center"/>
          </w:tcPr>
          <w:p w14:paraId="6E4288F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4F63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1040" w:type="dxa"/>
            <w:vMerge w:val="continue"/>
            <w:vAlign w:val="center"/>
          </w:tcPr>
          <w:p w14:paraId="4E8153C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4CE3EDE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见证处室</w:t>
            </w:r>
          </w:p>
        </w:tc>
        <w:tc>
          <w:tcPr>
            <w:tcW w:w="2253" w:type="dxa"/>
            <w:vAlign w:val="center"/>
          </w:tcPr>
          <w:p w14:paraId="4FD6C40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812" w:type="dxa"/>
            <w:vAlign w:val="center"/>
          </w:tcPr>
          <w:p w14:paraId="5D1839B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eastAsia" w:ascii="Times New Roman" w:hAnsi="Times New Roman" w:eastAsia="仿宋" w:cs="Times New Roman"/>
                <w:color w:val="auto"/>
                <w:sz w:val="24"/>
                <w:szCs w:val="24"/>
                <w:vertAlign w:val="baseline"/>
                <w:lang w:val="en-US" w:eastAsia="zh-CN"/>
              </w:rPr>
              <w:t>见证工作人员</w:t>
            </w:r>
          </w:p>
        </w:tc>
        <w:tc>
          <w:tcPr>
            <w:tcW w:w="1813" w:type="dxa"/>
            <w:vAlign w:val="center"/>
          </w:tcPr>
          <w:p w14:paraId="640EB78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17911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040" w:type="dxa"/>
            <w:vAlign w:val="center"/>
          </w:tcPr>
          <w:p w14:paraId="67B15E2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备注</w:t>
            </w:r>
          </w:p>
        </w:tc>
        <w:tc>
          <w:tcPr>
            <w:tcW w:w="8021" w:type="dxa"/>
            <w:gridSpan w:val="4"/>
            <w:vAlign w:val="center"/>
          </w:tcPr>
          <w:p w14:paraId="00D40861">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（有材料可附后）</w:t>
            </w:r>
          </w:p>
        </w:tc>
      </w:tr>
    </w:tbl>
    <w:p w14:paraId="2B12F76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注：1.此表仅用于移送（随函送至行政监督部门）；</w:t>
      </w:r>
    </w:p>
    <w:p w14:paraId="7FCE94FF">
      <w:pPr>
        <w:keepNext w:val="0"/>
        <w:keepLines w:val="0"/>
        <w:pageBreakBefore w:val="0"/>
        <w:widowControl w:val="0"/>
        <w:kinsoku/>
        <w:wordWrap/>
        <w:overflowPunct/>
        <w:topLinePunct w:val="0"/>
        <w:autoSpaceDE/>
        <w:autoSpaceDN/>
        <w:bidi w:val="0"/>
        <w:adjustRightInd/>
        <w:snapToGrid/>
        <w:spacing w:line="480" w:lineRule="exact"/>
        <w:ind w:firstLine="600" w:firstLineChars="200"/>
        <w:jc w:val="both"/>
        <w:textAlignment w:val="auto"/>
        <w:rPr>
          <w:rFonts w:hint="default" w:ascii="Times New Roman" w:hAnsi="Times New Roman" w:eastAsia="仿宋" w:cs="Times New Roman"/>
          <w:color w:val="auto"/>
          <w:sz w:val="32"/>
          <w:szCs w:val="32"/>
          <w:lang w:val="en-US" w:eastAsia="zh-CN"/>
        </w:rPr>
      </w:pPr>
      <w:r>
        <w:rPr>
          <w:rFonts w:hint="default" w:ascii="Times New Roman" w:hAnsi="Times New Roman" w:eastAsia="仿宋" w:cs="Times New Roman"/>
          <w:color w:val="auto"/>
          <w:sz w:val="30"/>
          <w:szCs w:val="30"/>
          <w:lang w:val="en-US" w:eastAsia="zh-CN"/>
        </w:rPr>
        <w:t>2.此表需与附件12同时填写。</w:t>
      </w:r>
    </w:p>
    <w:p w14:paraId="2BA05FDB">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eastAsia="黑体" w:cs="Times New Roman"/>
          <w:color w:val="auto"/>
          <w:sz w:val="32"/>
          <w:szCs w:val="32"/>
          <w:lang w:val="en-US" w:eastAsia="zh-CN"/>
        </w:rPr>
      </w:pPr>
    </w:p>
    <w:p w14:paraId="7CDC23D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附件14</w:t>
      </w:r>
    </w:p>
    <w:p w14:paraId="24731EA5">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方正小标宋简体" w:cs="Times New Roman"/>
          <w:color w:val="auto"/>
          <w:sz w:val="44"/>
          <w:szCs w:val="44"/>
          <w:lang w:val="en-US" w:eastAsia="zh-CN"/>
        </w:rPr>
      </w:pPr>
      <w:r>
        <w:rPr>
          <w:rFonts w:hint="default" w:ascii="Times New Roman" w:hAnsi="Times New Roman" w:eastAsia="方正小标宋简体" w:cs="Times New Roman"/>
          <w:color w:val="auto"/>
          <w:sz w:val="44"/>
          <w:szCs w:val="44"/>
          <w:lang w:val="en-US" w:eastAsia="zh-CN"/>
        </w:rPr>
        <w:t>评标（审）专家负面行为现场见证移送表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0"/>
        <w:gridCol w:w="2143"/>
        <w:gridCol w:w="2253"/>
        <w:gridCol w:w="1812"/>
        <w:gridCol w:w="1813"/>
      </w:tblGrid>
      <w:tr w14:paraId="3A4FE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040" w:type="dxa"/>
            <w:vMerge w:val="restart"/>
            <w:vAlign w:val="center"/>
          </w:tcPr>
          <w:p w14:paraId="07A5442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基本</w:t>
            </w:r>
          </w:p>
          <w:p w14:paraId="5CDC4A1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信息</w:t>
            </w:r>
          </w:p>
        </w:tc>
        <w:tc>
          <w:tcPr>
            <w:tcW w:w="2143" w:type="dxa"/>
            <w:vAlign w:val="center"/>
          </w:tcPr>
          <w:p w14:paraId="278C32A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项目名称</w:t>
            </w:r>
          </w:p>
        </w:tc>
        <w:tc>
          <w:tcPr>
            <w:tcW w:w="5878" w:type="dxa"/>
            <w:gridSpan w:val="3"/>
            <w:vAlign w:val="center"/>
          </w:tcPr>
          <w:p w14:paraId="391D25EB">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p>
        </w:tc>
      </w:tr>
      <w:tr w14:paraId="2566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040" w:type="dxa"/>
            <w:vMerge w:val="continue"/>
            <w:vAlign w:val="center"/>
          </w:tcPr>
          <w:p w14:paraId="7BDDBCF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72DA6E3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专家姓名</w:t>
            </w:r>
          </w:p>
        </w:tc>
        <w:tc>
          <w:tcPr>
            <w:tcW w:w="2253" w:type="dxa"/>
            <w:vAlign w:val="center"/>
          </w:tcPr>
          <w:p w14:paraId="16D18E1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812" w:type="dxa"/>
            <w:vAlign w:val="center"/>
          </w:tcPr>
          <w:p w14:paraId="75A6047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当次项目</w:t>
            </w:r>
          </w:p>
          <w:p w14:paraId="1BC600A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随机验证码</w:t>
            </w:r>
          </w:p>
        </w:tc>
        <w:tc>
          <w:tcPr>
            <w:tcW w:w="1813" w:type="dxa"/>
            <w:vAlign w:val="center"/>
          </w:tcPr>
          <w:p w14:paraId="74A8036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3C245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40" w:type="dxa"/>
            <w:vMerge w:val="continue"/>
            <w:vAlign w:val="center"/>
          </w:tcPr>
          <w:p w14:paraId="67DFCCE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69B52EE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开标起止时间</w:t>
            </w:r>
          </w:p>
        </w:tc>
        <w:tc>
          <w:tcPr>
            <w:tcW w:w="2253" w:type="dxa"/>
            <w:vAlign w:val="center"/>
          </w:tcPr>
          <w:p w14:paraId="30C02BD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812" w:type="dxa"/>
            <w:vAlign w:val="center"/>
          </w:tcPr>
          <w:p w14:paraId="4F2B455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开标室</w:t>
            </w:r>
          </w:p>
        </w:tc>
        <w:tc>
          <w:tcPr>
            <w:tcW w:w="1813" w:type="dxa"/>
            <w:vAlign w:val="center"/>
          </w:tcPr>
          <w:p w14:paraId="1ECBEA1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71981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040" w:type="dxa"/>
            <w:vMerge w:val="continue"/>
            <w:vAlign w:val="center"/>
          </w:tcPr>
          <w:p w14:paraId="124A203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42AF4FB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评标起止时间</w:t>
            </w:r>
          </w:p>
        </w:tc>
        <w:tc>
          <w:tcPr>
            <w:tcW w:w="2253" w:type="dxa"/>
            <w:vAlign w:val="center"/>
          </w:tcPr>
          <w:p w14:paraId="2035697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812" w:type="dxa"/>
            <w:vAlign w:val="center"/>
          </w:tcPr>
          <w:p w14:paraId="20866E9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评标室</w:t>
            </w:r>
          </w:p>
        </w:tc>
        <w:tc>
          <w:tcPr>
            <w:tcW w:w="1813" w:type="dxa"/>
            <w:vAlign w:val="center"/>
          </w:tcPr>
          <w:p w14:paraId="4CC8557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4AC4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9" w:hRule="atLeast"/>
        </w:trPr>
        <w:tc>
          <w:tcPr>
            <w:tcW w:w="1040" w:type="dxa"/>
            <w:vMerge w:val="restart"/>
            <w:vAlign w:val="center"/>
          </w:tcPr>
          <w:p w14:paraId="140E20E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见证</w:t>
            </w:r>
          </w:p>
          <w:p w14:paraId="4C1F565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情况</w:t>
            </w:r>
          </w:p>
        </w:tc>
        <w:tc>
          <w:tcPr>
            <w:tcW w:w="2143" w:type="dxa"/>
            <w:vAlign w:val="center"/>
          </w:tcPr>
          <w:p w14:paraId="5413D9C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现场负面行为</w:t>
            </w:r>
          </w:p>
          <w:p w14:paraId="0389FB2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（简要说明）</w:t>
            </w:r>
          </w:p>
        </w:tc>
        <w:tc>
          <w:tcPr>
            <w:tcW w:w="5878" w:type="dxa"/>
            <w:gridSpan w:val="3"/>
            <w:vAlign w:val="center"/>
          </w:tcPr>
          <w:p w14:paraId="1B8C66C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612C2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3" w:hRule="atLeast"/>
        </w:trPr>
        <w:tc>
          <w:tcPr>
            <w:tcW w:w="1040" w:type="dxa"/>
            <w:vMerge w:val="continue"/>
            <w:vAlign w:val="center"/>
          </w:tcPr>
          <w:p w14:paraId="1F60B79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10F1516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依据</w:t>
            </w:r>
          </w:p>
          <w:p w14:paraId="2EB4090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（有材料可附后）</w:t>
            </w:r>
          </w:p>
        </w:tc>
        <w:tc>
          <w:tcPr>
            <w:tcW w:w="5878" w:type="dxa"/>
            <w:gridSpan w:val="3"/>
            <w:vAlign w:val="center"/>
          </w:tcPr>
          <w:p w14:paraId="1476160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62472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51" w:hRule="atLeast"/>
        </w:trPr>
        <w:tc>
          <w:tcPr>
            <w:tcW w:w="1040" w:type="dxa"/>
            <w:vMerge w:val="continue"/>
            <w:vAlign w:val="center"/>
          </w:tcPr>
          <w:p w14:paraId="116D08D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5FCE787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项目监督</w:t>
            </w:r>
            <w:r>
              <w:rPr>
                <w:rFonts w:hint="eastAsia" w:ascii="Times New Roman" w:hAnsi="Times New Roman" w:eastAsia="仿宋" w:cs="Times New Roman"/>
                <w:color w:val="auto"/>
                <w:sz w:val="24"/>
                <w:szCs w:val="24"/>
                <w:vertAlign w:val="baseline"/>
                <w:lang w:val="en-US" w:eastAsia="zh-CN"/>
              </w:rPr>
              <w:t>人员</w:t>
            </w:r>
          </w:p>
          <w:p w14:paraId="5A29672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意见</w:t>
            </w:r>
          </w:p>
        </w:tc>
        <w:tc>
          <w:tcPr>
            <w:tcW w:w="5878" w:type="dxa"/>
            <w:gridSpan w:val="3"/>
            <w:vAlign w:val="center"/>
          </w:tcPr>
          <w:p w14:paraId="4186684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52116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040" w:type="dxa"/>
            <w:vMerge w:val="continue"/>
            <w:vAlign w:val="center"/>
          </w:tcPr>
          <w:p w14:paraId="2B66D66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5D7F93D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见证处室</w:t>
            </w:r>
          </w:p>
        </w:tc>
        <w:tc>
          <w:tcPr>
            <w:tcW w:w="2253" w:type="dxa"/>
            <w:vAlign w:val="center"/>
          </w:tcPr>
          <w:p w14:paraId="61E93E7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812" w:type="dxa"/>
            <w:vAlign w:val="center"/>
          </w:tcPr>
          <w:p w14:paraId="0F5D254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eastAsia" w:ascii="Times New Roman" w:hAnsi="Times New Roman" w:eastAsia="仿宋" w:cs="Times New Roman"/>
                <w:color w:val="auto"/>
                <w:sz w:val="24"/>
                <w:szCs w:val="24"/>
                <w:vertAlign w:val="baseline"/>
                <w:lang w:val="en-US" w:eastAsia="zh-CN"/>
              </w:rPr>
              <w:t>见证工作人员</w:t>
            </w:r>
          </w:p>
        </w:tc>
        <w:tc>
          <w:tcPr>
            <w:tcW w:w="1813" w:type="dxa"/>
            <w:vAlign w:val="center"/>
          </w:tcPr>
          <w:p w14:paraId="26C6DFF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61D07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040" w:type="dxa"/>
            <w:vAlign w:val="center"/>
          </w:tcPr>
          <w:p w14:paraId="166143D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备注</w:t>
            </w:r>
          </w:p>
        </w:tc>
        <w:tc>
          <w:tcPr>
            <w:tcW w:w="8021" w:type="dxa"/>
            <w:gridSpan w:val="4"/>
            <w:vAlign w:val="center"/>
          </w:tcPr>
          <w:p w14:paraId="004D69C3">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（有材料可附后）</w:t>
            </w:r>
          </w:p>
        </w:tc>
      </w:tr>
    </w:tbl>
    <w:p w14:paraId="72A90D42">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注：1.此表仅用于移送（随函送至行政监督部门）；</w:t>
      </w:r>
    </w:p>
    <w:p w14:paraId="6EBDE995">
      <w:pPr>
        <w:keepNext w:val="0"/>
        <w:keepLines w:val="0"/>
        <w:pageBreakBefore w:val="0"/>
        <w:widowControl w:val="0"/>
        <w:kinsoku/>
        <w:wordWrap/>
        <w:overflowPunct/>
        <w:topLinePunct w:val="0"/>
        <w:autoSpaceDE/>
        <w:autoSpaceDN/>
        <w:bidi w:val="0"/>
        <w:adjustRightInd/>
        <w:snapToGrid/>
        <w:spacing w:line="480" w:lineRule="exact"/>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3.此表需与附件12同时填写。</w:t>
      </w:r>
    </w:p>
    <w:p w14:paraId="751151FB">
      <w:pPr>
        <w:keepNext w:val="0"/>
        <w:keepLines w:val="0"/>
        <w:pageBreakBefore w:val="0"/>
        <w:widowControl w:val="0"/>
        <w:kinsoku/>
        <w:wordWrap/>
        <w:overflowPunct/>
        <w:topLinePunct w:val="0"/>
        <w:autoSpaceDE/>
        <w:autoSpaceDN/>
        <w:bidi w:val="0"/>
        <w:adjustRightInd/>
        <w:snapToGrid/>
        <w:spacing w:line="480" w:lineRule="exact"/>
        <w:ind w:firstLine="600" w:firstLineChars="200"/>
        <w:jc w:val="both"/>
        <w:textAlignment w:val="auto"/>
        <w:rPr>
          <w:rFonts w:hint="default" w:ascii="Times New Roman" w:hAnsi="Times New Roman" w:eastAsia="仿宋" w:cs="Times New Roman"/>
          <w:color w:val="auto"/>
          <w:sz w:val="30"/>
          <w:szCs w:val="30"/>
          <w:lang w:val="en-US" w:eastAsia="zh-CN"/>
        </w:rPr>
      </w:pPr>
    </w:p>
    <w:p w14:paraId="3032944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附件15</w:t>
      </w:r>
    </w:p>
    <w:p w14:paraId="31D70989">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方正小标宋简体" w:cs="Times New Roman"/>
          <w:color w:val="auto"/>
          <w:sz w:val="44"/>
          <w:szCs w:val="44"/>
          <w:lang w:val="en-US" w:eastAsia="zh-CN"/>
        </w:rPr>
      </w:pPr>
      <w:r>
        <w:rPr>
          <w:rFonts w:hint="default" w:ascii="Times New Roman" w:hAnsi="Times New Roman" w:eastAsia="方正小标宋简体" w:cs="Times New Roman"/>
          <w:color w:val="auto"/>
          <w:sz w:val="44"/>
          <w:szCs w:val="44"/>
          <w:lang w:val="en-US" w:eastAsia="zh-CN"/>
        </w:rPr>
        <w:t>招标（采购）人不良行为现场见证移送表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0"/>
        <w:gridCol w:w="2143"/>
        <w:gridCol w:w="2253"/>
        <w:gridCol w:w="1812"/>
        <w:gridCol w:w="1813"/>
      </w:tblGrid>
      <w:tr w14:paraId="1A30F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040" w:type="dxa"/>
            <w:vMerge w:val="restart"/>
            <w:vAlign w:val="center"/>
          </w:tcPr>
          <w:p w14:paraId="399C0E9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基本</w:t>
            </w:r>
          </w:p>
          <w:p w14:paraId="22E4C41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信息</w:t>
            </w:r>
          </w:p>
        </w:tc>
        <w:tc>
          <w:tcPr>
            <w:tcW w:w="2143" w:type="dxa"/>
            <w:vAlign w:val="center"/>
          </w:tcPr>
          <w:p w14:paraId="07601F2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单位名称</w:t>
            </w:r>
          </w:p>
        </w:tc>
        <w:tc>
          <w:tcPr>
            <w:tcW w:w="5878" w:type="dxa"/>
            <w:gridSpan w:val="3"/>
            <w:vAlign w:val="center"/>
          </w:tcPr>
          <w:p w14:paraId="14FB8894">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p>
        </w:tc>
      </w:tr>
      <w:tr w14:paraId="3CF11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040" w:type="dxa"/>
            <w:vMerge w:val="continue"/>
            <w:vAlign w:val="center"/>
          </w:tcPr>
          <w:p w14:paraId="5953662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3743F45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进场项目名称</w:t>
            </w:r>
          </w:p>
        </w:tc>
        <w:tc>
          <w:tcPr>
            <w:tcW w:w="5878" w:type="dxa"/>
            <w:gridSpan w:val="3"/>
            <w:vAlign w:val="center"/>
          </w:tcPr>
          <w:p w14:paraId="613BBC58">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p>
        </w:tc>
      </w:tr>
      <w:tr w14:paraId="50F02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040" w:type="dxa"/>
            <w:vMerge w:val="continue"/>
            <w:vAlign w:val="center"/>
          </w:tcPr>
          <w:p w14:paraId="7C3E8AE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7D2FD3E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项目编号</w:t>
            </w:r>
          </w:p>
        </w:tc>
        <w:tc>
          <w:tcPr>
            <w:tcW w:w="5878" w:type="dxa"/>
            <w:gridSpan w:val="3"/>
            <w:vAlign w:val="center"/>
          </w:tcPr>
          <w:p w14:paraId="4940C659">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p>
        </w:tc>
      </w:tr>
      <w:tr w14:paraId="007CA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1040" w:type="dxa"/>
            <w:vMerge w:val="continue"/>
            <w:vAlign w:val="center"/>
          </w:tcPr>
          <w:p w14:paraId="3E94902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53B6C43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开标起止时间</w:t>
            </w:r>
          </w:p>
        </w:tc>
        <w:tc>
          <w:tcPr>
            <w:tcW w:w="2253" w:type="dxa"/>
            <w:vAlign w:val="center"/>
          </w:tcPr>
          <w:p w14:paraId="447DC46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812" w:type="dxa"/>
            <w:vAlign w:val="center"/>
          </w:tcPr>
          <w:p w14:paraId="3DDECF1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开标室</w:t>
            </w:r>
          </w:p>
        </w:tc>
        <w:tc>
          <w:tcPr>
            <w:tcW w:w="1813" w:type="dxa"/>
            <w:vAlign w:val="center"/>
          </w:tcPr>
          <w:p w14:paraId="7BAE4B7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3D01B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40" w:type="dxa"/>
            <w:vMerge w:val="continue"/>
            <w:vAlign w:val="center"/>
          </w:tcPr>
          <w:p w14:paraId="0721A05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601547C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评标开始</w:t>
            </w:r>
          </w:p>
          <w:p w14:paraId="1912C6C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日期及时间</w:t>
            </w:r>
          </w:p>
        </w:tc>
        <w:tc>
          <w:tcPr>
            <w:tcW w:w="2253" w:type="dxa"/>
            <w:vAlign w:val="center"/>
          </w:tcPr>
          <w:p w14:paraId="6A4928B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812" w:type="dxa"/>
            <w:vAlign w:val="center"/>
          </w:tcPr>
          <w:p w14:paraId="2AF948C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评标室</w:t>
            </w:r>
          </w:p>
        </w:tc>
        <w:tc>
          <w:tcPr>
            <w:tcW w:w="1813" w:type="dxa"/>
            <w:vAlign w:val="center"/>
          </w:tcPr>
          <w:p w14:paraId="5E154E1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7132B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1040" w:type="dxa"/>
            <w:vMerge w:val="continue"/>
            <w:vAlign w:val="center"/>
          </w:tcPr>
          <w:p w14:paraId="5B761C4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727CF38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项目</w:t>
            </w:r>
          </w:p>
          <w:p w14:paraId="53307E3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行政监督部门</w:t>
            </w:r>
          </w:p>
        </w:tc>
        <w:tc>
          <w:tcPr>
            <w:tcW w:w="5878" w:type="dxa"/>
            <w:gridSpan w:val="3"/>
            <w:vAlign w:val="center"/>
          </w:tcPr>
          <w:p w14:paraId="5F12C7E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3F73E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1040" w:type="dxa"/>
            <w:vMerge w:val="restart"/>
            <w:vAlign w:val="center"/>
          </w:tcPr>
          <w:p w14:paraId="6F2E359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见证</w:t>
            </w:r>
          </w:p>
          <w:p w14:paraId="794BBF5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情况</w:t>
            </w:r>
          </w:p>
        </w:tc>
        <w:tc>
          <w:tcPr>
            <w:tcW w:w="2143" w:type="dxa"/>
            <w:vAlign w:val="center"/>
          </w:tcPr>
          <w:p w14:paraId="68AFE7A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现场不良行为</w:t>
            </w:r>
          </w:p>
          <w:p w14:paraId="3B9B58A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（简要说明）</w:t>
            </w:r>
          </w:p>
        </w:tc>
        <w:tc>
          <w:tcPr>
            <w:tcW w:w="5878" w:type="dxa"/>
            <w:gridSpan w:val="3"/>
            <w:vAlign w:val="center"/>
          </w:tcPr>
          <w:p w14:paraId="77A8D88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4AE54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3" w:hRule="atLeast"/>
        </w:trPr>
        <w:tc>
          <w:tcPr>
            <w:tcW w:w="1040" w:type="dxa"/>
            <w:vMerge w:val="continue"/>
            <w:vAlign w:val="center"/>
          </w:tcPr>
          <w:p w14:paraId="6DFD6CF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0ADDAC9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依据</w:t>
            </w:r>
          </w:p>
        </w:tc>
        <w:tc>
          <w:tcPr>
            <w:tcW w:w="5878" w:type="dxa"/>
            <w:gridSpan w:val="3"/>
            <w:vAlign w:val="center"/>
          </w:tcPr>
          <w:p w14:paraId="2A13E67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2031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040" w:type="dxa"/>
            <w:vMerge w:val="continue"/>
            <w:vAlign w:val="center"/>
          </w:tcPr>
          <w:p w14:paraId="3CF3714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0D32BA8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招标（采购）人</w:t>
            </w:r>
          </w:p>
          <w:p w14:paraId="25B824E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项目负责人姓名</w:t>
            </w:r>
          </w:p>
        </w:tc>
        <w:tc>
          <w:tcPr>
            <w:tcW w:w="5878" w:type="dxa"/>
            <w:gridSpan w:val="3"/>
            <w:vAlign w:val="center"/>
          </w:tcPr>
          <w:p w14:paraId="1639AD5E">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p>
        </w:tc>
      </w:tr>
      <w:tr w14:paraId="02DB1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1040" w:type="dxa"/>
            <w:vMerge w:val="continue"/>
            <w:vAlign w:val="center"/>
          </w:tcPr>
          <w:p w14:paraId="0CB73B6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0F78E28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项目监督</w:t>
            </w:r>
            <w:r>
              <w:rPr>
                <w:rFonts w:hint="eastAsia" w:ascii="Times New Roman" w:hAnsi="Times New Roman" w:eastAsia="仿宋" w:cs="Times New Roman"/>
                <w:color w:val="auto"/>
                <w:sz w:val="24"/>
                <w:szCs w:val="24"/>
                <w:vertAlign w:val="baseline"/>
                <w:lang w:val="en-US" w:eastAsia="zh-CN"/>
              </w:rPr>
              <w:t>人员</w:t>
            </w:r>
          </w:p>
          <w:p w14:paraId="36E2F81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意见</w:t>
            </w:r>
          </w:p>
        </w:tc>
        <w:tc>
          <w:tcPr>
            <w:tcW w:w="5878" w:type="dxa"/>
            <w:gridSpan w:val="3"/>
            <w:vAlign w:val="center"/>
          </w:tcPr>
          <w:p w14:paraId="1651017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4E2C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1040" w:type="dxa"/>
            <w:vMerge w:val="continue"/>
            <w:vAlign w:val="center"/>
          </w:tcPr>
          <w:p w14:paraId="4B12C13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5A14E60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见证处室</w:t>
            </w:r>
          </w:p>
        </w:tc>
        <w:tc>
          <w:tcPr>
            <w:tcW w:w="2253" w:type="dxa"/>
            <w:vAlign w:val="center"/>
          </w:tcPr>
          <w:p w14:paraId="0802F46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812" w:type="dxa"/>
            <w:vAlign w:val="center"/>
          </w:tcPr>
          <w:p w14:paraId="534BDAC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eastAsia" w:ascii="Times New Roman" w:hAnsi="Times New Roman" w:eastAsia="仿宋" w:cs="Times New Roman"/>
                <w:color w:val="auto"/>
                <w:sz w:val="24"/>
                <w:szCs w:val="24"/>
                <w:vertAlign w:val="baseline"/>
                <w:lang w:val="en-US" w:eastAsia="zh-CN"/>
              </w:rPr>
              <w:t>见证工作人员</w:t>
            </w:r>
          </w:p>
        </w:tc>
        <w:tc>
          <w:tcPr>
            <w:tcW w:w="1813" w:type="dxa"/>
            <w:vAlign w:val="center"/>
          </w:tcPr>
          <w:p w14:paraId="3EF5423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731B6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040" w:type="dxa"/>
            <w:vAlign w:val="center"/>
          </w:tcPr>
          <w:p w14:paraId="2C56A81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备注</w:t>
            </w:r>
          </w:p>
        </w:tc>
        <w:tc>
          <w:tcPr>
            <w:tcW w:w="8021" w:type="dxa"/>
            <w:gridSpan w:val="4"/>
            <w:vAlign w:val="center"/>
          </w:tcPr>
          <w:p w14:paraId="2832430F">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（有材料可附后）</w:t>
            </w:r>
          </w:p>
        </w:tc>
      </w:tr>
    </w:tbl>
    <w:p w14:paraId="2E09652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注：1.此表仅用于移送（随函送至行政监督部门）；</w:t>
      </w:r>
    </w:p>
    <w:p w14:paraId="242C92F9">
      <w:pPr>
        <w:keepNext w:val="0"/>
        <w:keepLines w:val="0"/>
        <w:pageBreakBefore w:val="0"/>
        <w:widowControl w:val="0"/>
        <w:kinsoku/>
        <w:wordWrap/>
        <w:overflowPunct/>
        <w:topLinePunct w:val="0"/>
        <w:autoSpaceDE/>
        <w:autoSpaceDN/>
        <w:bidi w:val="0"/>
        <w:adjustRightInd/>
        <w:snapToGrid/>
        <w:spacing w:line="480" w:lineRule="exact"/>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2.此表需与附件12同时填写。</w:t>
      </w:r>
    </w:p>
    <w:p w14:paraId="2ED173E9">
      <w:pPr>
        <w:keepNext w:val="0"/>
        <w:keepLines w:val="0"/>
        <w:pageBreakBefore w:val="0"/>
        <w:widowControl w:val="0"/>
        <w:kinsoku/>
        <w:wordWrap/>
        <w:overflowPunct/>
        <w:topLinePunct w:val="0"/>
        <w:autoSpaceDE/>
        <w:autoSpaceDN/>
        <w:bidi w:val="0"/>
        <w:adjustRightInd/>
        <w:snapToGrid/>
        <w:spacing w:line="480" w:lineRule="exact"/>
        <w:ind w:firstLine="600" w:firstLineChars="200"/>
        <w:jc w:val="both"/>
        <w:textAlignment w:val="auto"/>
        <w:rPr>
          <w:rFonts w:hint="default" w:ascii="Times New Roman" w:hAnsi="Times New Roman" w:eastAsia="仿宋" w:cs="Times New Roman"/>
          <w:color w:val="auto"/>
          <w:sz w:val="30"/>
          <w:szCs w:val="30"/>
          <w:lang w:val="en-US" w:eastAsia="zh-CN"/>
        </w:rPr>
      </w:pPr>
    </w:p>
    <w:p w14:paraId="57549660">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附件16</w:t>
      </w:r>
    </w:p>
    <w:p w14:paraId="16B41E4F">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方正小标宋简体" w:cs="Times New Roman"/>
          <w:color w:val="auto"/>
          <w:sz w:val="44"/>
          <w:szCs w:val="44"/>
          <w:lang w:val="en-US" w:eastAsia="zh-CN"/>
        </w:rPr>
      </w:pPr>
      <w:r>
        <w:rPr>
          <w:rFonts w:hint="default" w:ascii="Times New Roman" w:hAnsi="Times New Roman" w:eastAsia="方正小标宋简体" w:cs="Times New Roman"/>
          <w:color w:val="auto"/>
          <w:sz w:val="44"/>
          <w:szCs w:val="44"/>
          <w:lang w:val="en-US" w:eastAsia="zh-CN"/>
        </w:rPr>
        <w:t>投标人（供应商）不良行为现场见证移送表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0"/>
        <w:gridCol w:w="2143"/>
        <w:gridCol w:w="2253"/>
        <w:gridCol w:w="1812"/>
        <w:gridCol w:w="1813"/>
      </w:tblGrid>
      <w:tr w14:paraId="2121E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1" w:hRule="atLeast"/>
        </w:trPr>
        <w:tc>
          <w:tcPr>
            <w:tcW w:w="1040" w:type="dxa"/>
            <w:vMerge w:val="restart"/>
            <w:vAlign w:val="center"/>
          </w:tcPr>
          <w:p w14:paraId="08ABF6F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基本</w:t>
            </w:r>
          </w:p>
          <w:p w14:paraId="1BBA110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信息</w:t>
            </w:r>
          </w:p>
        </w:tc>
        <w:tc>
          <w:tcPr>
            <w:tcW w:w="2143" w:type="dxa"/>
            <w:vAlign w:val="center"/>
          </w:tcPr>
          <w:p w14:paraId="2E92A53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单位名称</w:t>
            </w:r>
          </w:p>
        </w:tc>
        <w:tc>
          <w:tcPr>
            <w:tcW w:w="5878" w:type="dxa"/>
            <w:gridSpan w:val="3"/>
            <w:vAlign w:val="center"/>
          </w:tcPr>
          <w:p w14:paraId="79678ED2">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p>
        </w:tc>
      </w:tr>
      <w:tr w14:paraId="75A7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040" w:type="dxa"/>
            <w:vMerge w:val="continue"/>
            <w:vAlign w:val="center"/>
          </w:tcPr>
          <w:p w14:paraId="382A294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79A7033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项目名称</w:t>
            </w:r>
          </w:p>
        </w:tc>
        <w:tc>
          <w:tcPr>
            <w:tcW w:w="5878" w:type="dxa"/>
            <w:gridSpan w:val="3"/>
            <w:vAlign w:val="center"/>
          </w:tcPr>
          <w:p w14:paraId="2929D30D">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p>
        </w:tc>
      </w:tr>
      <w:tr w14:paraId="46AA9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040" w:type="dxa"/>
            <w:vMerge w:val="continue"/>
            <w:vAlign w:val="center"/>
          </w:tcPr>
          <w:p w14:paraId="7B3BE8D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43FF225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项目编号</w:t>
            </w:r>
          </w:p>
        </w:tc>
        <w:tc>
          <w:tcPr>
            <w:tcW w:w="5878" w:type="dxa"/>
            <w:gridSpan w:val="3"/>
            <w:vAlign w:val="center"/>
          </w:tcPr>
          <w:p w14:paraId="63176BD7">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p>
        </w:tc>
      </w:tr>
      <w:tr w14:paraId="1C526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1040" w:type="dxa"/>
            <w:vMerge w:val="continue"/>
            <w:vAlign w:val="center"/>
          </w:tcPr>
          <w:p w14:paraId="4902721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4BE9959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开标起止时间</w:t>
            </w:r>
          </w:p>
        </w:tc>
        <w:tc>
          <w:tcPr>
            <w:tcW w:w="2253" w:type="dxa"/>
            <w:vAlign w:val="center"/>
          </w:tcPr>
          <w:p w14:paraId="5895F5B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812" w:type="dxa"/>
            <w:vAlign w:val="center"/>
          </w:tcPr>
          <w:p w14:paraId="6155432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开标室</w:t>
            </w:r>
          </w:p>
        </w:tc>
        <w:tc>
          <w:tcPr>
            <w:tcW w:w="1813" w:type="dxa"/>
            <w:vAlign w:val="center"/>
          </w:tcPr>
          <w:p w14:paraId="0B29E99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18089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40" w:type="dxa"/>
            <w:vMerge w:val="continue"/>
            <w:vAlign w:val="center"/>
          </w:tcPr>
          <w:p w14:paraId="7AE8000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74D0430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评标开始</w:t>
            </w:r>
          </w:p>
          <w:p w14:paraId="292762E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日期及时间</w:t>
            </w:r>
          </w:p>
        </w:tc>
        <w:tc>
          <w:tcPr>
            <w:tcW w:w="2253" w:type="dxa"/>
            <w:vAlign w:val="center"/>
          </w:tcPr>
          <w:p w14:paraId="44D9226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812" w:type="dxa"/>
            <w:vAlign w:val="center"/>
          </w:tcPr>
          <w:p w14:paraId="5D0F64A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评标室</w:t>
            </w:r>
          </w:p>
        </w:tc>
        <w:tc>
          <w:tcPr>
            <w:tcW w:w="1813" w:type="dxa"/>
            <w:vAlign w:val="center"/>
          </w:tcPr>
          <w:p w14:paraId="2FB7981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51ADA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1040" w:type="dxa"/>
            <w:vMerge w:val="continue"/>
            <w:vAlign w:val="center"/>
          </w:tcPr>
          <w:p w14:paraId="535AB03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1EA22C2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项目</w:t>
            </w:r>
          </w:p>
          <w:p w14:paraId="5DD7FBB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行政监督部门</w:t>
            </w:r>
          </w:p>
        </w:tc>
        <w:tc>
          <w:tcPr>
            <w:tcW w:w="5878" w:type="dxa"/>
            <w:gridSpan w:val="3"/>
            <w:vAlign w:val="center"/>
          </w:tcPr>
          <w:p w14:paraId="789C473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66085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1040" w:type="dxa"/>
            <w:vMerge w:val="restart"/>
            <w:vAlign w:val="center"/>
          </w:tcPr>
          <w:p w14:paraId="2EB4651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见证</w:t>
            </w:r>
          </w:p>
          <w:p w14:paraId="2414D22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情况</w:t>
            </w:r>
          </w:p>
        </w:tc>
        <w:tc>
          <w:tcPr>
            <w:tcW w:w="2143" w:type="dxa"/>
            <w:vAlign w:val="center"/>
          </w:tcPr>
          <w:p w14:paraId="0742BCE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现场不良行为</w:t>
            </w:r>
          </w:p>
          <w:p w14:paraId="0DA7076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（简要说明）</w:t>
            </w:r>
          </w:p>
        </w:tc>
        <w:tc>
          <w:tcPr>
            <w:tcW w:w="5878" w:type="dxa"/>
            <w:gridSpan w:val="3"/>
            <w:vAlign w:val="center"/>
          </w:tcPr>
          <w:p w14:paraId="61739E2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7F2E7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3" w:hRule="atLeast"/>
        </w:trPr>
        <w:tc>
          <w:tcPr>
            <w:tcW w:w="1040" w:type="dxa"/>
            <w:vMerge w:val="continue"/>
            <w:vAlign w:val="center"/>
          </w:tcPr>
          <w:p w14:paraId="3F9004F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7F119AB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依据</w:t>
            </w:r>
          </w:p>
        </w:tc>
        <w:tc>
          <w:tcPr>
            <w:tcW w:w="5878" w:type="dxa"/>
            <w:gridSpan w:val="3"/>
            <w:vAlign w:val="center"/>
          </w:tcPr>
          <w:p w14:paraId="59E95A7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39E72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040" w:type="dxa"/>
            <w:vMerge w:val="continue"/>
            <w:vAlign w:val="center"/>
          </w:tcPr>
          <w:p w14:paraId="7E622A9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726B556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投标人（供应商）项目负责人姓名</w:t>
            </w:r>
          </w:p>
        </w:tc>
        <w:tc>
          <w:tcPr>
            <w:tcW w:w="5878" w:type="dxa"/>
            <w:gridSpan w:val="3"/>
            <w:vAlign w:val="center"/>
          </w:tcPr>
          <w:p w14:paraId="5EE4FED5">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p>
        </w:tc>
      </w:tr>
      <w:tr w14:paraId="3B0D3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1040" w:type="dxa"/>
            <w:vMerge w:val="continue"/>
            <w:vAlign w:val="center"/>
          </w:tcPr>
          <w:p w14:paraId="6F8C0C4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614AC65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项目监督</w:t>
            </w:r>
            <w:r>
              <w:rPr>
                <w:rFonts w:hint="eastAsia" w:ascii="Times New Roman" w:hAnsi="Times New Roman" w:eastAsia="仿宋" w:cs="Times New Roman"/>
                <w:color w:val="auto"/>
                <w:sz w:val="24"/>
                <w:szCs w:val="24"/>
                <w:vertAlign w:val="baseline"/>
                <w:lang w:val="en-US" w:eastAsia="zh-CN"/>
              </w:rPr>
              <w:t>人员</w:t>
            </w:r>
          </w:p>
          <w:p w14:paraId="3F2C6E7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意见</w:t>
            </w:r>
          </w:p>
        </w:tc>
        <w:tc>
          <w:tcPr>
            <w:tcW w:w="5878" w:type="dxa"/>
            <w:gridSpan w:val="3"/>
            <w:vAlign w:val="center"/>
          </w:tcPr>
          <w:p w14:paraId="07D4575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7C49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1040" w:type="dxa"/>
            <w:vMerge w:val="continue"/>
            <w:vAlign w:val="center"/>
          </w:tcPr>
          <w:p w14:paraId="4707322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32264A8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见证处室</w:t>
            </w:r>
          </w:p>
        </w:tc>
        <w:tc>
          <w:tcPr>
            <w:tcW w:w="2253" w:type="dxa"/>
            <w:vAlign w:val="center"/>
          </w:tcPr>
          <w:p w14:paraId="59FEBE3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812" w:type="dxa"/>
            <w:vAlign w:val="center"/>
          </w:tcPr>
          <w:p w14:paraId="3DF78B7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eastAsia" w:ascii="Times New Roman" w:hAnsi="Times New Roman" w:eastAsia="仿宋" w:cs="Times New Roman"/>
                <w:color w:val="auto"/>
                <w:sz w:val="24"/>
                <w:szCs w:val="24"/>
                <w:vertAlign w:val="baseline"/>
                <w:lang w:val="en-US" w:eastAsia="zh-CN"/>
              </w:rPr>
              <w:t>见证工作人员</w:t>
            </w:r>
          </w:p>
        </w:tc>
        <w:tc>
          <w:tcPr>
            <w:tcW w:w="1813" w:type="dxa"/>
            <w:vAlign w:val="center"/>
          </w:tcPr>
          <w:p w14:paraId="25C41FC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4DA8E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040" w:type="dxa"/>
            <w:vAlign w:val="center"/>
          </w:tcPr>
          <w:p w14:paraId="6CC85D5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备注</w:t>
            </w:r>
          </w:p>
        </w:tc>
        <w:tc>
          <w:tcPr>
            <w:tcW w:w="8021" w:type="dxa"/>
            <w:gridSpan w:val="4"/>
            <w:vAlign w:val="center"/>
          </w:tcPr>
          <w:p w14:paraId="7ECC9D68">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（有材料可附后）</w:t>
            </w:r>
          </w:p>
        </w:tc>
      </w:tr>
    </w:tbl>
    <w:p w14:paraId="0FDAEC22">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注：1.此表仅用于移送（随函送至行政监督部门）；</w:t>
      </w:r>
    </w:p>
    <w:p w14:paraId="38FF09BC">
      <w:pPr>
        <w:keepNext w:val="0"/>
        <w:keepLines w:val="0"/>
        <w:pageBreakBefore w:val="0"/>
        <w:widowControl w:val="0"/>
        <w:kinsoku/>
        <w:wordWrap/>
        <w:overflowPunct/>
        <w:topLinePunct w:val="0"/>
        <w:autoSpaceDE/>
        <w:autoSpaceDN/>
        <w:bidi w:val="0"/>
        <w:adjustRightInd/>
        <w:snapToGrid/>
        <w:spacing w:line="480" w:lineRule="exact"/>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2.此表需与附件12同时填写。</w:t>
      </w:r>
    </w:p>
    <w:p w14:paraId="2F840D06">
      <w:pPr>
        <w:keepNext w:val="0"/>
        <w:keepLines w:val="0"/>
        <w:pageBreakBefore w:val="0"/>
        <w:widowControl w:val="0"/>
        <w:kinsoku/>
        <w:wordWrap/>
        <w:overflowPunct/>
        <w:topLinePunct w:val="0"/>
        <w:autoSpaceDE/>
        <w:autoSpaceDN/>
        <w:bidi w:val="0"/>
        <w:adjustRightInd/>
        <w:snapToGrid/>
        <w:spacing w:line="480" w:lineRule="exact"/>
        <w:ind w:firstLine="600" w:firstLineChars="200"/>
        <w:jc w:val="both"/>
        <w:textAlignment w:val="auto"/>
        <w:rPr>
          <w:rFonts w:hint="default" w:ascii="Times New Roman" w:hAnsi="Times New Roman" w:eastAsia="仿宋" w:cs="Times New Roman"/>
          <w:color w:val="auto"/>
          <w:sz w:val="30"/>
          <w:szCs w:val="30"/>
          <w:lang w:val="en-US" w:eastAsia="zh-CN"/>
        </w:rPr>
      </w:pPr>
    </w:p>
    <w:p w14:paraId="0032AC1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附件17</w:t>
      </w:r>
    </w:p>
    <w:p w14:paraId="5CFEF2C3">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方正小标宋简体" w:cs="Times New Roman"/>
          <w:color w:val="auto"/>
          <w:sz w:val="44"/>
          <w:szCs w:val="44"/>
          <w:lang w:val="en-US" w:eastAsia="zh-CN"/>
        </w:rPr>
      </w:pPr>
      <w:r>
        <w:rPr>
          <w:rFonts w:hint="default" w:ascii="Times New Roman" w:hAnsi="Times New Roman" w:eastAsia="方正小标宋简体" w:cs="Times New Roman"/>
          <w:color w:val="auto"/>
          <w:sz w:val="44"/>
          <w:szCs w:val="44"/>
          <w:lang w:val="en-US" w:eastAsia="zh-CN"/>
        </w:rPr>
        <w:t>项目监督</w:t>
      </w:r>
      <w:r>
        <w:rPr>
          <w:rFonts w:hint="eastAsia" w:ascii="Times New Roman" w:hAnsi="Times New Roman" w:eastAsia="方正小标宋简体" w:cs="Times New Roman"/>
          <w:color w:val="auto"/>
          <w:sz w:val="44"/>
          <w:szCs w:val="44"/>
          <w:lang w:val="en-US" w:eastAsia="zh-CN"/>
        </w:rPr>
        <w:t>人员</w:t>
      </w:r>
      <w:r>
        <w:rPr>
          <w:rFonts w:hint="default" w:ascii="Times New Roman" w:hAnsi="Times New Roman" w:eastAsia="方正小标宋简体" w:cs="Times New Roman"/>
          <w:color w:val="auto"/>
          <w:sz w:val="44"/>
          <w:szCs w:val="44"/>
          <w:lang w:val="en-US" w:eastAsia="zh-CN"/>
        </w:rPr>
        <w:t>不良行为现场见证移送表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0"/>
        <w:gridCol w:w="2143"/>
        <w:gridCol w:w="2253"/>
        <w:gridCol w:w="1812"/>
        <w:gridCol w:w="1813"/>
      </w:tblGrid>
      <w:tr w14:paraId="7FCB2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040" w:type="dxa"/>
            <w:vMerge w:val="restart"/>
            <w:vAlign w:val="center"/>
          </w:tcPr>
          <w:p w14:paraId="352D813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基本</w:t>
            </w:r>
          </w:p>
          <w:p w14:paraId="0E1B03F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信息</w:t>
            </w:r>
          </w:p>
        </w:tc>
        <w:tc>
          <w:tcPr>
            <w:tcW w:w="2143" w:type="dxa"/>
            <w:vAlign w:val="center"/>
          </w:tcPr>
          <w:p w14:paraId="7B377C0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单位名称</w:t>
            </w:r>
          </w:p>
        </w:tc>
        <w:tc>
          <w:tcPr>
            <w:tcW w:w="5878" w:type="dxa"/>
            <w:gridSpan w:val="3"/>
            <w:vAlign w:val="center"/>
          </w:tcPr>
          <w:p w14:paraId="165047C8">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p>
        </w:tc>
      </w:tr>
      <w:tr w14:paraId="55FE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040" w:type="dxa"/>
            <w:vMerge w:val="continue"/>
            <w:vAlign w:val="center"/>
          </w:tcPr>
          <w:p w14:paraId="0608527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1BE6539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监督项目名称</w:t>
            </w:r>
          </w:p>
        </w:tc>
        <w:tc>
          <w:tcPr>
            <w:tcW w:w="5878" w:type="dxa"/>
            <w:gridSpan w:val="3"/>
            <w:vAlign w:val="center"/>
          </w:tcPr>
          <w:p w14:paraId="213B00E9">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p>
        </w:tc>
      </w:tr>
      <w:tr w14:paraId="1313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040" w:type="dxa"/>
            <w:vMerge w:val="continue"/>
            <w:vAlign w:val="center"/>
          </w:tcPr>
          <w:p w14:paraId="2884CA6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7DAB84E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项目编号</w:t>
            </w:r>
          </w:p>
        </w:tc>
        <w:tc>
          <w:tcPr>
            <w:tcW w:w="5878" w:type="dxa"/>
            <w:gridSpan w:val="3"/>
            <w:vAlign w:val="center"/>
          </w:tcPr>
          <w:p w14:paraId="4D14433B">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p>
        </w:tc>
      </w:tr>
      <w:tr w14:paraId="544A4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040" w:type="dxa"/>
            <w:vMerge w:val="continue"/>
            <w:vAlign w:val="center"/>
          </w:tcPr>
          <w:p w14:paraId="7B5AD75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271791B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开标起止时间</w:t>
            </w:r>
          </w:p>
        </w:tc>
        <w:tc>
          <w:tcPr>
            <w:tcW w:w="2253" w:type="dxa"/>
            <w:vAlign w:val="center"/>
          </w:tcPr>
          <w:p w14:paraId="0ADC583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812" w:type="dxa"/>
            <w:vAlign w:val="center"/>
          </w:tcPr>
          <w:p w14:paraId="2A4366D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开标室</w:t>
            </w:r>
          </w:p>
        </w:tc>
        <w:tc>
          <w:tcPr>
            <w:tcW w:w="1813" w:type="dxa"/>
            <w:vAlign w:val="center"/>
          </w:tcPr>
          <w:p w14:paraId="74D3751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683B2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1040" w:type="dxa"/>
            <w:vMerge w:val="continue"/>
            <w:vAlign w:val="center"/>
          </w:tcPr>
          <w:p w14:paraId="42E918A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7CA54C5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评标起止时间</w:t>
            </w:r>
          </w:p>
        </w:tc>
        <w:tc>
          <w:tcPr>
            <w:tcW w:w="2253" w:type="dxa"/>
            <w:vAlign w:val="center"/>
          </w:tcPr>
          <w:p w14:paraId="2C2A3A4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812" w:type="dxa"/>
            <w:vAlign w:val="center"/>
          </w:tcPr>
          <w:p w14:paraId="6F8AAAC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评标室</w:t>
            </w:r>
          </w:p>
        </w:tc>
        <w:tc>
          <w:tcPr>
            <w:tcW w:w="1813" w:type="dxa"/>
            <w:vAlign w:val="center"/>
          </w:tcPr>
          <w:p w14:paraId="3AC094C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45A0F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040" w:type="dxa"/>
            <w:vMerge w:val="continue"/>
            <w:vAlign w:val="center"/>
          </w:tcPr>
          <w:p w14:paraId="1CF867B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4E85FA8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项目</w:t>
            </w:r>
          </w:p>
          <w:p w14:paraId="6122145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行政监督部门</w:t>
            </w:r>
          </w:p>
        </w:tc>
        <w:tc>
          <w:tcPr>
            <w:tcW w:w="5878" w:type="dxa"/>
            <w:gridSpan w:val="3"/>
            <w:vAlign w:val="center"/>
          </w:tcPr>
          <w:p w14:paraId="4C2616E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19441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8" w:hRule="atLeast"/>
        </w:trPr>
        <w:tc>
          <w:tcPr>
            <w:tcW w:w="1040" w:type="dxa"/>
            <w:vMerge w:val="restart"/>
            <w:vAlign w:val="center"/>
          </w:tcPr>
          <w:p w14:paraId="486032C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见证</w:t>
            </w:r>
          </w:p>
          <w:p w14:paraId="1151D78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情况</w:t>
            </w:r>
          </w:p>
        </w:tc>
        <w:tc>
          <w:tcPr>
            <w:tcW w:w="2143" w:type="dxa"/>
            <w:vAlign w:val="center"/>
          </w:tcPr>
          <w:p w14:paraId="0937E47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现场不良行为</w:t>
            </w:r>
          </w:p>
          <w:p w14:paraId="7858DBA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（简要说明）</w:t>
            </w:r>
          </w:p>
        </w:tc>
        <w:tc>
          <w:tcPr>
            <w:tcW w:w="5878" w:type="dxa"/>
            <w:gridSpan w:val="3"/>
            <w:vAlign w:val="center"/>
          </w:tcPr>
          <w:p w14:paraId="30DF32E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18376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3" w:hRule="atLeast"/>
        </w:trPr>
        <w:tc>
          <w:tcPr>
            <w:tcW w:w="1040" w:type="dxa"/>
            <w:vMerge w:val="continue"/>
            <w:vAlign w:val="center"/>
          </w:tcPr>
          <w:p w14:paraId="356072F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15B90EF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依据</w:t>
            </w:r>
          </w:p>
        </w:tc>
        <w:tc>
          <w:tcPr>
            <w:tcW w:w="5878" w:type="dxa"/>
            <w:gridSpan w:val="3"/>
            <w:vAlign w:val="center"/>
          </w:tcPr>
          <w:p w14:paraId="1EA5A0B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25EE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040" w:type="dxa"/>
            <w:vMerge w:val="continue"/>
            <w:vAlign w:val="center"/>
          </w:tcPr>
          <w:p w14:paraId="18777A6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1746EDF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项目监督</w:t>
            </w:r>
            <w:r>
              <w:rPr>
                <w:rFonts w:hint="eastAsia" w:ascii="Times New Roman" w:hAnsi="Times New Roman" w:eastAsia="仿宋" w:cs="Times New Roman"/>
                <w:color w:val="auto"/>
                <w:sz w:val="24"/>
                <w:szCs w:val="24"/>
                <w:vertAlign w:val="baseline"/>
                <w:lang w:val="en-US" w:eastAsia="zh-CN"/>
              </w:rPr>
              <w:t>人员</w:t>
            </w:r>
          </w:p>
          <w:p w14:paraId="01AC2AA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姓名</w:t>
            </w:r>
          </w:p>
        </w:tc>
        <w:tc>
          <w:tcPr>
            <w:tcW w:w="5878" w:type="dxa"/>
            <w:gridSpan w:val="3"/>
            <w:vAlign w:val="center"/>
          </w:tcPr>
          <w:p w14:paraId="02593C5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57BD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trPr>
        <w:tc>
          <w:tcPr>
            <w:tcW w:w="1040" w:type="dxa"/>
            <w:vMerge w:val="continue"/>
            <w:vAlign w:val="center"/>
          </w:tcPr>
          <w:p w14:paraId="65516BB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2143" w:type="dxa"/>
            <w:vAlign w:val="center"/>
          </w:tcPr>
          <w:p w14:paraId="5B75CD2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见证处室</w:t>
            </w:r>
          </w:p>
        </w:tc>
        <w:tc>
          <w:tcPr>
            <w:tcW w:w="2253" w:type="dxa"/>
            <w:vAlign w:val="center"/>
          </w:tcPr>
          <w:p w14:paraId="7B8D274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812" w:type="dxa"/>
            <w:vAlign w:val="center"/>
          </w:tcPr>
          <w:p w14:paraId="7189E74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eastAsia" w:ascii="Times New Roman" w:hAnsi="Times New Roman" w:eastAsia="仿宋" w:cs="Times New Roman"/>
                <w:color w:val="auto"/>
                <w:sz w:val="24"/>
                <w:szCs w:val="24"/>
                <w:vertAlign w:val="baseline"/>
                <w:lang w:val="en-US" w:eastAsia="zh-CN"/>
              </w:rPr>
              <w:t>见证工作人员</w:t>
            </w:r>
          </w:p>
        </w:tc>
        <w:tc>
          <w:tcPr>
            <w:tcW w:w="1813" w:type="dxa"/>
            <w:vAlign w:val="center"/>
          </w:tcPr>
          <w:p w14:paraId="49F6357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058F1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040" w:type="dxa"/>
            <w:vAlign w:val="center"/>
          </w:tcPr>
          <w:p w14:paraId="11FF3EB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备注</w:t>
            </w:r>
          </w:p>
        </w:tc>
        <w:tc>
          <w:tcPr>
            <w:tcW w:w="8021" w:type="dxa"/>
            <w:gridSpan w:val="4"/>
            <w:vAlign w:val="center"/>
          </w:tcPr>
          <w:p w14:paraId="3AC926E3">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（有材料可附后）</w:t>
            </w:r>
          </w:p>
        </w:tc>
      </w:tr>
    </w:tbl>
    <w:p w14:paraId="3DA29E9B">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注：1.此表仅用于移送（随函送至行政监督部门）；</w:t>
      </w:r>
    </w:p>
    <w:p w14:paraId="5C1C6897">
      <w:pPr>
        <w:keepNext w:val="0"/>
        <w:keepLines w:val="0"/>
        <w:pageBreakBefore w:val="0"/>
        <w:widowControl w:val="0"/>
        <w:kinsoku/>
        <w:wordWrap/>
        <w:overflowPunct/>
        <w:topLinePunct w:val="0"/>
        <w:autoSpaceDE/>
        <w:autoSpaceDN/>
        <w:bidi w:val="0"/>
        <w:adjustRightInd/>
        <w:snapToGrid/>
        <w:spacing w:line="480" w:lineRule="exact"/>
        <w:ind w:firstLine="600" w:firstLineChars="200"/>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2.此表需与附件12同时填写。</w:t>
      </w:r>
    </w:p>
    <w:p w14:paraId="69DEF899">
      <w:pPr>
        <w:keepNext w:val="0"/>
        <w:keepLines w:val="0"/>
        <w:pageBreakBefore w:val="0"/>
        <w:widowControl w:val="0"/>
        <w:kinsoku/>
        <w:wordWrap/>
        <w:overflowPunct/>
        <w:topLinePunct w:val="0"/>
        <w:autoSpaceDE/>
        <w:autoSpaceDN/>
        <w:bidi w:val="0"/>
        <w:adjustRightInd/>
        <w:snapToGrid/>
        <w:spacing w:line="480" w:lineRule="exact"/>
        <w:ind w:firstLine="600" w:firstLineChars="200"/>
        <w:jc w:val="both"/>
        <w:textAlignment w:val="auto"/>
        <w:rPr>
          <w:rFonts w:hint="default" w:ascii="Times New Roman" w:hAnsi="Times New Roman" w:eastAsia="仿宋" w:cs="Times New Roman"/>
          <w:color w:val="auto"/>
          <w:sz w:val="30"/>
          <w:szCs w:val="30"/>
          <w:lang w:val="en-US" w:eastAsia="zh-CN"/>
        </w:rPr>
        <w:sectPr>
          <w:pgSz w:w="11906" w:h="16838"/>
          <w:pgMar w:top="1440" w:right="1474" w:bottom="1440" w:left="1587" w:header="851" w:footer="992" w:gutter="0"/>
          <w:pgNumType w:fmt="decimal"/>
          <w:cols w:space="425" w:num="1"/>
          <w:docGrid w:type="lines" w:linePitch="312" w:charSpace="0"/>
        </w:sectPr>
      </w:pPr>
    </w:p>
    <w:p w14:paraId="372F8E2C">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附件18</w:t>
      </w:r>
    </w:p>
    <w:p w14:paraId="0C465073">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方正小标宋简体" w:cs="Times New Roman"/>
          <w:color w:val="auto"/>
          <w:sz w:val="44"/>
          <w:szCs w:val="44"/>
          <w:lang w:val="en-US" w:eastAsia="zh-CN"/>
        </w:rPr>
      </w:pPr>
      <w:r>
        <w:rPr>
          <w:rFonts w:hint="default" w:ascii="Times New Roman" w:hAnsi="Times New Roman" w:eastAsia="方正小标宋简体" w:cs="Times New Roman"/>
          <w:color w:val="auto"/>
          <w:sz w:val="44"/>
          <w:szCs w:val="44"/>
          <w:lang w:val="en-US" w:eastAsia="zh-CN"/>
        </w:rPr>
        <w:t>进场交易项目现场异常情况见证统计表</w:t>
      </w:r>
    </w:p>
    <w:p w14:paraId="5343A1D9">
      <w:pPr>
        <w:keepNext w:val="0"/>
        <w:keepLines w:val="0"/>
        <w:pageBreakBefore w:val="0"/>
        <w:widowControl w:val="0"/>
        <w:kinsoku/>
        <w:wordWrap/>
        <w:overflowPunct/>
        <w:topLinePunct w:val="0"/>
        <w:autoSpaceDE/>
        <w:autoSpaceDN/>
        <w:bidi w:val="0"/>
        <w:adjustRightInd/>
        <w:snapToGrid/>
        <w:spacing w:line="620" w:lineRule="exact"/>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统计处室：                                                           统计日期：XX年X月X日</w:t>
      </w:r>
    </w:p>
    <w:tbl>
      <w:tblPr>
        <w:tblStyle w:val="1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1704"/>
        <w:gridCol w:w="1707"/>
        <w:gridCol w:w="1381"/>
        <w:gridCol w:w="1381"/>
        <w:gridCol w:w="1381"/>
        <w:gridCol w:w="2450"/>
        <w:gridCol w:w="1049"/>
        <w:gridCol w:w="1894"/>
        <w:gridCol w:w="492"/>
      </w:tblGrid>
      <w:tr w14:paraId="3A0F3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256" w:type="pct"/>
            <w:vAlign w:val="center"/>
          </w:tcPr>
          <w:p w14:paraId="20F6E36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序号</w:t>
            </w:r>
          </w:p>
        </w:tc>
        <w:tc>
          <w:tcPr>
            <w:tcW w:w="601" w:type="pct"/>
            <w:vAlign w:val="center"/>
          </w:tcPr>
          <w:p w14:paraId="242729F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项目名称</w:t>
            </w:r>
          </w:p>
        </w:tc>
        <w:tc>
          <w:tcPr>
            <w:tcW w:w="602" w:type="pct"/>
            <w:vAlign w:val="center"/>
          </w:tcPr>
          <w:p w14:paraId="3110CF4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招标人（采购人、出让人）</w:t>
            </w:r>
          </w:p>
          <w:p w14:paraId="0E557FE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单位名称</w:t>
            </w:r>
          </w:p>
        </w:tc>
        <w:tc>
          <w:tcPr>
            <w:tcW w:w="487" w:type="pct"/>
            <w:vAlign w:val="center"/>
          </w:tcPr>
          <w:p w14:paraId="7F83152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监督单位名称</w:t>
            </w:r>
          </w:p>
        </w:tc>
        <w:tc>
          <w:tcPr>
            <w:tcW w:w="487" w:type="pct"/>
            <w:vAlign w:val="center"/>
          </w:tcPr>
          <w:p w14:paraId="00B4B90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代理机构</w:t>
            </w:r>
          </w:p>
          <w:p w14:paraId="7CCBCAD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单位名称</w:t>
            </w:r>
          </w:p>
        </w:tc>
        <w:tc>
          <w:tcPr>
            <w:tcW w:w="487" w:type="pct"/>
            <w:vAlign w:val="center"/>
          </w:tcPr>
          <w:p w14:paraId="7EFBD53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异常情况</w:t>
            </w:r>
          </w:p>
          <w:p w14:paraId="684D508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主体</w:t>
            </w:r>
          </w:p>
        </w:tc>
        <w:tc>
          <w:tcPr>
            <w:tcW w:w="864" w:type="pct"/>
            <w:vAlign w:val="center"/>
          </w:tcPr>
          <w:p w14:paraId="72A081F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异常情况</w:t>
            </w:r>
          </w:p>
        </w:tc>
        <w:tc>
          <w:tcPr>
            <w:tcW w:w="370" w:type="pct"/>
            <w:vAlign w:val="center"/>
          </w:tcPr>
          <w:p w14:paraId="1C62228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见证</w:t>
            </w:r>
          </w:p>
          <w:p w14:paraId="74D1CE3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处室</w:t>
            </w:r>
          </w:p>
        </w:tc>
        <w:tc>
          <w:tcPr>
            <w:tcW w:w="668" w:type="pct"/>
            <w:vAlign w:val="center"/>
          </w:tcPr>
          <w:p w14:paraId="052857C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处理结果</w:t>
            </w:r>
          </w:p>
        </w:tc>
        <w:tc>
          <w:tcPr>
            <w:tcW w:w="173" w:type="pct"/>
            <w:vAlign w:val="center"/>
          </w:tcPr>
          <w:p w14:paraId="1FDC7BD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备注</w:t>
            </w:r>
          </w:p>
        </w:tc>
      </w:tr>
      <w:tr w14:paraId="1F4AC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6" w:type="pct"/>
            <w:vAlign w:val="center"/>
          </w:tcPr>
          <w:p w14:paraId="40FE122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601" w:type="pct"/>
            <w:vAlign w:val="center"/>
          </w:tcPr>
          <w:p w14:paraId="0CC95CC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602" w:type="pct"/>
            <w:vAlign w:val="center"/>
          </w:tcPr>
          <w:p w14:paraId="64A724D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487" w:type="pct"/>
            <w:vAlign w:val="center"/>
          </w:tcPr>
          <w:p w14:paraId="491E42F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487" w:type="pct"/>
            <w:vAlign w:val="center"/>
          </w:tcPr>
          <w:p w14:paraId="19B848B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487" w:type="pct"/>
            <w:vAlign w:val="center"/>
          </w:tcPr>
          <w:p w14:paraId="4F29151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864" w:type="pct"/>
            <w:vAlign w:val="center"/>
          </w:tcPr>
          <w:p w14:paraId="5FDCFD2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370" w:type="pct"/>
            <w:vAlign w:val="center"/>
          </w:tcPr>
          <w:p w14:paraId="4D69742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668" w:type="pct"/>
            <w:vAlign w:val="center"/>
          </w:tcPr>
          <w:p w14:paraId="55C42D9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73" w:type="pct"/>
            <w:vAlign w:val="center"/>
          </w:tcPr>
          <w:p w14:paraId="70D808A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5124F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6" w:type="pct"/>
            <w:vAlign w:val="center"/>
          </w:tcPr>
          <w:p w14:paraId="188872F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601" w:type="pct"/>
            <w:vAlign w:val="center"/>
          </w:tcPr>
          <w:p w14:paraId="56FB81C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602" w:type="pct"/>
            <w:vAlign w:val="center"/>
          </w:tcPr>
          <w:p w14:paraId="4E9D16B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487" w:type="pct"/>
            <w:vAlign w:val="center"/>
          </w:tcPr>
          <w:p w14:paraId="15365BD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487" w:type="pct"/>
            <w:vAlign w:val="center"/>
          </w:tcPr>
          <w:p w14:paraId="038373E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487" w:type="pct"/>
            <w:vAlign w:val="center"/>
          </w:tcPr>
          <w:p w14:paraId="34ED3FB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864" w:type="pct"/>
            <w:vAlign w:val="center"/>
          </w:tcPr>
          <w:p w14:paraId="5F481F5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370" w:type="pct"/>
            <w:vAlign w:val="center"/>
          </w:tcPr>
          <w:p w14:paraId="62EAE15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668" w:type="pct"/>
            <w:vAlign w:val="center"/>
          </w:tcPr>
          <w:p w14:paraId="4CF62D9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73" w:type="pct"/>
            <w:vAlign w:val="center"/>
          </w:tcPr>
          <w:p w14:paraId="3FDA1F1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5E6FF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6" w:type="pct"/>
            <w:vAlign w:val="center"/>
          </w:tcPr>
          <w:p w14:paraId="0C79C95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601" w:type="pct"/>
            <w:vAlign w:val="center"/>
          </w:tcPr>
          <w:p w14:paraId="51EF2EE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602" w:type="pct"/>
            <w:vAlign w:val="center"/>
          </w:tcPr>
          <w:p w14:paraId="1379D8D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487" w:type="pct"/>
            <w:vAlign w:val="center"/>
          </w:tcPr>
          <w:p w14:paraId="3CF3FA4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487" w:type="pct"/>
            <w:vAlign w:val="center"/>
          </w:tcPr>
          <w:p w14:paraId="18AA359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487" w:type="pct"/>
            <w:vAlign w:val="center"/>
          </w:tcPr>
          <w:p w14:paraId="17504E6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864" w:type="pct"/>
            <w:vAlign w:val="center"/>
          </w:tcPr>
          <w:p w14:paraId="696DCE2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370" w:type="pct"/>
            <w:vAlign w:val="center"/>
          </w:tcPr>
          <w:p w14:paraId="21C3B8A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668" w:type="pct"/>
            <w:vAlign w:val="center"/>
          </w:tcPr>
          <w:p w14:paraId="359A6EE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73" w:type="pct"/>
            <w:vAlign w:val="center"/>
          </w:tcPr>
          <w:p w14:paraId="7C8E8C3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2409A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6" w:type="pct"/>
            <w:vAlign w:val="center"/>
          </w:tcPr>
          <w:p w14:paraId="5592BF5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601" w:type="pct"/>
            <w:vAlign w:val="center"/>
          </w:tcPr>
          <w:p w14:paraId="708031C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602" w:type="pct"/>
            <w:vAlign w:val="center"/>
          </w:tcPr>
          <w:p w14:paraId="6FF6FEE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487" w:type="pct"/>
            <w:vAlign w:val="center"/>
          </w:tcPr>
          <w:p w14:paraId="681B33C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487" w:type="pct"/>
            <w:vAlign w:val="center"/>
          </w:tcPr>
          <w:p w14:paraId="460F01F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487" w:type="pct"/>
            <w:vAlign w:val="center"/>
          </w:tcPr>
          <w:p w14:paraId="196BDB9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864" w:type="pct"/>
            <w:vAlign w:val="center"/>
          </w:tcPr>
          <w:p w14:paraId="66A7E5D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370" w:type="pct"/>
            <w:vAlign w:val="center"/>
          </w:tcPr>
          <w:p w14:paraId="525B6AC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668" w:type="pct"/>
            <w:vAlign w:val="center"/>
          </w:tcPr>
          <w:p w14:paraId="061C8C5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73" w:type="pct"/>
            <w:vAlign w:val="center"/>
          </w:tcPr>
          <w:p w14:paraId="408DC00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58B92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6" w:type="pct"/>
            <w:vAlign w:val="center"/>
          </w:tcPr>
          <w:p w14:paraId="2842CEA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601" w:type="pct"/>
            <w:vAlign w:val="center"/>
          </w:tcPr>
          <w:p w14:paraId="27AA7A8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602" w:type="pct"/>
            <w:vAlign w:val="center"/>
          </w:tcPr>
          <w:p w14:paraId="7FDC82E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487" w:type="pct"/>
            <w:vAlign w:val="center"/>
          </w:tcPr>
          <w:p w14:paraId="007289B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487" w:type="pct"/>
            <w:vAlign w:val="center"/>
          </w:tcPr>
          <w:p w14:paraId="43F189B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487" w:type="pct"/>
            <w:vAlign w:val="center"/>
          </w:tcPr>
          <w:p w14:paraId="3B864E6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864" w:type="pct"/>
            <w:vAlign w:val="center"/>
          </w:tcPr>
          <w:p w14:paraId="0BE0A4F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370" w:type="pct"/>
            <w:vAlign w:val="center"/>
          </w:tcPr>
          <w:p w14:paraId="17660E8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668" w:type="pct"/>
            <w:vAlign w:val="center"/>
          </w:tcPr>
          <w:p w14:paraId="4E68B35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73" w:type="pct"/>
            <w:vAlign w:val="center"/>
          </w:tcPr>
          <w:p w14:paraId="21DF2E1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027A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6" w:type="pct"/>
            <w:vAlign w:val="center"/>
          </w:tcPr>
          <w:p w14:paraId="555D5BF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601" w:type="pct"/>
            <w:vAlign w:val="center"/>
          </w:tcPr>
          <w:p w14:paraId="2E6D99E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602" w:type="pct"/>
            <w:vAlign w:val="center"/>
          </w:tcPr>
          <w:p w14:paraId="4BF96C6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487" w:type="pct"/>
            <w:vAlign w:val="center"/>
          </w:tcPr>
          <w:p w14:paraId="2B81454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487" w:type="pct"/>
            <w:vAlign w:val="center"/>
          </w:tcPr>
          <w:p w14:paraId="2C0A4C3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487" w:type="pct"/>
            <w:vAlign w:val="center"/>
          </w:tcPr>
          <w:p w14:paraId="0A3340B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864" w:type="pct"/>
            <w:vAlign w:val="center"/>
          </w:tcPr>
          <w:p w14:paraId="1FC61B4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370" w:type="pct"/>
            <w:vAlign w:val="center"/>
          </w:tcPr>
          <w:p w14:paraId="50E06D5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668" w:type="pct"/>
            <w:vAlign w:val="center"/>
          </w:tcPr>
          <w:p w14:paraId="1C5AB1B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73" w:type="pct"/>
            <w:vAlign w:val="center"/>
          </w:tcPr>
          <w:p w14:paraId="7E1C63B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1B512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6" w:type="pct"/>
            <w:vAlign w:val="center"/>
          </w:tcPr>
          <w:p w14:paraId="72DB010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601" w:type="pct"/>
            <w:vAlign w:val="center"/>
          </w:tcPr>
          <w:p w14:paraId="01C468B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602" w:type="pct"/>
            <w:vAlign w:val="center"/>
          </w:tcPr>
          <w:p w14:paraId="5C2ADA6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487" w:type="pct"/>
            <w:vAlign w:val="center"/>
          </w:tcPr>
          <w:p w14:paraId="77C37B8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487" w:type="pct"/>
            <w:vAlign w:val="center"/>
          </w:tcPr>
          <w:p w14:paraId="490D858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487" w:type="pct"/>
            <w:vAlign w:val="center"/>
          </w:tcPr>
          <w:p w14:paraId="60ACA4A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864" w:type="pct"/>
            <w:vAlign w:val="center"/>
          </w:tcPr>
          <w:p w14:paraId="680C63D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370" w:type="pct"/>
            <w:vAlign w:val="center"/>
          </w:tcPr>
          <w:p w14:paraId="5FD109B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668" w:type="pct"/>
            <w:vAlign w:val="center"/>
          </w:tcPr>
          <w:p w14:paraId="54A641A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73" w:type="pct"/>
            <w:vAlign w:val="center"/>
          </w:tcPr>
          <w:p w14:paraId="4B75A08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1B666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6" w:type="pct"/>
            <w:vAlign w:val="center"/>
          </w:tcPr>
          <w:p w14:paraId="62605A4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601" w:type="pct"/>
            <w:vAlign w:val="center"/>
          </w:tcPr>
          <w:p w14:paraId="4F7234F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602" w:type="pct"/>
            <w:vAlign w:val="center"/>
          </w:tcPr>
          <w:p w14:paraId="70DB82C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487" w:type="pct"/>
            <w:vAlign w:val="center"/>
          </w:tcPr>
          <w:p w14:paraId="2FFCADA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487" w:type="pct"/>
            <w:vAlign w:val="center"/>
          </w:tcPr>
          <w:p w14:paraId="4725811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487" w:type="pct"/>
            <w:vAlign w:val="center"/>
          </w:tcPr>
          <w:p w14:paraId="2D42CBE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864" w:type="pct"/>
            <w:vAlign w:val="center"/>
          </w:tcPr>
          <w:p w14:paraId="18B1E8C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370" w:type="pct"/>
            <w:vAlign w:val="center"/>
          </w:tcPr>
          <w:p w14:paraId="5395374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668" w:type="pct"/>
            <w:vAlign w:val="center"/>
          </w:tcPr>
          <w:p w14:paraId="46F2A77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73" w:type="pct"/>
            <w:vAlign w:val="center"/>
          </w:tcPr>
          <w:p w14:paraId="7706A8C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404A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6" w:type="pct"/>
            <w:vAlign w:val="center"/>
          </w:tcPr>
          <w:p w14:paraId="5DB76D7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601" w:type="pct"/>
            <w:vAlign w:val="center"/>
          </w:tcPr>
          <w:p w14:paraId="7B15415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602" w:type="pct"/>
            <w:vAlign w:val="center"/>
          </w:tcPr>
          <w:p w14:paraId="6BF8D67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487" w:type="pct"/>
            <w:vAlign w:val="center"/>
          </w:tcPr>
          <w:p w14:paraId="4B6C04E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487" w:type="pct"/>
            <w:vAlign w:val="center"/>
          </w:tcPr>
          <w:p w14:paraId="3CDB373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487" w:type="pct"/>
            <w:vAlign w:val="center"/>
          </w:tcPr>
          <w:p w14:paraId="6197B7B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864" w:type="pct"/>
            <w:vAlign w:val="center"/>
          </w:tcPr>
          <w:p w14:paraId="04A3A43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370" w:type="pct"/>
            <w:vAlign w:val="center"/>
          </w:tcPr>
          <w:p w14:paraId="4074F28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668" w:type="pct"/>
            <w:vAlign w:val="center"/>
          </w:tcPr>
          <w:p w14:paraId="232EDEE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73" w:type="pct"/>
            <w:vAlign w:val="center"/>
          </w:tcPr>
          <w:p w14:paraId="235D0A4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bl>
    <w:p w14:paraId="697EC5D6">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统计人：                                                             统计处室负责人：</w:t>
      </w:r>
    </w:p>
    <w:p w14:paraId="7431A923">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注：此表按月、季、半年、年统计。</w:t>
      </w:r>
    </w:p>
    <w:p w14:paraId="698CBFE2">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附件19</w:t>
      </w:r>
    </w:p>
    <w:p w14:paraId="222F8B81">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方正小标宋简体" w:cs="Times New Roman"/>
          <w:color w:val="auto"/>
          <w:sz w:val="44"/>
          <w:szCs w:val="44"/>
          <w:lang w:val="en-US" w:eastAsia="zh-CN"/>
        </w:rPr>
      </w:pPr>
      <w:r>
        <w:rPr>
          <w:rFonts w:hint="default" w:ascii="Times New Roman" w:hAnsi="Times New Roman" w:eastAsia="方正小标宋简体" w:cs="Times New Roman"/>
          <w:color w:val="auto"/>
          <w:sz w:val="44"/>
          <w:szCs w:val="44"/>
          <w:lang w:val="en-US" w:eastAsia="zh-CN"/>
        </w:rPr>
        <w:t>进场交易项目见证情况汇总统计表</w:t>
      </w:r>
    </w:p>
    <w:p w14:paraId="7CF5E8E2">
      <w:pPr>
        <w:keepNext w:val="0"/>
        <w:keepLines w:val="0"/>
        <w:pageBreakBefore w:val="0"/>
        <w:widowControl w:val="0"/>
        <w:kinsoku/>
        <w:wordWrap/>
        <w:overflowPunct/>
        <w:topLinePunct w:val="0"/>
        <w:autoSpaceDE/>
        <w:autoSpaceDN/>
        <w:bidi w:val="0"/>
        <w:adjustRightInd/>
        <w:snapToGrid/>
        <w:spacing w:line="620" w:lineRule="exact"/>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统计处室：                                                           统计日期：XX年X月X日</w:t>
      </w:r>
    </w:p>
    <w:tbl>
      <w:tblPr>
        <w:tblStyle w:val="1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1770"/>
        <w:gridCol w:w="1770"/>
        <w:gridCol w:w="1770"/>
        <w:gridCol w:w="1770"/>
        <w:gridCol w:w="1771"/>
        <w:gridCol w:w="1771"/>
        <w:gridCol w:w="1771"/>
      </w:tblGrid>
      <w:tr w14:paraId="35CC3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50" w:type="pct"/>
            <w:vAlign w:val="center"/>
            <mc:AlternateContent>
              <mc:Choice Requires="wpsCustomData">
                <wpsCustomData:diagonals>
                  <wpsCustomData:diagonal from="10000" to="30000">
                    <wpsCustomData:border w:val="single" w:color="auto" w:sz="4" w:space="0"/>
                  </wpsCustomData:diagonal>
                </wpsCustomData:diagonals>
              </mc:Choice>
            </mc:AlternateContent>
          </w:tcPr>
          <w:p w14:paraId="0C6F80F3">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仿宋" w:cs="Times New Roman"/>
                <w:color w:val="auto"/>
                <w:sz w:val="24"/>
                <w:szCs w:val="24"/>
                <w:vertAlign w:val="baseline"/>
                <w:lang w:val="en-US" w:eastAsia="zh-CN"/>
              </w:rPr>
            </w:pPr>
            <w:r>
              <w:rPr>
                <w:rFonts w:hint="eastAsia" w:ascii="Times New Roman" w:hAnsi="Times New Roman" w:eastAsia="仿宋" w:cs="Times New Roman"/>
                <w:color w:val="auto"/>
                <w:sz w:val="24"/>
                <w:szCs w:val="24"/>
                <w:vertAlign w:val="baseline"/>
                <w:lang w:val="en-US" w:eastAsia="zh-CN"/>
              </w:rPr>
              <w:t>类型</w:t>
            </w:r>
          </w:p>
          <w:p w14:paraId="7B5DB425">
            <w:pPr>
              <w:keepNext w:val="0"/>
              <w:keepLines w:val="0"/>
              <w:pageBreakBefore w:val="0"/>
              <w:widowControl w:val="0"/>
              <w:kinsoku/>
              <w:wordWrap/>
              <w:overflowPunct/>
              <w:topLinePunct w:val="0"/>
              <w:autoSpaceDE/>
              <w:autoSpaceDN/>
              <w:bidi w:val="0"/>
              <w:adjustRightInd/>
              <w:snapToGrid w:val="0"/>
              <w:spacing w:line="240" w:lineRule="auto"/>
              <w:jc w:val="both"/>
              <w:textAlignment w:val="auto"/>
              <mc:AlternateContent>
                <mc:Choice Requires="wpsCustomData">
                  <wpsCustomData:diagonalParaType/>
                </mc:Choice>
              </mc:AlternateContent>
              <w:rPr>
                <w:rFonts w:hint="default" w:ascii="Times New Roman" w:hAnsi="Times New Roman" w:eastAsia="仿宋" w:cs="Times New Roman"/>
                <w:color w:val="auto"/>
                <w:sz w:val="24"/>
                <w:szCs w:val="24"/>
                <w:vertAlign w:val="baseline"/>
                <w:lang w:val="en-US" w:eastAsia="zh-CN"/>
              </w:rPr>
            </w:pPr>
          </w:p>
          <w:p w14:paraId="71FA30C9">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 w:cs="Times New Roman"/>
                <w:color w:val="auto"/>
                <w:sz w:val="24"/>
                <w:szCs w:val="24"/>
                <w:vertAlign w:val="baseline"/>
                <w:lang w:val="en-US" w:eastAsia="zh-CN"/>
              </w:rPr>
            </w:pPr>
          </w:p>
          <w:p w14:paraId="6E8A844C">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r>
              <w:rPr>
                <w:rFonts w:hint="eastAsia" w:ascii="Times New Roman" w:hAnsi="Times New Roman" w:eastAsia="仿宋" w:cs="Times New Roman"/>
                <w:color w:val="auto"/>
                <w:sz w:val="24"/>
                <w:szCs w:val="24"/>
                <w:vertAlign w:val="baseline"/>
                <w:lang w:val="en-US" w:eastAsia="zh-CN"/>
              </w:rPr>
              <w:t>个数</w:t>
            </w:r>
          </w:p>
        </w:tc>
        <w:tc>
          <w:tcPr>
            <w:tcW w:w="150" w:type="pct"/>
            <w:vAlign w:val="center"/>
          </w:tcPr>
          <w:p w14:paraId="6495724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远程异地</w:t>
            </w:r>
          </w:p>
        </w:tc>
        <w:tc>
          <w:tcPr>
            <w:tcW w:w="150" w:type="pct"/>
            <w:vAlign w:val="center"/>
          </w:tcPr>
          <w:p w14:paraId="00DDB12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隔夜评标（审）</w:t>
            </w:r>
          </w:p>
        </w:tc>
        <w:tc>
          <w:tcPr>
            <w:tcW w:w="150" w:type="pct"/>
            <w:vAlign w:val="center"/>
          </w:tcPr>
          <w:p w14:paraId="562F805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eastAsia" w:ascii="Times New Roman" w:hAnsi="Times New Roman" w:eastAsia="仿宋" w:cs="Times New Roman"/>
                <w:color w:val="auto"/>
                <w:sz w:val="24"/>
                <w:szCs w:val="24"/>
                <w:vertAlign w:val="baseline"/>
                <w:lang w:val="en-US" w:eastAsia="zh-CN"/>
              </w:rPr>
              <w:t>清标</w:t>
            </w:r>
          </w:p>
        </w:tc>
        <w:tc>
          <w:tcPr>
            <w:tcW w:w="150" w:type="pct"/>
            <w:vAlign w:val="center"/>
          </w:tcPr>
          <w:p w14:paraId="6CCE879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封标</w:t>
            </w:r>
          </w:p>
        </w:tc>
        <w:tc>
          <w:tcPr>
            <w:tcW w:w="150" w:type="pct"/>
            <w:vAlign w:val="center"/>
          </w:tcPr>
          <w:p w14:paraId="5FD8869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废标</w:t>
            </w:r>
          </w:p>
        </w:tc>
        <w:tc>
          <w:tcPr>
            <w:tcW w:w="150" w:type="pct"/>
            <w:vAlign w:val="center"/>
          </w:tcPr>
          <w:p w14:paraId="5F89CDA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延期</w:t>
            </w:r>
          </w:p>
        </w:tc>
        <w:tc>
          <w:tcPr>
            <w:tcW w:w="150" w:type="pct"/>
            <w:vAlign w:val="center"/>
          </w:tcPr>
          <w:p w14:paraId="3EAA318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备注</w:t>
            </w:r>
          </w:p>
        </w:tc>
      </w:tr>
      <w:tr w14:paraId="29351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50" w:type="pct"/>
            <w:vAlign w:val="center"/>
          </w:tcPr>
          <w:p w14:paraId="0039565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工程</w:t>
            </w:r>
          </w:p>
          <w:p w14:paraId="00E288E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建设</w:t>
            </w:r>
          </w:p>
        </w:tc>
        <w:tc>
          <w:tcPr>
            <w:tcW w:w="150" w:type="pct"/>
            <w:vAlign w:val="center"/>
          </w:tcPr>
          <w:p w14:paraId="5BDB472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50" w:type="pct"/>
            <w:vAlign w:val="center"/>
          </w:tcPr>
          <w:p w14:paraId="5FCCAEE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50" w:type="pct"/>
            <w:vAlign w:val="center"/>
          </w:tcPr>
          <w:p w14:paraId="68BB092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50" w:type="pct"/>
            <w:vAlign w:val="center"/>
          </w:tcPr>
          <w:p w14:paraId="1E60029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50" w:type="pct"/>
            <w:vAlign w:val="center"/>
          </w:tcPr>
          <w:p w14:paraId="24E2325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50" w:type="pct"/>
            <w:vAlign w:val="center"/>
          </w:tcPr>
          <w:p w14:paraId="634A257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50" w:type="pct"/>
            <w:vAlign w:val="center"/>
          </w:tcPr>
          <w:p w14:paraId="594B97D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1387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150" w:type="pct"/>
            <w:vAlign w:val="center"/>
          </w:tcPr>
          <w:p w14:paraId="36A3D0A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政府</w:t>
            </w:r>
          </w:p>
          <w:p w14:paraId="4326DCB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采购</w:t>
            </w:r>
          </w:p>
        </w:tc>
        <w:tc>
          <w:tcPr>
            <w:tcW w:w="150" w:type="pct"/>
            <w:vAlign w:val="center"/>
          </w:tcPr>
          <w:p w14:paraId="51D046E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50" w:type="pct"/>
            <w:vAlign w:val="center"/>
          </w:tcPr>
          <w:p w14:paraId="176046B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50" w:type="pct"/>
            <w:vAlign w:val="center"/>
          </w:tcPr>
          <w:p w14:paraId="0AA775C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50" w:type="pct"/>
            <w:vAlign w:val="center"/>
          </w:tcPr>
          <w:p w14:paraId="0E2C3B4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50" w:type="pct"/>
            <w:vAlign w:val="center"/>
          </w:tcPr>
          <w:p w14:paraId="277F3C7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50" w:type="pct"/>
            <w:vAlign w:val="center"/>
          </w:tcPr>
          <w:p w14:paraId="6248832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50" w:type="pct"/>
            <w:vAlign w:val="center"/>
          </w:tcPr>
          <w:p w14:paraId="3A552E6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6D27F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150" w:type="pct"/>
            <w:vAlign w:val="center"/>
          </w:tcPr>
          <w:p w14:paraId="494B983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国有</w:t>
            </w:r>
          </w:p>
          <w:p w14:paraId="526D223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资产</w:t>
            </w:r>
          </w:p>
        </w:tc>
        <w:tc>
          <w:tcPr>
            <w:tcW w:w="150" w:type="pct"/>
            <w:vAlign w:val="center"/>
          </w:tcPr>
          <w:p w14:paraId="7770D25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50" w:type="pct"/>
            <w:vAlign w:val="center"/>
          </w:tcPr>
          <w:p w14:paraId="7098DB4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50" w:type="pct"/>
            <w:vAlign w:val="center"/>
          </w:tcPr>
          <w:p w14:paraId="7F9F823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50" w:type="pct"/>
            <w:vAlign w:val="center"/>
          </w:tcPr>
          <w:p w14:paraId="4CFD6CF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50" w:type="pct"/>
            <w:vAlign w:val="center"/>
          </w:tcPr>
          <w:p w14:paraId="01D168D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50" w:type="pct"/>
            <w:vAlign w:val="center"/>
          </w:tcPr>
          <w:p w14:paraId="3E0D107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p w14:paraId="323C45C7">
            <w:pPr>
              <w:bidi w:val="0"/>
              <w:rPr>
                <w:rFonts w:hint="default" w:ascii="Calibri" w:hAnsi="Calibri" w:eastAsia="宋体" w:cs="Times New Roman"/>
                <w:kern w:val="2"/>
                <w:sz w:val="21"/>
                <w:szCs w:val="24"/>
                <w:lang w:val="en-US" w:eastAsia="zh-CN" w:bidi="ar-SA"/>
              </w:rPr>
            </w:pPr>
          </w:p>
          <w:p w14:paraId="188964B5">
            <w:pPr>
              <w:bidi w:val="0"/>
              <w:jc w:val="center"/>
              <w:rPr>
                <w:rFonts w:hint="default"/>
                <w:lang w:val="en-US" w:eastAsia="zh-CN"/>
              </w:rPr>
            </w:pPr>
          </w:p>
        </w:tc>
        <w:tc>
          <w:tcPr>
            <w:tcW w:w="150" w:type="pct"/>
            <w:vAlign w:val="center"/>
          </w:tcPr>
          <w:p w14:paraId="65B9234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43F81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150" w:type="pct"/>
            <w:vAlign w:val="center"/>
          </w:tcPr>
          <w:p w14:paraId="0AD4153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矿权</w:t>
            </w:r>
          </w:p>
        </w:tc>
        <w:tc>
          <w:tcPr>
            <w:tcW w:w="150" w:type="pct"/>
            <w:vAlign w:val="center"/>
          </w:tcPr>
          <w:p w14:paraId="2DF70A4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50" w:type="pct"/>
            <w:vAlign w:val="center"/>
          </w:tcPr>
          <w:p w14:paraId="2A36C62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50" w:type="pct"/>
            <w:vAlign w:val="center"/>
          </w:tcPr>
          <w:p w14:paraId="6FFE28B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50" w:type="pct"/>
            <w:vAlign w:val="center"/>
          </w:tcPr>
          <w:p w14:paraId="7114C84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50" w:type="pct"/>
            <w:vAlign w:val="center"/>
          </w:tcPr>
          <w:p w14:paraId="09E9117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50" w:type="pct"/>
            <w:vAlign w:val="center"/>
          </w:tcPr>
          <w:p w14:paraId="142FB67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50" w:type="pct"/>
            <w:vAlign w:val="center"/>
          </w:tcPr>
          <w:p w14:paraId="672C437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550DC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50" w:type="pct"/>
            <w:vAlign w:val="center"/>
          </w:tcPr>
          <w:p w14:paraId="5EFD867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合计</w:t>
            </w:r>
          </w:p>
        </w:tc>
        <w:tc>
          <w:tcPr>
            <w:tcW w:w="150" w:type="pct"/>
            <w:vAlign w:val="center"/>
          </w:tcPr>
          <w:p w14:paraId="41CF00F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50" w:type="pct"/>
            <w:vAlign w:val="center"/>
          </w:tcPr>
          <w:p w14:paraId="2D67E55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50" w:type="pct"/>
            <w:vAlign w:val="center"/>
          </w:tcPr>
          <w:p w14:paraId="7213B64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50" w:type="pct"/>
            <w:vAlign w:val="center"/>
          </w:tcPr>
          <w:p w14:paraId="7D257AC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50" w:type="pct"/>
            <w:vAlign w:val="center"/>
          </w:tcPr>
          <w:p w14:paraId="675161B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50" w:type="pct"/>
            <w:vAlign w:val="center"/>
          </w:tcPr>
          <w:p w14:paraId="102801C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50" w:type="pct"/>
            <w:vAlign w:val="center"/>
          </w:tcPr>
          <w:p w14:paraId="7F81466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bl>
    <w:p w14:paraId="059AC75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 w:cs="Times New Roman"/>
          <w:color w:val="auto"/>
          <w:sz w:val="30"/>
          <w:szCs w:val="30"/>
          <w:lang w:val="en-US" w:eastAsia="zh-CN"/>
        </w:rPr>
      </w:pPr>
      <w:r>
        <w:rPr>
          <w:rFonts w:hint="default" w:ascii="Times New Roman" w:hAnsi="Times New Roman" w:eastAsia="仿宋" w:cs="Times New Roman"/>
          <w:color w:val="auto"/>
          <w:sz w:val="30"/>
          <w:szCs w:val="30"/>
          <w:lang w:val="en-US" w:eastAsia="zh-CN"/>
        </w:rPr>
        <w:t>统计人：                                                             统计处室负责人：</w:t>
      </w:r>
    </w:p>
    <w:p w14:paraId="5A3D885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 w:cs="Times New Roman"/>
          <w:color w:val="auto"/>
          <w:sz w:val="30"/>
          <w:szCs w:val="30"/>
          <w:lang w:val="en-US" w:eastAsia="zh-CN"/>
        </w:rPr>
        <w:sectPr>
          <w:pgSz w:w="16838" w:h="11906" w:orient="landscape"/>
          <w:pgMar w:top="1587" w:right="1440" w:bottom="1474" w:left="1440" w:header="851" w:footer="992" w:gutter="0"/>
          <w:pgNumType w:fmt="decimal"/>
          <w:cols w:space="425" w:num="1"/>
          <w:docGrid w:type="lines" w:linePitch="312" w:charSpace="0"/>
        </w:sectPr>
      </w:pPr>
      <w:r>
        <w:rPr>
          <w:rFonts w:hint="default" w:ascii="Times New Roman" w:hAnsi="Times New Roman" w:eastAsia="仿宋" w:cs="Times New Roman"/>
          <w:color w:val="auto"/>
          <w:sz w:val="30"/>
          <w:szCs w:val="30"/>
          <w:lang w:val="en-US" w:eastAsia="zh-CN"/>
        </w:rPr>
        <w:t>注：此表按月、季、半年、年统计。</w:t>
      </w:r>
    </w:p>
    <w:p w14:paraId="1F921BA4">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附件20</w:t>
      </w:r>
    </w:p>
    <w:p w14:paraId="2FB8EC32">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default" w:ascii="Times New Roman" w:hAnsi="Times New Roman" w:eastAsia="仿宋" w:cs="Times New Roman"/>
          <w:color w:val="auto"/>
          <w:sz w:val="32"/>
          <w:szCs w:val="32"/>
          <w:lang w:val="en-US" w:eastAsia="zh-CN"/>
        </w:rPr>
      </w:pPr>
      <w:r>
        <w:rPr>
          <w:rFonts w:hint="default" w:ascii="Times New Roman" w:hAnsi="Times New Roman" w:eastAsia="方正小标宋简体" w:cs="Times New Roman"/>
          <w:color w:val="auto"/>
          <w:sz w:val="44"/>
          <w:szCs w:val="44"/>
          <w:lang w:val="en-US" w:eastAsia="zh-CN"/>
        </w:rPr>
        <w:t>进场交易项目案件（例）见证呈报表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8"/>
        <w:gridCol w:w="3207"/>
        <w:gridCol w:w="1500"/>
        <w:gridCol w:w="2366"/>
      </w:tblGrid>
      <w:tr w14:paraId="7B9BE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1988" w:type="dxa"/>
            <w:vAlign w:val="center"/>
          </w:tcPr>
          <w:p w14:paraId="65667B4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案例名称</w:t>
            </w:r>
          </w:p>
        </w:tc>
        <w:tc>
          <w:tcPr>
            <w:tcW w:w="7073" w:type="dxa"/>
            <w:gridSpan w:val="3"/>
            <w:vAlign w:val="center"/>
          </w:tcPr>
          <w:p w14:paraId="2EA5545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2872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1988" w:type="dxa"/>
            <w:vAlign w:val="center"/>
          </w:tcPr>
          <w:p w14:paraId="3E10422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填报处室</w:t>
            </w:r>
          </w:p>
        </w:tc>
        <w:tc>
          <w:tcPr>
            <w:tcW w:w="3207" w:type="dxa"/>
            <w:vAlign w:val="center"/>
          </w:tcPr>
          <w:p w14:paraId="34FA193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c>
          <w:tcPr>
            <w:tcW w:w="1500" w:type="dxa"/>
            <w:vAlign w:val="center"/>
          </w:tcPr>
          <w:p w14:paraId="3DBF8A0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填报时间</w:t>
            </w:r>
          </w:p>
        </w:tc>
        <w:tc>
          <w:tcPr>
            <w:tcW w:w="2366" w:type="dxa"/>
            <w:vAlign w:val="center"/>
          </w:tcPr>
          <w:p w14:paraId="5C7F331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05FDA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6" w:hRule="atLeast"/>
        </w:trPr>
        <w:tc>
          <w:tcPr>
            <w:tcW w:w="1988" w:type="dxa"/>
            <w:vAlign w:val="center"/>
          </w:tcPr>
          <w:p w14:paraId="31757B5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案例内容</w:t>
            </w:r>
          </w:p>
        </w:tc>
        <w:tc>
          <w:tcPr>
            <w:tcW w:w="7073" w:type="dxa"/>
            <w:gridSpan w:val="3"/>
            <w:vAlign w:val="center"/>
          </w:tcPr>
          <w:p w14:paraId="6D75D7E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7B85B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2" w:hRule="atLeast"/>
        </w:trPr>
        <w:tc>
          <w:tcPr>
            <w:tcW w:w="1988" w:type="dxa"/>
            <w:vAlign w:val="center"/>
          </w:tcPr>
          <w:p w14:paraId="45DAB25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处理过程</w:t>
            </w:r>
          </w:p>
        </w:tc>
        <w:tc>
          <w:tcPr>
            <w:tcW w:w="7073" w:type="dxa"/>
            <w:gridSpan w:val="3"/>
            <w:vMerge w:val="restart"/>
            <w:vAlign w:val="center"/>
          </w:tcPr>
          <w:p w14:paraId="4FD77C3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1417C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2" w:hRule="atLeast"/>
        </w:trPr>
        <w:tc>
          <w:tcPr>
            <w:tcW w:w="1988" w:type="dxa"/>
            <w:vAlign w:val="center"/>
          </w:tcPr>
          <w:p w14:paraId="318449A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处理依据</w:t>
            </w:r>
          </w:p>
        </w:tc>
        <w:tc>
          <w:tcPr>
            <w:tcW w:w="7073" w:type="dxa"/>
            <w:gridSpan w:val="3"/>
            <w:vMerge w:val="restart"/>
            <w:vAlign w:val="center"/>
          </w:tcPr>
          <w:p w14:paraId="497FE6E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6BA9F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8" w:hRule="atLeast"/>
        </w:trPr>
        <w:tc>
          <w:tcPr>
            <w:tcW w:w="1988" w:type="dxa"/>
            <w:vAlign w:val="center"/>
          </w:tcPr>
          <w:p w14:paraId="4F33253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处理结果</w:t>
            </w:r>
          </w:p>
        </w:tc>
        <w:tc>
          <w:tcPr>
            <w:tcW w:w="7073" w:type="dxa"/>
            <w:gridSpan w:val="3"/>
            <w:vAlign w:val="center"/>
          </w:tcPr>
          <w:p w14:paraId="3DD2F6F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p>
        </w:tc>
      </w:tr>
      <w:tr w14:paraId="19937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1988" w:type="dxa"/>
            <w:vAlign w:val="center"/>
          </w:tcPr>
          <w:p w14:paraId="59D2D56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备注</w:t>
            </w:r>
          </w:p>
        </w:tc>
        <w:tc>
          <w:tcPr>
            <w:tcW w:w="7073" w:type="dxa"/>
            <w:gridSpan w:val="3"/>
            <w:vAlign w:val="center"/>
          </w:tcPr>
          <w:p w14:paraId="784BDA8F">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仿宋" w:cs="Times New Roman"/>
                <w:color w:val="auto"/>
                <w:sz w:val="24"/>
                <w:szCs w:val="24"/>
                <w:vertAlign w:val="baseline"/>
                <w:lang w:val="en-US" w:eastAsia="zh-CN"/>
              </w:rPr>
            </w:pPr>
            <w:r>
              <w:rPr>
                <w:rFonts w:hint="default" w:ascii="Times New Roman" w:hAnsi="Times New Roman" w:eastAsia="仿宋" w:cs="Times New Roman"/>
                <w:color w:val="auto"/>
                <w:sz w:val="24"/>
                <w:szCs w:val="24"/>
                <w:vertAlign w:val="baseline"/>
                <w:lang w:val="en-US" w:eastAsia="zh-CN"/>
              </w:rPr>
              <w:t>（有材料可附后）</w:t>
            </w:r>
          </w:p>
        </w:tc>
      </w:tr>
    </w:tbl>
    <w:p w14:paraId="107AC03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仿宋" w:cs="Times New Roman"/>
          <w:color w:val="auto"/>
          <w:sz w:val="30"/>
          <w:szCs w:val="30"/>
          <w:lang w:val="en-US" w:eastAsia="zh-CN"/>
        </w:rPr>
        <w:sectPr>
          <w:pgSz w:w="11906" w:h="16838"/>
          <w:pgMar w:top="1440" w:right="1474" w:bottom="1440" w:left="1587" w:header="851" w:footer="992" w:gutter="0"/>
          <w:pgNumType w:fmt="decimal"/>
          <w:cols w:space="425" w:num="1"/>
          <w:docGrid w:type="lines" w:linePitch="312" w:charSpace="0"/>
        </w:sectPr>
      </w:pPr>
      <w:r>
        <w:rPr>
          <w:rFonts w:hint="default" w:ascii="Times New Roman" w:hAnsi="Times New Roman" w:eastAsia="仿宋" w:cs="Times New Roman"/>
          <w:color w:val="auto"/>
          <w:sz w:val="30"/>
          <w:szCs w:val="30"/>
          <w:lang w:val="en-US" w:eastAsia="zh-CN"/>
        </w:rPr>
        <w:t>注：此表用于总结、搜集、整理见证工作中的案件（例）以及好的做法和经验，及时报省中心后报送或移送。</w:t>
      </w:r>
    </w:p>
    <w:p w14:paraId="2F7D424B">
      <w:pPr>
        <w:rPr>
          <w:rFonts w:hint="default"/>
          <w:lang w:val="en-US" w:eastAsia="zh-CN"/>
        </w:rPr>
      </w:pPr>
    </w:p>
    <w:p w14:paraId="22A009AA">
      <w:pPr>
        <w:pStyle w:val="2"/>
        <w:rPr>
          <w:rFonts w:hint="default"/>
          <w:lang w:val="en-US" w:eastAsia="zh-CN"/>
        </w:rPr>
      </w:pPr>
    </w:p>
    <w:p w14:paraId="6132772D">
      <w:pPr>
        <w:pStyle w:val="3"/>
        <w:rPr>
          <w:rFonts w:hint="default"/>
          <w:lang w:val="en-US" w:eastAsia="zh-CN"/>
        </w:rPr>
      </w:pPr>
    </w:p>
    <w:p w14:paraId="4AF69C59">
      <w:pPr>
        <w:rPr>
          <w:rFonts w:hint="default"/>
          <w:lang w:val="en-US" w:eastAsia="zh-CN"/>
        </w:rPr>
      </w:pPr>
    </w:p>
    <w:p w14:paraId="18C8E856">
      <w:pPr>
        <w:pStyle w:val="2"/>
        <w:rPr>
          <w:rFonts w:hint="default"/>
          <w:lang w:val="en-US" w:eastAsia="zh-CN"/>
        </w:rPr>
      </w:pPr>
    </w:p>
    <w:p w14:paraId="0FDA93B0">
      <w:pPr>
        <w:pStyle w:val="3"/>
        <w:rPr>
          <w:rFonts w:hint="default"/>
          <w:lang w:val="en-US" w:eastAsia="zh-CN"/>
        </w:rPr>
      </w:pPr>
    </w:p>
    <w:p w14:paraId="3D5F54E3">
      <w:pPr>
        <w:rPr>
          <w:rFonts w:hint="default"/>
          <w:lang w:val="en-US" w:eastAsia="zh-CN"/>
        </w:rPr>
      </w:pPr>
    </w:p>
    <w:p w14:paraId="21A1056F">
      <w:pPr>
        <w:pStyle w:val="2"/>
        <w:rPr>
          <w:rFonts w:hint="default"/>
          <w:lang w:val="en-US" w:eastAsia="zh-CN"/>
        </w:rPr>
      </w:pPr>
    </w:p>
    <w:p w14:paraId="0DD990D0">
      <w:pPr>
        <w:pStyle w:val="3"/>
        <w:rPr>
          <w:rFonts w:hint="default"/>
          <w:lang w:val="en-US" w:eastAsia="zh-CN"/>
        </w:rPr>
      </w:pPr>
    </w:p>
    <w:p w14:paraId="5833ACB5">
      <w:pPr>
        <w:rPr>
          <w:rFonts w:hint="default"/>
          <w:lang w:val="en-US" w:eastAsia="zh-CN"/>
        </w:rPr>
      </w:pPr>
    </w:p>
    <w:p w14:paraId="62F5B8C8">
      <w:pPr>
        <w:pStyle w:val="2"/>
        <w:rPr>
          <w:rFonts w:hint="default"/>
          <w:lang w:val="en-US" w:eastAsia="zh-CN"/>
        </w:rPr>
      </w:pPr>
    </w:p>
    <w:p w14:paraId="677DDC6D">
      <w:pPr>
        <w:pStyle w:val="3"/>
        <w:rPr>
          <w:rFonts w:hint="default"/>
          <w:lang w:val="en-US" w:eastAsia="zh-CN"/>
        </w:rPr>
      </w:pPr>
    </w:p>
    <w:p w14:paraId="12D44B7F">
      <w:pPr>
        <w:rPr>
          <w:rFonts w:hint="default"/>
          <w:lang w:val="en-US" w:eastAsia="zh-CN"/>
        </w:rPr>
      </w:pPr>
    </w:p>
    <w:p w14:paraId="42D2EF89">
      <w:pPr>
        <w:pStyle w:val="2"/>
        <w:rPr>
          <w:rFonts w:hint="default"/>
          <w:lang w:val="en-US" w:eastAsia="zh-CN"/>
        </w:rPr>
      </w:pPr>
    </w:p>
    <w:p w14:paraId="1BE8FD06">
      <w:pPr>
        <w:pStyle w:val="3"/>
        <w:rPr>
          <w:rFonts w:hint="default"/>
          <w:lang w:val="en-US" w:eastAsia="zh-CN"/>
        </w:rPr>
      </w:pPr>
    </w:p>
    <w:p w14:paraId="6149B17A">
      <w:pPr>
        <w:rPr>
          <w:rFonts w:hint="default"/>
          <w:lang w:val="en-US" w:eastAsia="zh-CN"/>
        </w:rPr>
      </w:pPr>
    </w:p>
    <w:p w14:paraId="6559B8F4">
      <w:pPr>
        <w:pStyle w:val="2"/>
        <w:rPr>
          <w:rFonts w:hint="default"/>
          <w:lang w:val="en-US" w:eastAsia="zh-CN"/>
        </w:rPr>
      </w:pPr>
    </w:p>
    <w:p w14:paraId="72BEF6ED">
      <w:pPr>
        <w:pStyle w:val="3"/>
        <w:rPr>
          <w:rFonts w:hint="default"/>
          <w:lang w:val="en-US" w:eastAsia="zh-CN"/>
        </w:rPr>
      </w:pPr>
    </w:p>
    <w:p w14:paraId="3B35C1CA">
      <w:pPr>
        <w:rPr>
          <w:rFonts w:hint="default"/>
          <w:lang w:val="en-US" w:eastAsia="zh-CN"/>
        </w:rPr>
      </w:pPr>
    </w:p>
    <w:p w14:paraId="07ADA10A">
      <w:pPr>
        <w:pStyle w:val="2"/>
        <w:rPr>
          <w:rFonts w:hint="default"/>
          <w:lang w:val="en-US" w:eastAsia="zh-CN"/>
        </w:rPr>
      </w:pPr>
    </w:p>
    <w:p w14:paraId="1D0915B4">
      <w:pPr>
        <w:pStyle w:val="3"/>
        <w:rPr>
          <w:rFonts w:hint="default"/>
          <w:lang w:val="en-US" w:eastAsia="zh-CN"/>
        </w:rPr>
      </w:pPr>
    </w:p>
    <w:p w14:paraId="68CCBB17">
      <w:pPr>
        <w:rPr>
          <w:rFonts w:hint="default"/>
          <w:lang w:val="en-US" w:eastAsia="zh-CN"/>
        </w:rPr>
      </w:pPr>
    </w:p>
    <w:p w14:paraId="6135C788">
      <w:pPr>
        <w:pStyle w:val="2"/>
        <w:rPr>
          <w:rFonts w:hint="default"/>
          <w:lang w:val="en-US" w:eastAsia="zh-CN"/>
        </w:rPr>
      </w:pPr>
    </w:p>
    <w:p w14:paraId="0649F386">
      <w:pPr>
        <w:pStyle w:val="3"/>
        <w:rPr>
          <w:rFonts w:hint="default"/>
          <w:lang w:val="en-US" w:eastAsia="zh-CN"/>
        </w:rPr>
      </w:pPr>
    </w:p>
    <w:p w14:paraId="380FB57E">
      <w:pPr>
        <w:rPr>
          <w:rFonts w:hint="default"/>
          <w:lang w:val="en-US" w:eastAsia="zh-CN"/>
        </w:rPr>
      </w:pPr>
    </w:p>
    <w:p w14:paraId="5A466C6C">
      <w:pPr>
        <w:pStyle w:val="2"/>
        <w:rPr>
          <w:rFonts w:hint="default"/>
          <w:lang w:val="en-US" w:eastAsia="zh-CN"/>
        </w:rPr>
      </w:pPr>
    </w:p>
    <w:p w14:paraId="4F4EB838">
      <w:pPr>
        <w:pStyle w:val="3"/>
        <w:rPr>
          <w:rFonts w:hint="default"/>
          <w:lang w:val="en-US" w:eastAsia="zh-CN"/>
        </w:rPr>
      </w:pPr>
    </w:p>
    <w:p w14:paraId="4F81AF92">
      <w:pPr>
        <w:rPr>
          <w:rFonts w:hint="default"/>
          <w:lang w:val="en-US" w:eastAsia="zh-CN"/>
        </w:rPr>
      </w:pPr>
    </w:p>
    <w:p w14:paraId="01E23A63">
      <w:pPr>
        <w:pStyle w:val="2"/>
        <w:rPr>
          <w:rFonts w:hint="default"/>
          <w:lang w:val="en-US" w:eastAsia="zh-CN"/>
        </w:rPr>
      </w:pPr>
    </w:p>
    <w:p w14:paraId="185AF149">
      <w:pPr>
        <w:pStyle w:val="3"/>
        <w:rPr>
          <w:rFonts w:hint="default"/>
          <w:lang w:val="en-US" w:eastAsia="zh-CN"/>
        </w:rPr>
      </w:pPr>
    </w:p>
    <w:p w14:paraId="4C560AB6">
      <w:pPr>
        <w:rPr>
          <w:rFonts w:hint="default"/>
          <w:lang w:val="en-US" w:eastAsia="zh-CN"/>
        </w:rPr>
      </w:pPr>
    </w:p>
    <w:p w14:paraId="0E39449D">
      <w:pPr>
        <w:pStyle w:val="3"/>
        <w:ind w:left="0" w:leftChars="0" w:firstLine="0" w:firstLineChars="0"/>
        <w:jc w:val="both"/>
        <w:rPr>
          <w:rFonts w:hint="default"/>
          <w:lang w:val="en-US" w:eastAsia="zh-CN"/>
        </w:rPr>
      </w:pPr>
    </w:p>
    <w:p w14:paraId="467CB977">
      <w:pPr>
        <w:pStyle w:val="2"/>
        <w:rPr>
          <w:rFonts w:hint="default"/>
          <w:lang w:val="en-US" w:eastAsia="zh-CN"/>
        </w:rPr>
      </w:pPr>
    </w:p>
    <w:p w14:paraId="14F3BB02">
      <w:pPr>
        <w:keepNext w:val="0"/>
        <w:keepLines w:val="0"/>
        <w:pageBreakBefore w:val="0"/>
        <w:widowControl w:val="0"/>
        <w:kinsoku/>
        <w:wordWrap/>
        <w:overflowPunct/>
        <w:topLinePunct w:val="0"/>
        <w:autoSpaceDE/>
        <w:autoSpaceDN/>
        <w:bidi w:val="0"/>
        <w:adjustRightInd/>
        <w:snapToGrid/>
        <w:spacing w:line="576" w:lineRule="exact"/>
        <w:ind w:firstLine="0" w:firstLineChars="0"/>
        <w:textAlignment w:val="auto"/>
        <w:rPr>
          <w:rFonts w:hint="default"/>
          <w:lang w:val="en-US" w:eastAsia="zh-CN"/>
        </w:rPr>
      </w:pPr>
      <w:r>
        <w:rPr>
          <w:rFonts w:hint="default" w:ascii="Times New Roman" w:hAnsi="Times New Roman" w:eastAsia="仿宋" w:cs="Times New Roman"/>
          <w:b w:val="0"/>
          <w:bCs/>
          <w:color w:val="000000"/>
          <w:spacing w:val="-16"/>
          <w:kern w:val="2"/>
          <w:sz w:val="28"/>
          <w:szCs w:val="28"/>
        </w:rPr>
        <mc:AlternateContent>
          <mc:Choice Requires="wps">
            <w:drawing>
              <wp:anchor distT="0" distB="0" distL="114300" distR="114300" simplePos="0" relativeHeight="251662336" behindDoc="0" locked="0" layoutInCell="1" allowOverlap="1">
                <wp:simplePos x="0" y="0"/>
                <wp:positionH relativeFrom="column">
                  <wp:posOffset>-104140</wp:posOffset>
                </wp:positionH>
                <wp:positionV relativeFrom="paragraph">
                  <wp:posOffset>81280</wp:posOffset>
                </wp:positionV>
                <wp:extent cx="5762625" cy="7620"/>
                <wp:effectExtent l="0" t="0" r="0" b="0"/>
                <wp:wrapNone/>
                <wp:docPr id="1026" name="直接连接符 1026"/>
                <wp:cNvGraphicFramePr/>
                <a:graphic xmlns:a="http://schemas.openxmlformats.org/drawingml/2006/main">
                  <a:graphicData uri="http://schemas.microsoft.com/office/word/2010/wordprocessingShape">
                    <wps:wsp>
                      <wps:cNvCnPr/>
                      <wps:spPr>
                        <a:xfrm>
                          <a:off x="0" y="0"/>
                          <a:ext cx="5762625" cy="7620"/>
                        </a:xfrm>
                        <a:prstGeom prst="line">
                          <a:avLst/>
                        </a:prstGeom>
                        <a:ln w="9525" cap="flat" cmpd="sng">
                          <a:solidFill>
                            <a:srgbClr val="000000"/>
                          </a:solidFill>
                          <a:prstDash val="solid"/>
                          <a:round/>
                        </a:ln>
                        <a:effectLst/>
                      </wps:spPr>
                      <wps:bodyPr/>
                    </wps:wsp>
                  </a:graphicData>
                </a:graphic>
              </wp:anchor>
            </w:drawing>
          </mc:Choice>
          <mc:Fallback>
            <w:pict>
              <v:line id="_x0000_s1026" o:spid="_x0000_s1026" o:spt="20" style="position:absolute;left:0pt;margin-left:-8.2pt;margin-top:6.4pt;height:0.6pt;width:453.75pt;z-index:251662336;mso-width-relative:page;mso-height-relative:page;" filled="f" stroked="t" coordsize="21600,21600" o:gfxdata="UEsDBAoAAAAAAIdO4kAAAAAAAAAAAAAAAAAEAAAAZHJzL1BLAwQUAAAACACHTuJA4icpRdYAAAAJ&#10;AQAADwAAAGRycy9kb3ducmV2LnhtbE2PzU7DMBCE70i8g7VIXKrWTqiqEuL0AOTGhQLiuo2XJCJe&#10;p7H7A0/PcoLjznyanSk3Zz+oI02xD2whWxhQxE1wPbcWXl/q+RpUTMgOh8Bk4YsibKrLixILF078&#10;TMdtapWEcCzQQpfSWGgdm448xkUYicX7CJPHJOfUajfhScL9oHNjVtpjz/Khw5HuO2o+twdvIdZv&#10;tK+/Z83MvN+0gfL9w9MjWnt9lZk7UInO6Q+G3/pSHSrptAsHdlENFubZaimoGLlMEGB9m2WgdiIs&#10;Deiq1P8XVD9QSwMEFAAAAAgAh07iQCOV5rfbAQAApQMAAA4AAABkcnMvZTJvRG9jLnhtbK1TzY7T&#10;MBC+I/EOlu802UgtEDXdw1bLBUEl4AFcx2ks+U8zbtO+BC+AxA1OHLnzNuw+BmMnlGX3sofNwRl7&#10;Zr7x9+XL8vJoDTsoQO1dwy9mJWfKSd9qt2v4p4/XL15xhlG4VhjvVMNPCvnl6vmz5RBqVfnem1YB&#10;IxCH9RAa3scY6qJA2SsrcOaDcpTsPFgRaQu7ogUxELo1RVWWi2Lw0AbwUiHS6XpM8gkRHgPou05L&#10;tfZyb5WLIyooIyJRwl4H5Kt8265TMr7vOlSRmYYT05hXGkLxNq3FainqHYjQazldQTzmCvc4WaEd&#10;DT1DrUUUbA/6AZTVEjz6Ls6kt8VIJCtCLC7Ke9p86EVQmQtJjeEsOj4drHx32ADTLTmhrBacOWHp&#10;m998+fn787fbX19pvfnxneUcSTUErKnjym1g2mHYQOJ97MCmNzFixyzv6SyvOkYm6XD+clEtqjln&#10;knIUZ/WLf70BML5R3rIUNNxol8iLWhzeYqR5VPq3JB0bx4aGv55nREFO7MgBBG4DsUG3y73ojW6v&#10;tTGpA2G3vTLADiK5IT/JAIT7X1kashbYj3U5NfoE/N61Y4NxCVBlh023S+KMcqRo69tTVqlIO/p6&#10;ec7ktGSPu3uK7/5dq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iJylF1gAAAAkBAAAPAAAAAAAA&#10;AAEAIAAAACIAAABkcnMvZG93bnJldi54bWxQSwECFAAUAAAACACHTuJAI5Xmt9sBAAClAwAADgAA&#10;AAAAAAABACAAAAAlAQAAZHJzL2Uyb0RvYy54bWxQSwUGAAAAAAYABgBZAQAAcgUAAAAA&#10;">
                <v:fill on="f" focussize="0,0"/>
                <v:stroke color="#000000" joinstyle="round"/>
                <v:imagedata o:title=""/>
                <o:lock v:ext="edit" aspectratio="f"/>
              </v:line>
            </w:pict>
          </mc:Fallback>
        </mc:AlternateContent>
      </w:r>
      <w:r>
        <w:rPr>
          <w:rFonts w:hint="default" w:ascii="Times New Roman" w:hAnsi="Times New Roman" w:eastAsia="仿宋" w:cs="Times New Roman"/>
          <w:b w:val="0"/>
          <w:bCs/>
          <w:color w:val="000000"/>
          <w:spacing w:val="-16"/>
          <w:kern w:val="2"/>
          <w:sz w:val="28"/>
          <w:szCs w:val="28"/>
        </w:rPr>
        <mc:AlternateContent>
          <mc:Choice Requires="wps">
            <w:drawing>
              <wp:anchor distT="0" distB="0" distL="114300" distR="114300" simplePos="0" relativeHeight="251663360" behindDoc="0" locked="0" layoutInCell="1" allowOverlap="1">
                <wp:simplePos x="0" y="0"/>
                <wp:positionH relativeFrom="column">
                  <wp:posOffset>-103505</wp:posOffset>
                </wp:positionH>
                <wp:positionV relativeFrom="paragraph">
                  <wp:posOffset>379095</wp:posOffset>
                </wp:positionV>
                <wp:extent cx="5762625" cy="7620"/>
                <wp:effectExtent l="0" t="0" r="0" b="0"/>
                <wp:wrapNone/>
                <wp:docPr id="1027" name="直接连接符 1027"/>
                <wp:cNvGraphicFramePr/>
                <a:graphic xmlns:a="http://schemas.openxmlformats.org/drawingml/2006/main">
                  <a:graphicData uri="http://schemas.microsoft.com/office/word/2010/wordprocessingShape">
                    <wps:wsp>
                      <wps:cNvCnPr/>
                      <wps:spPr>
                        <a:xfrm>
                          <a:off x="0" y="0"/>
                          <a:ext cx="5762625" cy="7620"/>
                        </a:xfrm>
                        <a:prstGeom prst="line">
                          <a:avLst/>
                        </a:prstGeom>
                        <a:ln w="9525" cap="flat" cmpd="sng">
                          <a:solidFill>
                            <a:srgbClr val="000000"/>
                          </a:solidFill>
                          <a:prstDash val="solid"/>
                          <a:round/>
                        </a:ln>
                        <a:effectLst/>
                      </wps:spPr>
                      <wps:bodyPr/>
                    </wps:wsp>
                  </a:graphicData>
                </a:graphic>
              </wp:anchor>
            </w:drawing>
          </mc:Choice>
          <mc:Fallback>
            <w:pict>
              <v:line id="_x0000_s1026" o:spid="_x0000_s1026" o:spt="20" style="position:absolute;left:0pt;margin-left:-8.15pt;margin-top:29.85pt;height:0.6pt;width:453.75pt;z-index:251663360;mso-width-relative:page;mso-height-relative:page;" filled="f" stroked="t" coordsize="21600,21600" o:gfxdata="UEsDBAoAAAAAAIdO4kAAAAAAAAAAAAAAAAAEAAAAZHJzL1BLAwQUAAAACACHTuJAwa5LKNgAAAAJ&#10;AQAADwAAAGRycy9kb3ducmV2LnhtbE2Py07DMBBF90j8gzVIbKrWTirSJmTSBZAdGwoV22k8JBGx&#10;ncbuA74es4Ll6B7de6bcXMwgTjz53lmEZKFAsG2c7m2L8PZaz9cgfCCraXCWEb7Yw6a6viqp0O5s&#10;X/i0Da2IJdYXhNCFMBZS+qZjQ37hRrYx+3CToRDPqZV6onMsN4NMlcqkod7GhY5Gfui4+dweDYKv&#10;d3yov2fNTL0vW8fp4fH5iRBvbxJ1DyLwJfzB8Ksf1aGKTnt3tNqLAWGeZMuIItzlKxARWOdJCmKP&#10;kKkcZFXK/x9UP1BLAwQUAAAACACHTuJAByVA3dsBAAClAwAADgAAAGRycy9lMm9Eb2MueG1srVPN&#10;jtMwEL4j8Q6W7zTZSO1C1HQPWy0XBJWAB3Adp7HkP824TfsSvAASNzhx5M7bsDwGYyeU/bnsgRyc&#10;sWfmG39fviyvjtawgwLU3jX8YlZyppz0rXa7hn/8cPPiJWcYhWuF8U41/KSQX62eP1sOoVaV771p&#10;FTACcVgPoeF9jKEuCpS9sgJnPihHyc6DFZG2sCtaEAOhW1NUZbkoBg9tAC8VIp2uxySfEOEpgL7r&#10;tFRrL/dWuTiigjIiEiXsdUC+yrftOiXju65DFZlpODGNeaUhFG/TWqyWot6BCL2W0xXEU67wgJMV&#10;2tHQM9RaRMH2oB9BWS3Bo+/iTHpbjESyIsTionygzfteBJW5kNQYzqLj/4OVbw8bYLolJ5TVJWdO&#10;WPrmt59//Pr09ffPL7Tefv/Gco6kGgLW1HHtNjDtMGwg8T52YNObGLFjlvd0llcdI5N0OL9cVItq&#10;zpmkHMVZ/eJfbwCMr5W3LAUNN9ol8qIWhzcYaR6V/i1Jx8axoeGv5hlRkBM7cgCB20Bs0O1yL3qj&#10;2xttTOpA2G2vDbCDSG7ITzIA4d4rS0PWAvuxLqdGn4Dfu3ZsMC4Bquyw6XZJnFGOFG19e8oqFWlH&#10;Xy/PmZyW7HF3T/Hdv2v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GuSyjYAAAACQEAAA8AAAAA&#10;AAAAAQAgAAAAIgAAAGRycy9kb3ducmV2LnhtbFBLAQIUABQAAAAIAIdO4kAHJUDd2wEAAKUDAAAO&#10;AAAAAAAAAAEAIAAAACcBAABkcnMvZTJvRG9jLnhtbFBLBQYAAAAABgAGAFkBAAB0BQAAAAA=&#10;">
                <v:fill on="f" focussize="0,0"/>
                <v:stroke color="#000000" joinstyle="round"/>
                <v:imagedata o:title=""/>
                <o:lock v:ext="edit" aspectratio="f"/>
              </v:line>
            </w:pict>
          </mc:Fallback>
        </mc:AlternateContent>
      </w:r>
      <w:r>
        <w:rPr>
          <w:rFonts w:hint="default" w:ascii="Times New Roman" w:hAnsi="Times New Roman" w:eastAsia="仿宋" w:cs="Times New Roman"/>
          <w:b w:val="0"/>
          <w:bCs/>
          <w:color w:val="000000"/>
          <w:spacing w:val="-16"/>
          <w:kern w:val="2"/>
          <w:sz w:val="28"/>
          <w:szCs w:val="28"/>
        </w:rPr>
        <w:t>四川省政府政务服务和公共资源交易服务中心办公室</w:t>
      </w:r>
      <w:r>
        <w:rPr>
          <w:rFonts w:hint="default" w:ascii="Times New Roman" w:hAnsi="Times New Roman" w:eastAsia="仿宋" w:cs="Times New Roman"/>
          <w:b w:val="0"/>
          <w:bCs/>
          <w:color w:val="000000"/>
          <w:spacing w:val="-16"/>
          <w:kern w:val="2"/>
          <w:sz w:val="28"/>
          <w:szCs w:val="28"/>
          <w:lang w:val="en-US" w:eastAsia="zh-CN"/>
        </w:rPr>
        <w:t xml:space="preserve">     </w:t>
      </w:r>
      <w:r>
        <w:rPr>
          <w:rFonts w:hint="default" w:ascii="Times New Roman" w:hAnsi="Times New Roman" w:eastAsia="仿宋" w:cs="Times New Roman"/>
          <w:b w:val="0"/>
          <w:bCs/>
          <w:color w:val="000000"/>
          <w:spacing w:val="-16"/>
          <w:kern w:val="2"/>
          <w:sz w:val="28"/>
          <w:szCs w:val="28"/>
          <w:lang w:eastAsia="zh-CN"/>
        </w:rPr>
        <w:t>20</w:t>
      </w:r>
      <w:r>
        <w:rPr>
          <w:rFonts w:hint="default" w:ascii="Times New Roman" w:hAnsi="Times New Roman" w:eastAsia="仿宋" w:cs="Times New Roman"/>
          <w:b w:val="0"/>
          <w:bCs/>
          <w:color w:val="000000"/>
          <w:spacing w:val="-16"/>
          <w:kern w:val="2"/>
          <w:sz w:val="28"/>
          <w:szCs w:val="28"/>
          <w:lang w:val="en-US" w:eastAsia="zh-CN"/>
        </w:rPr>
        <w:t>24</w:t>
      </w:r>
      <w:r>
        <w:rPr>
          <w:rFonts w:hint="default" w:ascii="Times New Roman" w:hAnsi="Times New Roman" w:eastAsia="仿宋" w:cs="Times New Roman"/>
          <w:b w:val="0"/>
          <w:bCs/>
          <w:color w:val="000000"/>
          <w:spacing w:val="-16"/>
          <w:kern w:val="2"/>
          <w:sz w:val="28"/>
          <w:szCs w:val="28"/>
        </w:rPr>
        <w:t>年</w:t>
      </w:r>
      <w:r>
        <w:rPr>
          <w:rFonts w:hint="eastAsia" w:ascii="Times New Roman" w:hAnsi="Times New Roman" w:eastAsia="仿宋" w:cs="Times New Roman"/>
          <w:b w:val="0"/>
          <w:bCs/>
          <w:color w:val="000000"/>
          <w:spacing w:val="-16"/>
          <w:kern w:val="2"/>
          <w:sz w:val="28"/>
          <w:szCs w:val="28"/>
          <w:lang w:val="en-US" w:eastAsia="zh-CN"/>
        </w:rPr>
        <w:t>10</w:t>
      </w:r>
      <w:r>
        <w:rPr>
          <w:rFonts w:hint="default" w:ascii="Times New Roman" w:hAnsi="Times New Roman" w:eastAsia="仿宋" w:cs="Times New Roman"/>
          <w:b w:val="0"/>
          <w:bCs/>
          <w:color w:val="000000"/>
          <w:spacing w:val="-16"/>
          <w:kern w:val="2"/>
          <w:sz w:val="28"/>
          <w:szCs w:val="28"/>
        </w:rPr>
        <w:t>月</w:t>
      </w:r>
      <w:r>
        <w:rPr>
          <w:rFonts w:hint="eastAsia" w:ascii="Times New Roman" w:hAnsi="Times New Roman" w:eastAsia="仿宋" w:cs="Times New Roman"/>
          <w:b w:val="0"/>
          <w:bCs/>
          <w:color w:val="000000"/>
          <w:spacing w:val="-16"/>
          <w:kern w:val="2"/>
          <w:sz w:val="28"/>
          <w:szCs w:val="28"/>
          <w:lang w:val="en-US" w:eastAsia="zh-CN"/>
        </w:rPr>
        <w:t>23</w:t>
      </w:r>
      <w:r>
        <w:rPr>
          <w:rFonts w:hint="default" w:ascii="Times New Roman" w:hAnsi="Times New Roman" w:eastAsia="仿宋" w:cs="Times New Roman"/>
          <w:b w:val="0"/>
          <w:bCs/>
          <w:color w:val="000000"/>
          <w:spacing w:val="-16"/>
          <w:kern w:val="2"/>
          <w:sz w:val="28"/>
          <w:szCs w:val="28"/>
        </w:rPr>
        <w:t>日印</w:t>
      </w:r>
      <w:r>
        <w:rPr>
          <w:rFonts w:hint="default" w:ascii="Times New Roman" w:hAnsi="Times New Roman" w:eastAsia="仿宋" w:cs="Times New Roman"/>
          <w:b w:val="0"/>
          <w:bCs/>
          <w:color w:val="000000"/>
          <w:spacing w:val="-16"/>
          <w:kern w:val="2"/>
          <w:sz w:val="28"/>
          <w:szCs w:val="28"/>
          <w:lang w:eastAsia="zh-CN"/>
        </w:rPr>
        <w:t>发</w:t>
      </w:r>
      <w:r>
        <w:rPr>
          <w:rFonts w:hint="default" w:ascii="Times New Roman" w:hAnsi="Times New Roman" w:eastAsia="仿宋_GB2312" w:cs="Times New Roman"/>
          <w:color w:val="000000"/>
          <w:sz w:val="32"/>
          <w:szCs w:val="32"/>
          <w:lang w:val="en-US" w:eastAsia="zh-CN"/>
        </w:rPr>
        <w:t xml:space="preserve"> </w:t>
      </w:r>
    </w:p>
    <w:sectPr>
      <w:footerReference r:id="rId6" w:type="default"/>
      <w:pgSz w:w="11906" w:h="16838"/>
      <w:pgMar w:top="1440" w:right="1474" w:bottom="1440"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791CEB3-D8AB-407B-8950-696C261F473A}"/>
  </w:font>
  <w:font w:name="Arial">
    <w:panose1 w:val="020B0604020202020204"/>
    <w:charset w:val="01"/>
    <w:family w:val="swiss"/>
    <w:pitch w:val="default"/>
    <w:sig w:usb0="E0002EFF" w:usb1="C000785B" w:usb2="00000009" w:usb3="00000000" w:csb0="400001FF" w:csb1="FFFF0000"/>
    <w:embedRegular r:id="rId2" w:fontKey="{53A6043D-BAFB-41A0-8FD4-1E567048CCE3}"/>
  </w:font>
  <w:font w:name="黑体">
    <w:panose1 w:val="02010609060101010101"/>
    <w:charset w:val="86"/>
    <w:family w:val="auto"/>
    <w:pitch w:val="default"/>
    <w:sig w:usb0="800002BF" w:usb1="38CF7CFA" w:usb2="00000016" w:usb3="00000000" w:csb0="00040001" w:csb1="00000000"/>
    <w:embedRegular r:id="rId3" w:fontKey="{212E06C7-3E2B-4EC8-A128-C5A7B1E66BA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0ED5A6EB-ACF9-457F-B31F-B0D13E60A343}"/>
  </w:font>
  <w:font w:name="方正仿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EE54CF0B-6A51-4778-B936-8CF620796FF7}"/>
  </w:font>
  <w:font w:name="仿宋">
    <w:panose1 w:val="02010609060101010101"/>
    <w:charset w:val="7A"/>
    <w:family w:val="auto"/>
    <w:pitch w:val="default"/>
    <w:sig w:usb0="800002BF" w:usb1="38CF7CFA" w:usb2="00000016" w:usb3="00000000" w:csb0="00040001" w:csb1="00000000"/>
    <w:embedRegular r:id="rId6" w:fontKey="{F6A1FAF0-01BD-4591-B8DD-D429B5A7C020}"/>
  </w:font>
  <w:font w:name="方正小标宋简体">
    <w:panose1 w:val="03000509000000000000"/>
    <w:charset w:val="86"/>
    <w:family w:val="auto"/>
    <w:pitch w:val="default"/>
    <w:sig w:usb0="00000001" w:usb1="080E0000" w:usb2="00000000" w:usb3="00000000" w:csb0="00040000" w:csb1="00000000"/>
    <w:embedRegular r:id="rId7" w:fontKey="{C4401185-5F84-4316-B2C6-007706EA188A}"/>
  </w:font>
  <w:font w:name="方正仿宋_GB2312">
    <w:altName w:val="仿宋"/>
    <w:panose1 w:val="02000000000000000000"/>
    <w:charset w:val="86"/>
    <w:family w:val="auto"/>
    <w:pitch w:val="default"/>
    <w:sig w:usb0="00000000" w:usb1="00000000" w:usb2="00000012" w:usb3="00000000" w:csb0="00040001" w:csb1="00000000"/>
    <w:embedRegular r:id="rId8" w:fontKey="{550819C4-7184-41D5-8C83-E494257B5A2D}"/>
  </w:font>
  <w:font w:name="方正书宋简体">
    <w:altName w:val="宋体"/>
    <w:panose1 w:val="02010601030101010101"/>
    <w:charset w:val="86"/>
    <w:family w:val="auto"/>
    <w:pitch w:val="default"/>
    <w:sig w:usb0="00000000" w:usb1="00000000" w:usb2="00000010" w:usb3="00000000" w:csb0="00040000" w:csb1="00000000"/>
    <w:embedRegular r:id="rId9" w:fontKey="{F45CD823-1BA4-467C-AB9B-22F4277BB6AA}"/>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DE111">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FCCFD5">
                          <w:pPr>
                            <w:pStyle w:val="5"/>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DFCCFD5">
                    <w:pPr>
                      <w:pStyle w:val="5"/>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F313B">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2B8AED">
                          <w:pPr>
                            <w:pStyle w:val="5"/>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12B8AED">
                    <w:pPr>
                      <w:pStyle w:val="5"/>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01FF5">
    <w:pPr>
      <w:spacing w:line="188" w:lineRule="auto"/>
      <w:ind w:left="7738"/>
      <w:rPr>
        <w:rFonts w:ascii="Arial" w:hAnsi="Arial" w:eastAsia="Arial" w:cs="Arial"/>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C0B465">
                          <w:pPr>
                            <w:pStyle w:val="5"/>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9</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72C0B465">
                    <w:pPr>
                      <w:pStyle w:val="5"/>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9</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A4B29">
    <w:pPr>
      <w:spacing w:line="188" w:lineRule="auto"/>
      <w:ind w:left="7738"/>
      <w:rPr>
        <w:rFonts w:ascii="Arial" w:hAnsi="Arial" w:eastAsia="Arial" w:cs="Arial"/>
        <w:sz w:val="28"/>
        <w:szCs w:val="28"/>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NiNDk4MTViODgxOWNlOTIyMGRkNjRmYjc5NGI3ZTAifQ=="/>
  </w:docVars>
  <w:rsids>
    <w:rsidRoot w:val="6C113FB6"/>
    <w:rsid w:val="03192A63"/>
    <w:rsid w:val="03451AAA"/>
    <w:rsid w:val="04F55751"/>
    <w:rsid w:val="0A8A2498"/>
    <w:rsid w:val="0AA51080"/>
    <w:rsid w:val="0ACA0AE6"/>
    <w:rsid w:val="0D9F44AC"/>
    <w:rsid w:val="0DFA5B87"/>
    <w:rsid w:val="0E5E7EC3"/>
    <w:rsid w:val="0F7F00F1"/>
    <w:rsid w:val="0FB75ADD"/>
    <w:rsid w:val="107E65FB"/>
    <w:rsid w:val="11A622AD"/>
    <w:rsid w:val="138F28CD"/>
    <w:rsid w:val="16DE4297"/>
    <w:rsid w:val="181C7472"/>
    <w:rsid w:val="189270E7"/>
    <w:rsid w:val="19D84FCE"/>
    <w:rsid w:val="1E996BC3"/>
    <w:rsid w:val="1F5844BB"/>
    <w:rsid w:val="1FD47FE6"/>
    <w:rsid w:val="21820804"/>
    <w:rsid w:val="2210107D"/>
    <w:rsid w:val="23FA0237"/>
    <w:rsid w:val="23FE3883"/>
    <w:rsid w:val="25423C43"/>
    <w:rsid w:val="26213859"/>
    <w:rsid w:val="26591245"/>
    <w:rsid w:val="292C0E92"/>
    <w:rsid w:val="29A70519"/>
    <w:rsid w:val="2BD82240"/>
    <w:rsid w:val="2CA46F92"/>
    <w:rsid w:val="2D4F15F3"/>
    <w:rsid w:val="2D80355B"/>
    <w:rsid w:val="30F57DBC"/>
    <w:rsid w:val="31496359"/>
    <w:rsid w:val="321C75CA"/>
    <w:rsid w:val="36321AB2"/>
    <w:rsid w:val="382F44FB"/>
    <w:rsid w:val="386C7DF1"/>
    <w:rsid w:val="39691347"/>
    <w:rsid w:val="3EA66B99"/>
    <w:rsid w:val="402B55A8"/>
    <w:rsid w:val="422E312E"/>
    <w:rsid w:val="47F15329"/>
    <w:rsid w:val="4C066EC9"/>
    <w:rsid w:val="4C453E95"/>
    <w:rsid w:val="4C7B1665"/>
    <w:rsid w:val="4FA15887"/>
    <w:rsid w:val="51586419"/>
    <w:rsid w:val="5164091A"/>
    <w:rsid w:val="54931516"/>
    <w:rsid w:val="559519EA"/>
    <w:rsid w:val="569C2904"/>
    <w:rsid w:val="575925A3"/>
    <w:rsid w:val="57DB4F33"/>
    <w:rsid w:val="58267D41"/>
    <w:rsid w:val="58B101BD"/>
    <w:rsid w:val="5C001B87"/>
    <w:rsid w:val="5E4E4E2C"/>
    <w:rsid w:val="620A1069"/>
    <w:rsid w:val="665C20B0"/>
    <w:rsid w:val="67DA328C"/>
    <w:rsid w:val="6A0D0A81"/>
    <w:rsid w:val="6C113FB6"/>
    <w:rsid w:val="6D505D9E"/>
    <w:rsid w:val="70820965"/>
    <w:rsid w:val="708741CD"/>
    <w:rsid w:val="70F76C5D"/>
    <w:rsid w:val="746E36DA"/>
    <w:rsid w:val="77ED2B68"/>
    <w:rsid w:val="79077C59"/>
    <w:rsid w:val="7A523156"/>
    <w:rsid w:val="7C896BD7"/>
    <w:rsid w:val="7DBB1012"/>
    <w:rsid w:val="7FFB55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footnote text"/>
    <w:basedOn w:val="1"/>
    <w:next w:val="3"/>
    <w:qFormat/>
    <w:uiPriority w:val="0"/>
    <w:pPr>
      <w:snapToGrid w:val="0"/>
      <w:jc w:val="left"/>
    </w:pPr>
    <w:rPr>
      <w:sz w:val="18"/>
    </w:rPr>
  </w:style>
  <w:style w:type="paragraph" w:styleId="3">
    <w:name w:val="Body Text First Indent 2"/>
    <w:basedOn w:val="4"/>
    <w:next w:val="1"/>
    <w:semiHidden/>
    <w:unhideWhenUsed/>
    <w:qFormat/>
    <w:uiPriority w:val="99"/>
    <w:pPr>
      <w:widowControl w:val="0"/>
      <w:suppressAutoHyphens/>
      <w:spacing w:line="560" w:lineRule="exact"/>
      <w:ind w:firstLine="420" w:firstLineChars="200"/>
      <w:jc w:val="center"/>
    </w:pPr>
    <w:rPr>
      <w:rFonts w:ascii="Times New Roman" w:hAnsi="Times New Roman" w:eastAsia="宋体" w:cs="Times New Roman"/>
      <w:b/>
      <w:bCs/>
      <w:kern w:val="2"/>
      <w:sz w:val="36"/>
      <w:szCs w:val="36"/>
      <w:lang w:val="en-US" w:eastAsia="zh-CN" w:bidi="ar-SA"/>
    </w:rPr>
  </w:style>
  <w:style w:type="paragraph" w:styleId="4">
    <w:name w:val="Body Text Indent"/>
    <w:basedOn w:val="1"/>
    <w:next w:val="3"/>
    <w:qFormat/>
    <w:uiPriority w:val="0"/>
    <w:pPr>
      <w:spacing w:after="120" w:afterLines="0" w:afterAutospacing="0"/>
      <w:ind w:left="420" w:leftChars="200"/>
    </w:pPr>
    <w:rPr>
      <w:rFonts w:ascii="Times New Roman" w:hAnsi="Times New Roman" w:eastAsia="方正仿宋简体" w:cs="Times New Roman"/>
      <w:sz w:val="32"/>
      <w:szCs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8">
    <w:name w:val="Normal (Web)"/>
    <w:basedOn w:val="1"/>
    <w:qFormat/>
    <w:uiPriority w:val="0"/>
    <w:pPr>
      <w:keepNext w:val="0"/>
      <w:keepLines w:val="0"/>
      <w:widowControl w:val="0"/>
      <w:suppressLineNumbers w:val="0"/>
      <w:spacing w:before="100" w:beforeAutospacing="1" w:after="100" w:afterAutospacing="1"/>
      <w:ind w:left="0" w:right="0"/>
      <w:jc w:val="left"/>
    </w:pPr>
    <w:rPr>
      <w:rFonts w:hint="default" w:ascii="Calibri" w:hAnsi="Calibri" w:eastAsia="宋体" w:cs="Times New Roman"/>
      <w:kern w:val="0"/>
      <w:sz w:val="18"/>
      <w:szCs w:val="18"/>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段"/>
    <w:next w:val="1"/>
    <w:qFormat/>
    <w:uiPriority w:val="0"/>
    <w:pPr>
      <w:autoSpaceDE w:val="0"/>
      <w:autoSpaceDN w:val="0"/>
      <w:ind w:firstLine="200"/>
      <w:jc w:val="both"/>
    </w:pPr>
    <w:rPr>
      <w:rFonts w:ascii="宋体" w:hAnsi="Times New Roman" w:eastAsia="宋体" w:cs="Times New Roman"/>
      <w:sz w:val="21"/>
      <w:lang w:val="en-US" w:eastAsia="zh-CN" w:bidi="ar-SA"/>
    </w:rPr>
  </w:style>
  <w:style w:type="paragraph" w:customStyle="1" w:styleId="13">
    <w:name w:val="正文2"/>
    <w:basedOn w:val="1"/>
    <w:next w:val="1"/>
    <w:qFormat/>
    <w:uiPriority w:val="0"/>
    <w:pPr>
      <w:spacing w:line="600" w:lineRule="exact"/>
      <w:ind w:firstLine="420" w:firstLineChars="200"/>
    </w:pPr>
    <w:rPr>
      <w:rFonts w:ascii="Calibri" w:hAnsi="Calibri" w:eastAsia="仿宋_GB2312" w:cs="Times New Roman"/>
      <w:sz w:val="32"/>
      <w:szCs w:val="32"/>
    </w:rPr>
  </w:style>
  <w:style w:type="paragraph" w:customStyle="1" w:styleId="14">
    <w:name w:val="Table Text"/>
    <w:basedOn w:val="1"/>
    <w:semiHidden/>
    <w:qFormat/>
    <w:uiPriority w:val="0"/>
    <w:rPr>
      <w:rFonts w:ascii="仿宋" w:hAnsi="仿宋" w:eastAsia="仿宋" w:cs="仿宋"/>
      <w:sz w:val="28"/>
      <w:szCs w:val="2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customXml" Target="ink/ink1.xml"/><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10-09T14:23:11"/>
    </inkml:context>
    <inkml:brush xml:id="br0">
      <inkml:brushProperty name="width" value="0.05292" units="cm"/>
      <inkml:brushProperty name="height" value="0.05292" units="cm"/>
      <inkml:brushProperty name="color" value="#f80600"/>
      <inkml:brushProperty name="ignorePressure" value="0"/>
    </inkml:brush>
  </inkml:definitions>
  <inkml:trace contextRef="#ctx0" brushRef="#br0">12285.000 1575.000,'0.000'0.000</inkml:trace>
</inkml:ink>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4327</Words>
  <Characters>4451</Characters>
  <Lines>0</Lines>
  <Paragraphs>0</Paragraphs>
  <TotalTime>22</TotalTime>
  <ScaleCrop>false</ScaleCrop>
  <LinksUpToDate>false</LinksUpToDate>
  <CharactersWithSpaces>4493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2024-10-22T05:17:00Z</dcterms:created>
  <dc:creator>WH</dc:creator>
  <cp:lastModifiedBy>记得说晚安</cp:lastModifiedBy>
  <cp:lastPrinted>2024-10-24T02:04:11Z</cp:lastPrinted>
  <dcterms:modified xsi:type="dcterms:W3CDTF">2024-10-24T02:10:10Z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7E6139DE707D4E88B1B753B1A6A39781_13</vt:lpwstr>
  </property>
</Properties>
</file>