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19B03">
      <w:pPr>
        <w:pageBreakBefore w:val="0"/>
        <w:kinsoku/>
        <w:wordWrap/>
        <w:overflowPunct/>
        <w:topLinePunct w:val="0"/>
        <w:bidi w:val="0"/>
        <w:spacing w:line="580" w:lineRule="exact"/>
        <w:ind w:left="0" w:leftChars="0" w:right="0"/>
        <w:textAlignment w:val="auto"/>
        <w:rPr>
          <w:rFonts w:hint="default" w:ascii="Times New Roman" w:hAnsi="Times New Roman" w:eastAsia="华文细黑" w:cs="Times New Roman"/>
          <w:b/>
          <w:color w:val="auto"/>
          <w:sz w:val="44"/>
          <w:szCs w:val="44"/>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14:paraId="272F87C1">
      <w:pPr>
        <w:pageBreakBefore w:val="0"/>
        <w:widowControl/>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bCs/>
          <w:color w:val="auto"/>
          <w:sz w:val="36"/>
          <w:szCs w:val="36"/>
          <w:highlight w:val="none"/>
          <w:lang w:eastAsia="zh-CN"/>
        </w:rPr>
      </w:pPr>
      <w:r>
        <w:rPr>
          <w:rFonts w:hint="default" w:ascii="Times New Roman" w:hAnsi="Times New Roman" w:eastAsia="华文细黑" w:cs="Times New Roman"/>
          <w:b/>
          <w:bCs/>
          <w:color w:val="auto"/>
          <w:sz w:val="36"/>
          <w:szCs w:val="36"/>
          <w:highlight w:val="none"/>
        </w:rPr>
        <w:t>四川省政府政务服务和公共资源交易服务中心     系统安全等级保护测评</w:t>
      </w:r>
      <w:r>
        <w:rPr>
          <w:rFonts w:hint="default" w:ascii="Times New Roman" w:hAnsi="Times New Roman" w:eastAsia="华文细黑" w:cs="Times New Roman"/>
          <w:b/>
          <w:bCs/>
          <w:color w:val="auto"/>
          <w:sz w:val="36"/>
          <w:szCs w:val="36"/>
          <w:highlight w:val="none"/>
          <w:lang w:val="en-US" w:eastAsia="zh-CN"/>
        </w:rPr>
        <w:t>和</w:t>
      </w:r>
      <w:r>
        <w:rPr>
          <w:rFonts w:hint="default" w:ascii="Times New Roman" w:hAnsi="Times New Roman" w:eastAsia="华文细黑" w:cs="Times New Roman"/>
          <w:b/>
          <w:bCs/>
          <w:color w:val="auto"/>
          <w:sz w:val="36"/>
          <w:szCs w:val="36"/>
          <w:highlight w:val="none"/>
        </w:rPr>
        <w:t>12345政务服务热线及网络理政平台等级保护</w:t>
      </w:r>
      <w:r>
        <w:rPr>
          <w:rFonts w:hint="default" w:ascii="Times New Roman" w:hAnsi="Times New Roman" w:eastAsia="华文细黑" w:cs="Times New Roman"/>
          <w:b/>
          <w:bCs/>
          <w:color w:val="auto"/>
          <w:sz w:val="36"/>
          <w:szCs w:val="36"/>
          <w:highlight w:val="none"/>
          <w:lang w:val="en-US" w:eastAsia="zh-CN"/>
        </w:rPr>
        <w:t>项目</w:t>
      </w:r>
    </w:p>
    <w:p w14:paraId="3D07C125">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Cs w:val="21"/>
          <w:highlight w:val="none"/>
          <w:u w:val="single"/>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14:paraId="4208D9CE">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p>
    <w:p w14:paraId="767A159C">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p>
    <w:p w14:paraId="0F3EB00C">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lang w:eastAsia="zh-CN"/>
        </w:rPr>
      </w:pPr>
      <w:r>
        <w:rPr>
          <w:rFonts w:hint="default" w:ascii="Times New Roman" w:hAnsi="Times New Roman" w:eastAsia="华文细黑" w:cs="Times New Roman"/>
          <w:b/>
          <w:color w:val="auto"/>
          <w:sz w:val="52"/>
          <w:szCs w:val="36"/>
          <w:highlight w:val="none"/>
          <w:lang w:eastAsia="zh-CN"/>
        </w:rPr>
        <w:t>比</w:t>
      </w:r>
    </w:p>
    <w:p w14:paraId="2E677008">
      <w:pPr>
        <w:pStyle w:val="5"/>
        <w:pageBreakBefore w:val="0"/>
        <w:kinsoku/>
        <w:wordWrap/>
        <w:overflowPunct/>
        <w:topLinePunct w:val="0"/>
        <w:bidi w:val="0"/>
        <w:spacing w:line="580" w:lineRule="exact"/>
        <w:ind w:left="0" w:leftChars="0" w:right="0"/>
        <w:textAlignment w:val="auto"/>
        <w:rPr>
          <w:rFonts w:hint="default" w:ascii="Times New Roman" w:hAnsi="Times New Roman" w:cs="Times New Roman"/>
          <w:color w:val="auto"/>
          <w:highlight w:val="none"/>
        </w:rPr>
      </w:pPr>
    </w:p>
    <w:p w14:paraId="1B6B27C0">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lang w:eastAsia="zh-CN"/>
        </w:rPr>
      </w:pPr>
      <w:r>
        <w:rPr>
          <w:rFonts w:hint="default" w:ascii="Times New Roman" w:hAnsi="Times New Roman" w:eastAsia="华文细黑" w:cs="Times New Roman"/>
          <w:b/>
          <w:color w:val="auto"/>
          <w:sz w:val="52"/>
          <w:szCs w:val="36"/>
          <w:highlight w:val="none"/>
          <w:lang w:eastAsia="zh-CN"/>
        </w:rPr>
        <w:t>选</w:t>
      </w:r>
    </w:p>
    <w:p w14:paraId="1B15A210">
      <w:pPr>
        <w:pStyle w:val="5"/>
        <w:pageBreakBefore w:val="0"/>
        <w:kinsoku/>
        <w:wordWrap/>
        <w:overflowPunct/>
        <w:topLinePunct w:val="0"/>
        <w:bidi w:val="0"/>
        <w:spacing w:line="580" w:lineRule="exact"/>
        <w:ind w:left="0" w:leftChars="0" w:right="0"/>
        <w:textAlignment w:val="auto"/>
        <w:rPr>
          <w:rFonts w:hint="default" w:ascii="Times New Roman" w:hAnsi="Times New Roman" w:cs="Times New Roman"/>
          <w:color w:val="auto"/>
          <w:highlight w:val="none"/>
          <w:lang w:eastAsia="zh-CN"/>
        </w:rPr>
      </w:pPr>
    </w:p>
    <w:p w14:paraId="4A2A8E56">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r>
        <w:rPr>
          <w:rFonts w:hint="default" w:ascii="Times New Roman" w:hAnsi="Times New Roman" w:eastAsia="华文细黑" w:cs="Times New Roman"/>
          <w:b/>
          <w:color w:val="auto"/>
          <w:sz w:val="52"/>
          <w:szCs w:val="36"/>
          <w:highlight w:val="none"/>
        </w:rPr>
        <w:t>文</w:t>
      </w:r>
    </w:p>
    <w:p w14:paraId="1231AD1E">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p>
    <w:p w14:paraId="3E4A29B4">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r>
        <w:rPr>
          <w:rFonts w:hint="default" w:ascii="Times New Roman" w:hAnsi="Times New Roman" w:eastAsia="华文细黑" w:cs="Times New Roman"/>
          <w:b/>
          <w:color w:val="auto"/>
          <w:sz w:val="52"/>
          <w:szCs w:val="36"/>
          <w:highlight w:val="none"/>
        </w:rPr>
        <w:t>件</w:t>
      </w:r>
    </w:p>
    <w:p w14:paraId="386FF97D">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16C5FB24">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0303BE37">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4AED85BB">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52487343">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1268BD79">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bCs/>
          <w:color w:val="auto"/>
          <w:sz w:val="36"/>
          <w:szCs w:val="36"/>
          <w:highlight w:val="none"/>
        </w:rPr>
      </w:pPr>
      <w:r>
        <w:rPr>
          <w:rFonts w:hint="default" w:ascii="Times New Roman" w:hAnsi="Times New Roman" w:eastAsia="华文细黑" w:cs="Times New Roman"/>
          <w:b/>
          <w:bCs/>
          <w:color w:val="auto"/>
          <w:sz w:val="36"/>
          <w:szCs w:val="36"/>
          <w:highlight w:val="none"/>
        </w:rPr>
        <w:t>四川省</w:t>
      </w:r>
      <w:r>
        <w:rPr>
          <w:rFonts w:hint="default" w:ascii="Times New Roman" w:hAnsi="Times New Roman" w:eastAsia="华文细黑" w:cs="Times New Roman"/>
          <w:b/>
          <w:bCs/>
          <w:color w:val="auto"/>
          <w:sz w:val="36"/>
          <w:szCs w:val="36"/>
          <w:highlight w:val="none"/>
          <w:lang w:eastAsia="zh-CN"/>
        </w:rPr>
        <w:t>政府</w:t>
      </w:r>
      <w:r>
        <w:rPr>
          <w:rFonts w:hint="default" w:ascii="Times New Roman" w:hAnsi="Times New Roman" w:eastAsia="华文细黑" w:cs="Times New Roman"/>
          <w:b/>
          <w:bCs/>
          <w:color w:val="auto"/>
          <w:sz w:val="36"/>
          <w:szCs w:val="36"/>
          <w:highlight w:val="none"/>
        </w:rPr>
        <w:t>政务服务和公共资源交易服务中心</w:t>
      </w:r>
    </w:p>
    <w:p w14:paraId="44169D5F">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highlight w:val="none"/>
        </w:rPr>
      </w:pPr>
      <w:r>
        <w:rPr>
          <w:rFonts w:hint="default" w:ascii="Times New Roman" w:hAnsi="Times New Roman" w:eastAsia="华文细黑" w:cs="Times New Roman"/>
          <w:b/>
          <w:color w:val="auto"/>
          <w:sz w:val="32"/>
          <w:highlight w:val="none"/>
        </w:rPr>
        <w:t>202</w:t>
      </w:r>
      <w:r>
        <w:rPr>
          <w:rFonts w:hint="default" w:ascii="Times New Roman" w:hAnsi="Times New Roman" w:eastAsia="华文细黑" w:cs="Times New Roman"/>
          <w:b/>
          <w:color w:val="auto"/>
          <w:sz w:val="32"/>
          <w:highlight w:val="none"/>
          <w:lang w:val="en-US" w:eastAsia="zh-CN"/>
        </w:rPr>
        <w:t>5</w:t>
      </w:r>
      <w:r>
        <w:rPr>
          <w:rFonts w:hint="default" w:ascii="Times New Roman" w:hAnsi="Times New Roman" w:eastAsia="华文细黑" w:cs="Times New Roman"/>
          <w:b/>
          <w:color w:val="auto"/>
          <w:sz w:val="32"/>
          <w:highlight w:val="none"/>
        </w:rPr>
        <w:t>年</w:t>
      </w:r>
      <w:r>
        <w:rPr>
          <w:rFonts w:hint="default" w:ascii="Times New Roman" w:hAnsi="Times New Roman" w:eastAsia="华文细黑" w:cs="Times New Roman"/>
          <w:b/>
          <w:color w:val="auto"/>
          <w:sz w:val="32"/>
          <w:highlight w:val="none"/>
          <w:lang w:val="en-US" w:eastAsia="zh-CN"/>
        </w:rPr>
        <w:t>5</w:t>
      </w:r>
      <w:r>
        <w:rPr>
          <w:rFonts w:hint="default" w:ascii="Times New Roman" w:hAnsi="Times New Roman" w:eastAsia="华文细黑" w:cs="Times New Roman"/>
          <w:b/>
          <w:color w:val="auto"/>
          <w:sz w:val="32"/>
          <w:highlight w:val="none"/>
        </w:rPr>
        <w:t>月</w:t>
      </w:r>
    </w:p>
    <w:p w14:paraId="79A0A2B8">
      <w:pPr>
        <w:pageBreakBefore w:val="0"/>
        <w:kinsoku/>
        <w:wordWrap/>
        <w:overflowPunct/>
        <w:topLinePunct w:val="0"/>
        <w:bidi w:val="0"/>
        <w:spacing w:line="580" w:lineRule="exact"/>
        <w:ind w:left="0" w:leftChars="0" w:right="0"/>
        <w:textAlignment w:val="auto"/>
        <w:rPr>
          <w:rFonts w:hint="default" w:ascii="Times New Roman" w:hAnsi="Times New Roman" w:eastAsia="华文细黑" w:cs="Times New Roman"/>
          <w:color w:val="auto"/>
          <w:sz w:val="32"/>
          <w:highlight w:val="none"/>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14:paraId="32C4BB9E">
      <w:pPr>
        <w:pStyle w:val="3"/>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jc w:val="center"/>
        <w:textAlignment w:val="auto"/>
        <w:rPr>
          <w:rFonts w:hint="default" w:ascii="Times New Roman" w:hAnsi="Times New Roman" w:eastAsia="仿宋_GB2312" w:cs="Times New Roman"/>
          <w:b/>
          <w:color w:val="auto"/>
          <w:sz w:val="32"/>
          <w:szCs w:val="32"/>
          <w:highlight w:val="none"/>
        </w:rPr>
      </w:pPr>
      <w:bookmarkStart w:id="0" w:name="_Toc227057880"/>
      <w:bookmarkStart w:id="1" w:name="_Toc468808805"/>
      <w:bookmarkStart w:id="2" w:name="_Toc453691462"/>
      <w:bookmarkStart w:id="3" w:name="_Toc226969316"/>
      <w:bookmarkStart w:id="4" w:name="_Toc107822520"/>
      <w:bookmarkStart w:id="5" w:name="_Toc227057922"/>
      <w:r>
        <w:rPr>
          <w:rFonts w:hint="default" w:ascii="Times New Roman" w:hAnsi="Times New Roman" w:eastAsia="仿宋_GB2312" w:cs="Times New Roman"/>
          <w:b/>
          <w:color w:val="auto"/>
          <w:sz w:val="32"/>
          <w:szCs w:val="32"/>
          <w:highlight w:val="none"/>
        </w:rPr>
        <w:t xml:space="preserve">第一章  </w:t>
      </w:r>
      <w:bookmarkEnd w:id="0"/>
      <w:bookmarkEnd w:id="1"/>
      <w:bookmarkEnd w:id="2"/>
      <w:bookmarkStart w:id="6" w:name="_Toc227057881"/>
      <w:bookmarkStart w:id="7" w:name="_Toc107822481"/>
      <w:bookmarkStart w:id="8" w:name="_Toc226969274"/>
      <w:r>
        <w:rPr>
          <w:rFonts w:hint="default" w:ascii="Times New Roman" w:hAnsi="Times New Roman" w:eastAsia="仿宋_GB2312" w:cs="Times New Roman"/>
          <w:b/>
          <w:color w:val="auto"/>
          <w:sz w:val="32"/>
          <w:szCs w:val="32"/>
          <w:highlight w:val="none"/>
        </w:rPr>
        <w:t>采购邀请函</w:t>
      </w:r>
    </w:p>
    <w:bookmarkEnd w:id="6"/>
    <w:bookmarkEnd w:id="7"/>
    <w:bookmarkEnd w:id="8"/>
    <w:p w14:paraId="48AE23EF">
      <w:pPr>
        <w:pageBreakBefore w:val="0"/>
        <w:widowControl/>
        <w:kinsoku/>
        <w:wordWrap/>
        <w:overflowPunct/>
        <w:topLinePunct w:val="0"/>
        <w:bidi w:val="0"/>
        <w:spacing w:line="580" w:lineRule="exact"/>
        <w:ind w:left="0" w:leftChars="0" w:right="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32"/>
          <w:szCs w:val="32"/>
          <w:highlight w:val="none"/>
        </w:rPr>
        <w:t xml:space="preserve">  </w:t>
      </w:r>
    </w:p>
    <w:p w14:paraId="25C24D7D">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2"/>
          <w:szCs w:val="32"/>
          <w:highlight w:val="none"/>
        </w:rPr>
        <w:t>本项目为四川省政府政务服务和公共资源交易服务中心系统安全等级保护测评</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12345政务</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服务热线及网络理政平台等级保护</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，采购单位为四川省政府政务服务和公共资源交易服务中心。本项目采购内容在规定的集中采购目录之外，且在省直部门分散采购限额标准以下，因此我中心拟用</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方式进行自行采购</w:t>
      </w:r>
      <w:r>
        <w:rPr>
          <w:rFonts w:hint="default" w:ascii="Times New Roman" w:hAnsi="Times New Roman" w:eastAsia="仿宋_GB2312" w:cs="Times New Roman"/>
          <w:color w:val="auto"/>
          <w:sz w:val="30"/>
          <w:szCs w:val="30"/>
          <w:highlight w:val="none"/>
        </w:rPr>
        <w:t>。</w:t>
      </w:r>
    </w:p>
    <w:p w14:paraId="328C3737">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1、项目概况：</w:t>
      </w:r>
    </w:p>
    <w:p w14:paraId="2BC0AFC6">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1.1采购项目：四川省政府政务服务和公共资源交易服务中心系统安全等级保护测评</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12345政务服务热线及网络理政平台等级保护</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w:t>
      </w:r>
    </w:p>
    <w:p w14:paraId="1812F5ED">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1.2项目资金：</w:t>
      </w:r>
      <w:r>
        <w:rPr>
          <w:rFonts w:hint="default" w:ascii="Times New Roman" w:hAnsi="Times New Roman" w:eastAsia="仿宋_GB2312" w:cs="Times New Roman"/>
          <w:color w:val="auto"/>
          <w:sz w:val="32"/>
          <w:szCs w:val="32"/>
          <w:highlight w:val="none"/>
          <w:lang w:val="en-US" w:eastAsia="zh-CN"/>
        </w:rPr>
        <w:t>预算内</w:t>
      </w:r>
      <w:r>
        <w:rPr>
          <w:rFonts w:hint="default" w:ascii="Times New Roman" w:hAnsi="Times New Roman" w:eastAsia="仿宋_GB2312" w:cs="Times New Roman"/>
          <w:color w:val="auto"/>
          <w:sz w:val="32"/>
          <w:szCs w:val="32"/>
          <w:highlight w:val="none"/>
        </w:rPr>
        <w:t>资金。</w:t>
      </w:r>
    </w:p>
    <w:p w14:paraId="1052634D">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1.3项目实施方式：</w:t>
      </w:r>
      <w:r>
        <w:rPr>
          <w:rFonts w:hint="default" w:ascii="Times New Roman" w:hAnsi="Times New Roman" w:eastAsia="仿宋_GB2312" w:cs="Times New Roman"/>
          <w:color w:val="auto"/>
          <w:sz w:val="32"/>
          <w:szCs w:val="32"/>
          <w:highlight w:val="none"/>
          <w:lang w:val="en-US" w:eastAsia="zh-CN"/>
        </w:rPr>
        <w:t>内部采购</w:t>
      </w:r>
      <w:r>
        <w:rPr>
          <w:rFonts w:hint="default" w:ascii="Times New Roman" w:hAnsi="Times New Roman" w:eastAsia="仿宋_GB2312" w:cs="Times New Roman"/>
          <w:color w:val="auto"/>
          <w:sz w:val="32"/>
          <w:szCs w:val="32"/>
          <w:highlight w:val="none"/>
        </w:rPr>
        <w:t>。</w:t>
      </w:r>
    </w:p>
    <w:p w14:paraId="1489991C">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1.4质量效果要求：符合国家相关要求。</w:t>
      </w:r>
    </w:p>
    <w:p w14:paraId="476E15D5">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1.5采购内容：</w:t>
      </w:r>
    </w:p>
    <w:p w14:paraId="4D9F99B7">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采购包1：2025年交易系统、专家库系统、服务平台、OA系统、内控系统网络安全等级保护</w:t>
      </w:r>
      <w:r>
        <w:rPr>
          <w:rFonts w:hint="default" w:ascii="Times New Roman" w:hAnsi="Times New Roman" w:eastAsia="仿宋_GB2312" w:cs="Times New Roman"/>
          <w:color w:val="auto"/>
          <w:sz w:val="32"/>
          <w:szCs w:val="32"/>
          <w:highlight w:val="none"/>
        </w:rPr>
        <w:t>。</w:t>
      </w:r>
    </w:p>
    <w:p w14:paraId="0C6A76E5">
      <w:pPr>
        <w:pStyle w:val="7"/>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采购包2：2025年12345政务服务热线及网络理政平台网络安全等级保护。</w:t>
      </w:r>
    </w:p>
    <w:p w14:paraId="60C8D589">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1.6项目预算：</w:t>
      </w:r>
    </w:p>
    <w:p w14:paraId="62592865">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采购包1：</w:t>
      </w:r>
      <w:r>
        <w:rPr>
          <w:rFonts w:hint="default" w:ascii="Times New Roman" w:hAnsi="Times New Roman" w:eastAsia="仿宋_GB2312" w:cs="Times New Roman"/>
          <w:color w:val="auto"/>
          <w:sz w:val="32"/>
          <w:szCs w:val="32"/>
          <w:highlight w:val="none"/>
        </w:rPr>
        <w:t>人民币</w:t>
      </w:r>
      <w:r>
        <w:rPr>
          <w:rFonts w:hint="default" w:ascii="Times New Roman" w:hAnsi="Times New Roman" w:eastAsia="仿宋_GB2312" w:cs="Times New Roman"/>
          <w:color w:val="auto"/>
          <w:sz w:val="32"/>
          <w:szCs w:val="32"/>
          <w:highlight w:val="none"/>
          <w:u w:val="single"/>
          <w:lang w:val="en-US" w:eastAsia="zh-CN"/>
        </w:rPr>
        <w:t xml:space="preserve"> 32 </w:t>
      </w:r>
      <w:r>
        <w:rPr>
          <w:rFonts w:hint="default" w:ascii="Times New Roman" w:hAnsi="Times New Roman" w:eastAsia="仿宋_GB2312" w:cs="Times New Roman"/>
          <w:color w:val="auto"/>
          <w:sz w:val="32"/>
          <w:szCs w:val="32"/>
          <w:highlight w:val="none"/>
        </w:rPr>
        <w:t>万元整（</w:t>
      </w:r>
      <w:r>
        <w:rPr>
          <w:rFonts w:hint="default" w:ascii="Times New Roman" w:hAnsi="Times New Roman" w:eastAsia="仿宋_GB2312" w:cs="Times New Roman"/>
          <w:color w:val="auto"/>
          <w:sz w:val="32"/>
          <w:szCs w:val="32"/>
          <w:highlight w:val="none"/>
          <w:lang w:val="en-US" w:eastAsia="zh-CN"/>
        </w:rPr>
        <w:t>叁拾贰万圆</w:t>
      </w:r>
      <w:r>
        <w:rPr>
          <w:rFonts w:hint="default" w:ascii="Times New Roman" w:hAnsi="Times New Roman" w:eastAsia="仿宋_GB2312" w:cs="Times New Roman"/>
          <w:color w:val="auto"/>
          <w:sz w:val="32"/>
          <w:szCs w:val="32"/>
          <w:highlight w:val="none"/>
        </w:rPr>
        <w:t>整）</w:t>
      </w:r>
    </w:p>
    <w:p w14:paraId="1020B051">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采购包2：</w:t>
      </w:r>
      <w:r>
        <w:rPr>
          <w:rFonts w:hint="default" w:ascii="Times New Roman" w:hAnsi="Times New Roman" w:eastAsia="仿宋_GB2312" w:cs="Times New Roman"/>
          <w:color w:val="auto"/>
          <w:sz w:val="32"/>
          <w:szCs w:val="32"/>
          <w:highlight w:val="none"/>
        </w:rPr>
        <w:t>人民币</w:t>
      </w:r>
      <w:r>
        <w:rPr>
          <w:rFonts w:hint="default" w:ascii="Times New Roman" w:hAnsi="Times New Roman" w:eastAsia="仿宋_GB2312" w:cs="Times New Roman"/>
          <w:color w:val="auto"/>
          <w:sz w:val="32"/>
          <w:szCs w:val="32"/>
          <w:highlight w:val="none"/>
          <w:u w:val="single"/>
          <w:lang w:val="en-US" w:eastAsia="zh-CN"/>
        </w:rPr>
        <w:t xml:space="preserve"> 8 </w:t>
      </w:r>
      <w:r>
        <w:rPr>
          <w:rFonts w:hint="default" w:ascii="Times New Roman" w:hAnsi="Times New Roman" w:eastAsia="仿宋_GB2312" w:cs="Times New Roman"/>
          <w:color w:val="auto"/>
          <w:sz w:val="32"/>
          <w:szCs w:val="32"/>
          <w:highlight w:val="none"/>
        </w:rPr>
        <w:t>万元整（</w:t>
      </w:r>
      <w:r>
        <w:rPr>
          <w:rFonts w:hint="default" w:ascii="Times New Roman" w:hAnsi="Times New Roman" w:eastAsia="仿宋_GB2312" w:cs="Times New Roman"/>
          <w:color w:val="auto"/>
          <w:sz w:val="32"/>
          <w:szCs w:val="32"/>
          <w:highlight w:val="none"/>
          <w:lang w:val="en-US" w:eastAsia="zh-CN"/>
        </w:rPr>
        <w:t>捌万圆</w:t>
      </w:r>
      <w:r>
        <w:rPr>
          <w:rFonts w:hint="default" w:ascii="Times New Roman" w:hAnsi="Times New Roman" w:eastAsia="仿宋_GB2312" w:cs="Times New Roman"/>
          <w:color w:val="auto"/>
          <w:sz w:val="32"/>
          <w:szCs w:val="32"/>
          <w:highlight w:val="none"/>
        </w:rPr>
        <w:t>整）</w:t>
      </w:r>
    </w:p>
    <w:p w14:paraId="2090C274">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sz w:val="32"/>
          <w:szCs w:val="32"/>
          <w:highlight w:val="none"/>
        </w:rPr>
        <w:t>1.7中选原则：</w:t>
      </w:r>
      <w:r>
        <w:rPr>
          <w:rFonts w:hint="default" w:ascii="Times New Roman" w:hAnsi="Times New Roman" w:eastAsia="仿宋_GB2312" w:cs="Times New Roman"/>
          <w:b/>
          <w:color w:val="auto"/>
          <w:sz w:val="32"/>
          <w:szCs w:val="32"/>
          <w:highlight w:val="none"/>
        </w:rPr>
        <w:t>根据综合评分法按排名由高到低推荐第一名为中标候选人</w:t>
      </w:r>
      <w:r>
        <w:rPr>
          <w:rFonts w:hint="default" w:ascii="Times New Roman" w:hAnsi="Times New Roman" w:eastAsia="仿宋_GB2312" w:cs="Times New Roman"/>
          <w:b/>
          <w:color w:val="auto"/>
          <w:sz w:val="32"/>
          <w:szCs w:val="32"/>
          <w:highlight w:val="none"/>
          <w:lang w:eastAsia="zh-CN"/>
        </w:rPr>
        <w:t>。</w:t>
      </w:r>
    </w:p>
    <w:p w14:paraId="46DB9119">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2、资格审查方式及</w:t>
      </w:r>
      <w:r>
        <w:rPr>
          <w:rFonts w:hint="default" w:ascii="Times New Roman" w:hAnsi="Times New Roman" w:eastAsia="仿宋_GB2312" w:cs="Times New Roman"/>
          <w:b/>
          <w:color w:val="auto"/>
          <w:sz w:val="32"/>
          <w:szCs w:val="32"/>
          <w:highlight w:val="none"/>
          <w:lang w:eastAsia="zh-CN"/>
        </w:rPr>
        <w:t>供应商</w:t>
      </w:r>
      <w:r>
        <w:rPr>
          <w:rFonts w:hint="default" w:ascii="Times New Roman" w:hAnsi="Times New Roman" w:eastAsia="仿宋_GB2312" w:cs="Times New Roman"/>
          <w:b/>
          <w:color w:val="auto"/>
          <w:sz w:val="32"/>
          <w:szCs w:val="32"/>
          <w:highlight w:val="none"/>
        </w:rPr>
        <w:t>资格要求</w:t>
      </w:r>
    </w:p>
    <w:p w14:paraId="2B3BB934">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本项目采用资格预审，采购评审小组根据采购文件的规定对供应商进行资格审查，若资格审查不合格其响应文件将被否决，采购申请人资格要求如下：</w:t>
      </w:r>
    </w:p>
    <w:p w14:paraId="229C2BBF">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2.1具有独立承担民事责任的能力。</w:t>
      </w:r>
    </w:p>
    <w:p w14:paraId="36B0A936">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2.2证明材料：提供营业执照复印件。</w:t>
      </w:r>
    </w:p>
    <w:p w14:paraId="47448DBB">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2.3具有良好的商业信誉和健全的财务会计制度。</w:t>
      </w:r>
    </w:p>
    <w:p w14:paraId="193EF041">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2.4具有履行合同所必需的设备和专业技术能力。</w:t>
      </w:r>
    </w:p>
    <w:p w14:paraId="655D64EA">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2.5有依法缴纳税收和社会保障资金的良好记录。</w:t>
      </w:r>
    </w:p>
    <w:p w14:paraId="1B7FD290">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2.6参加政府采购活动近三年内，在经营活动中没有重大违法记录。</w:t>
      </w:r>
    </w:p>
    <w:p w14:paraId="0B5FBB90">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2.7法律、行政法规规定的其他条件。</w:t>
      </w:r>
    </w:p>
    <w:p w14:paraId="0553D850">
      <w:pPr>
        <w:pStyle w:val="7"/>
        <w:keepNext/>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2.8根据项目特殊要求设置的特定条件（不得以不合理的条件对供应商实行差别待遇或歧视待遇）：无</w:t>
      </w:r>
    </w:p>
    <w:p w14:paraId="5343EDB2">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color w:val="auto"/>
          <w:sz w:val="32"/>
          <w:szCs w:val="32"/>
          <w:highlight w:val="none"/>
        </w:rPr>
        <w:t>3、报名</w:t>
      </w:r>
      <w:r>
        <w:rPr>
          <w:rFonts w:hint="default" w:ascii="Times New Roman" w:hAnsi="Times New Roman" w:eastAsia="仿宋_GB2312" w:cs="Times New Roman"/>
          <w:b/>
          <w:color w:val="auto"/>
          <w:sz w:val="32"/>
          <w:szCs w:val="32"/>
          <w:highlight w:val="none"/>
          <w:lang w:eastAsia="zh-CN"/>
        </w:rPr>
        <w:t>方式</w:t>
      </w:r>
    </w:p>
    <w:p w14:paraId="7EBF8574">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供应商</w:t>
      </w:r>
      <w:r>
        <w:rPr>
          <w:rFonts w:hint="default" w:ascii="Times New Roman" w:hAnsi="Times New Roman" w:eastAsia="仿宋_GB2312" w:cs="Times New Roman"/>
          <w:color w:val="auto"/>
          <w:kern w:val="0"/>
          <w:sz w:val="32"/>
          <w:szCs w:val="32"/>
          <w:highlight w:val="none"/>
        </w:rPr>
        <w:t>通过</w:t>
      </w:r>
      <w:r>
        <w:rPr>
          <w:rFonts w:hint="default" w:ascii="Times New Roman" w:hAnsi="Times New Roman" w:eastAsia="仿宋_GB2312" w:cs="Times New Roman"/>
          <w:color w:val="auto"/>
          <w:kern w:val="0"/>
          <w:sz w:val="32"/>
          <w:szCs w:val="32"/>
          <w:highlight w:val="none"/>
          <w:lang w:val="en-US" w:eastAsia="zh-CN"/>
        </w:rPr>
        <w:t>省中心门户网站采购公告自行下载比选文件</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获取文件时间为202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日至</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日17:00</w:t>
      </w:r>
      <w:r>
        <w:rPr>
          <w:rFonts w:hint="default" w:ascii="Times New Roman" w:hAnsi="Times New Roman" w:eastAsia="仿宋_GB2312" w:cs="Times New Roman"/>
          <w:color w:val="auto"/>
          <w:kern w:val="0"/>
          <w:sz w:val="32"/>
          <w:szCs w:val="32"/>
          <w:highlight w:val="none"/>
        </w:rPr>
        <w:t>（北京时间）。</w:t>
      </w:r>
    </w:p>
    <w:p w14:paraId="1368AA25">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4、</w:t>
      </w:r>
      <w:r>
        <w:rPr>
          <w:rFonts w:hint="default" w:ascii="Times New Roman" w:hAnsi="Times New Roman" w:eastAsia="仿宋_GB2312" w:cs="Times New Roman"/>
          <w:b/>
          <w:color w:val="auto"/>
          <w:sz w:val="32"/>
          <w:szCs w:val="32"/>
          <w:highlight w:val="none"/>
          <w:lang w:eastAsia="zh-CN"/>
        </w:rPr>
        <w:t>响应文件</w:t>
      </w:r>
      <w:r>
        <w:rPr>
          <w:rFonts w:hint="default" w:ascii="Times New Roman" w:hAnsi="Times New Roman" w:eastAsia="仿宋_GB2312" w:cs="Times New Roman"/>
          <w:b/>
          <w:color w:val="auto"/>
          <w:sz w:val="32"/>
          <w:szCs w:val="32"/>
          <w:highlight w:val="none"/>
        </w:rPr>
        <w:t>的递交</w:t>
      </w:r>
    </w:p>
    <w:p w14:paraId="633EE82A">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文件提交的截止时间为202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日上午10：00（北京时间），提交地点：</w:t>
      </w:r>
      <w:r>
        <w:rPr>
          <w:rFonts w:hint="default" w:ascii="Times New Roman" w:hAnsi="Times New Roman" w:eastAsia="仿宋_GB2312" w:cs="Times New Roman"/>
          <w:color w:val="auto"/>
          <w:kern w:val="0"/>
          <w:sz w:val="32"/>
          <w:szCs w:val="32"/>
          <w:highlight w:val="none"/>
        </w:rPr>
        <w:t>四川省成都市青羊区</w:t>
      </w:r>
      <w:r>
        <w:rPr>
          <w:rFonts w:hint="default" w:ascii="Times New Roman" w:hAnsi="Times New Roman" w:eastAsia="仿宋_GB2312" w:cs="Times New Roman"/>
          <w:color w:val="auto"/>
          <w:kern w:val="0"/>
          <w:sz w:val="32"/>
          <w:szCs w:val="32"/>
          <w:highlight w:val="none"/>
          <w:lang w:eastAsia="zh-CN"/>
        </w:rPr>
        <w:t>鼓楼南街</w:t>
      </w:r>
      <w:r>
        <w:rPr>
          <w:rFonts w:hint="default" w:ascii="Times New Roman" w:hAnsi="Times New Roman" w:eastAsia="仿宋_GB2312" w:cs="Times New Roman"/>
          <w:color w:val="auto"/>
          <w:kern w:val="0"/>
          <w:sz w:val="32"/>
          <w:szCs w:val="32"/>
          <w:highlight w:val="none"/>
          <w:lang w:val="en-US" w:eastAsia="zh-CN"/>
        </w:rPr>
        <w:t>101</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lang w:eastAsia="zh-CN"/>
        </w:rPr>
        <w:t>丰德成达中心</w:t>
      </w:r>
      <w:r>
        <w:rPr>
          <w:rFonts w:hint="default" w:ascii="Times New Roman" w:hAnsi="Times New Roman" w:eastAsia="仿宋_GB2312" w:cs="Times New Roman"/>
          <w:color w:val="auto"/>
          <w:kern w:val="0"/>
          <w:sz w:val="32"/>
          <w:szCs w:val="32"/>
          <w:highlight w:val="none"/>
          <w:lang w:val="en-US" w:eastAsia="zh-CN"/>
        </w:rPr>
        <w:t>10楼1005</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逾期送达的</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文件将被拒绝。</w:t>
      </w:r>
    </w:p>
    <w:p w14:paraId="58F6F559">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本次采购项目将于202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日在四川省成都市</w:t>
      </w:r>
      <w:r>
        <w:rPr>
          <w:rFonts w:hint="default" w:ascii="Times New Roman" w:hAnsi="Times New Roman" w:eastAsia="仿宋_GB2312" w:cs="Times New Roman"/>
          <w:color w:val="auto"/>
          <w:kern w:val="0"/>
          <w:sz w:val="32"/>
          <w:szCs w:val="32"/>
          <w:highlight w:val="none"/>
        </w:rPr>
        <w:t>青羊区</w:t>
      </w:r>
      <w:r>
        <w:rPr>
          <w:rFonts w:hint="default" w:ascii="Times New Roman" w:hAnsi="Times New Roman" w:eastAsia="仿宋_GB2312" w:cs="Times New Roman"/>
          <w:color w:val="auto"/>
          <w:kern w:val="0"/>
          <w:sz w:val="32"/>
          <w:szCs w:val="32"/>
          <w:highlight w:val="none"/>
          <w:lang w:eastAsia="zh-CN"/>
        </w:rPr>
        <w:t>鼓楼南街</w:t>
      </w:r>
      <w:r>
        <w:rPr>
          <w:rFonts w:hint="default" w:ascii="Times New Roman" w:hAnsi="Times New Roman" w:eastAsia="仿宋_GB2312" w:cs="Times New Roman"/>
          <w:color w:val="auto"/>
          <w:kern w:val="0"/>
          <w:sz w:val="32"/>
          <w:szCs w:val="32"/>
          <w:highlight w:val="none"/>
          <w:lang w:val="en-US" w:eastAsia="zh-CN"/>
        </w:rPr>
        <w:t>101</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lang w:eastAsia="zh-CN"/>
        </w:rPr>
        <w:t>丰德成达中心</w:t>
      </w:r>
      <w:r>
        <w:rPr>
          <w:rFonts w:hint="default" w:ascii="Times New Roman" w:hAnsi="Times New Roman" w:eastAsia="仿宋_GB2312" w:cs="Times New Roman"/>
          <w:color w:val="auto"/>
          <w:kern w:val="0"/>
          <w:sz w:val="32"/>
          <w:szCs w:val="32"/>
          <w:highlight w:val="none"/>
          <w:lang w:val="en-US" w:eastAsia="zh-CN"/>
        </w:rPr>
        <w:t>10楼</w:t>
      </w:r>
      <w:r>
        <w:rPr>
          <w:rFonts w:hint="default" w:ascii="Times New Roman" w:hAnsi="Times New Roman" w:eastAsia="仿宋_GB2312" w:cs="Times New Roman"/>
          <w:color w:val="auto"/>
          <w:sz w:val="32"/>
          <w:szCs w:val="32"/>
          <w:highlight w:val="none"/>
        </w:rPr>
        <w:t>进行评审。无需采购申请人的法定代表人或其委托的授权代表参加。</w:t>
      </w:r>
    </w:p>
    <w:p w14:paraId="0126F0D3">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5、联系方式</w:t>
      </w:r>
    </w:p>
    <w:p w14:paraId="569EF257">
      <w:pPr>
        <w:keepNext w:val="0"/>
        <w:keepLines w:val="0"/>
        <w:pageBreakBefore w:val="0"/>
        <w:widowControl/>
        <w:kinsoku/>
        <w:wordWrap/>
        <w:overflowPunct/>
        <w:topLinePunct w:val="0"/>
        <w:autoSpaceDE/>
        <w:autoSpaceDN/>
        <w:bidi w:val="0"/>
        <w:adjustRightInd/>
        <w:snapToGrid/>
        <w:spacing w:line="580" w:lineRule="exact"/>
        <w:ind w:left="0" w:leftChars="0" w:right="0" w:firstLine="960" w:firstLineChars="3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四川省政府政务服务和公共资源交易服务中心</w:t>
      </w:r>
    </w:p>
    <w:p w14:paraId="57A0E33E">
      <w:pPr>
        <w:keepNext w:val="0"/>
        <w:keepLines w:val="0"/>
        <w:pageBreakBefore w:val="0"/>
        <w:widowControl/>
        <w:kinsoku/>
        <w:wordWrap/>
        <w:overflowPunct/>
        <w:topLinePunct w:val="0"/>
        <w:autoSpaceDE/>
        <w:autoSpaceDN/>
        <w:bidi w:val="0"/>
        <w:adjustRightInd/>
        <w:snapToGrid/>
        <w:spacing w:line="580" w:lineRule="exact"/>
        <w:ind w:left="0" w:leftChars="0" w:right="0" w:firstLine="960" w:firstLineChars="300"/>
        <w:jc w:val="left"/>
        <w:textAlignment w:val="auto"/>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color w:val="auto"/>
          <w:kern w:val="0"/>
          <w:sz w:val="32"/>
          <w:szCs w:val="32"/>
          <w:highlight w:val="none"/>
        </w:rPr>
        <w:t>联 系 人：</w:t>
      </w:r>
      <w:r>
        <w:rPr>
          <w:rFonts w:hint="default" w:ascii="Times New Roman" w:hAnsi="Times New Roman" w:eastAsia="仿宋_GB2312" w:cs="Times New Roman"/>
          <w:color w:val="auto"/>
          <w:kern w:val="0"/>
          <w:sz w:val="32"/>
          <w:szCs w:val="32"/>
          <w:highlight w:val="none"/>
          <w:lang w:val="en-US" w:eastAsia="zh-CN"/>
        </w:rPr>
        <w:t xml:space="preserve">郭老师             </w:t>
      </w:r>
      <w:r>
        <w:rPr>
          <w:rFonts w:hint="default" w:ascii="Times New Roman" w:hAnsi="Times New Roman" w:eastAsia="仿宋_GB2312" w:cs="Times New Roman"/>
          <w:color w:val="auto"/>
          <w:kern w:val="0"/>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rPr>
        <w:t>86953169</w:t>
      </w:r>
    </w:p>
    <w:p w14:paraId="1DEF4037">
      <w:pPr>
        <w:keepNext w:val="0"/>
        <w:keepLines w:val="0"/>
        <w:pageBreakBefore w:val="0"/>
        <w:widowControl/>
        <w:kinsoku/>
        <w:wordWrap/>
        <w:overflowPunct/>
        <w:topLinePunct w:val="0"/>
        <w:autoSpaceDE/>
        <w:autoSpaceDN/>
        <w:bidi w:val="0"/>
        <w:adjustRightInd/>
        <w:snapToGrid/>
        <w:spacing w:line="580" w:lineRule="exact"/>
        <w:ind w:left="0" w:leftChars="0" w:right="0" w:firstLine="960" w:firstLineChars="300"/>
        <w:jc w:val="left"/>
        <w:textAlignment w:val="auto"/>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color w:val="auto"/>
          <w:kern w:val="0"/>
          <w:sz w:val="32"/>
          <w:szCs w:val="32"/>
          <w:highlight w:val="none"/>
          <w:lang w:val="en-US" w:eastAsia="zh-CN"/>
        </w:rPr>
        <w:t xml:space="preserve">       </w:t>
      </w:r>
    </w:p>
    <w:bookmarkEnd w:id="3"/>
    <w:bookmarkEnd w:id="4"/>
    <w:bookmarkEnd w:id="5"/>
    <w:p w14:paraId="21142A56">
      <w:pPr>
        <w:pStyle w:val="5"/>
        <w:pageBreakBefore w:val="0"/>
        <w:kinsoku/>
        <w:wordWrap/>
        <w:overflowPunct/>
        <w:topLinePunct w:val="0"/>
        <w:bidi w:val="0"/>
        <w:spacing w:line="580" w:lineRule="exact"/>
        <w:ind w:left="0" w:leftChars="0" w:firstLine="0" w:firstLineChars="0"/>
        <w:textAlignment w:val="auto"/>
        <w:rPr>
          <w:rFonts w:hint="default" w:ascii="Times New Roman" w:hAnsi="Times New Roman" w:cs="Times New Roman"/>
          <w:color w:val="auto"/>
          <w:highlight w:val="none"/>
        </w:rPr>
      </w:pPr>
      <w:bookmarkStart w:id="9" w:name="_Toc468808806"/>
      <w:bookmarkStart w:id="10" w:name="_Toc226969356"/>
      <w:bookmarkStart w:id="11" w:name="_Toc227057962"/>
    </w:p>
    <w:p w14:paraId="0D9D0EF4">
      <w:pPr>
        <w:pageBreakBefore w:val="0"/>
        <w:kinsoku/>
        <w:wordWrap/>
        <w:overflowPunct/>
        <w:topLinePunct w:val="0"/>
        <w:bidi w:val="0"/>
        <w:spacing w:line="580" w:lineRule="exact"/>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br w:type="page"/>
      </w:r>
    </w:p>
    <w:p w14:paraId="1B107F3A">
      <w:pPr>
        <w:pStyle w:val="3"/>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第二章 </w:t>
      </w:r>
      <w:r>
        <w:rPr>
          <w:rFonts w:hint="default" w:ascii="Times New Roman" w:hAnsi="Times New Roman" w:eastAsia="黑体" w:cs="Times New Roman"/>
          <w:b w:val="0"/>
          <w:bCs w:val="0"/>
          <w:color w:val="auto"/>
          <w:sz w:val="32"/>
          <w:szCs w:val="32"/>
          <w:highlight w:val="none"/>
        </w:rPr>
        <w:t>技术规范要求</w:t>
      </w:r>
      <w:bookmarkEnd w:id="9"/>
      <w:bookmarkStart w:id="12" w:name="_Toc468808807"/>
    </w:p>
    <w:p w14:paraId="669195A8">
      <w:pPr>
        <w:pStyle w:val="4"/>
        <w:pageBreakBefore w:val="0"/>
        <w:widowControl w:val="0"/>
        <w:kinsoku/>
        <w:wordWrap/>
        <w:overflowPunct/>
        <w:topLinePunct w:val="0"/>
        <w:autoSpaceDE/>
        <w:autoSpaceDN/>
        <w:bidi w:val="0"/>
        <w:adjustRightInd/>
        <w:snapToGrid/>
        <w:spacing w:before="0" w:after="0" w:line="580" w:lineRule="exact"/>
        <w:ind w:right="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p>
    <w:p w14:paraId="785C47D7">
      <w:pPr>
        <w:pStyle w:val="4"/>
        <w:keepNext/>
        <w:keepLines/>
        <w:pageBreakBefore w:val="0"/>
        <w:widowControl w:val="0"/>
        <w:kinsoku/>
        <w:wordWrap/>
        <w:overflowPunct/>
        <w:topLinePunct w:val="0"/>
        <w:autoSpaceDE/>
        <w:autoSpaceDN/>
        <w:bidi w:val="0"/>
        <w:adjustRightInd/>
        <w:snapToGrid/>
        <w:spacing w:before="0" w:after="0" w:line="580" w:lineRule="exact"/>
        <w:ind w:left="0" w:leftChars="0" w:right="0" w:firstLine="643" w:firstLineChars="200"/>
        <w:textAlignment w:val="auto"/>
        <w:outlineLvl w:val="1"/>
        <w:rPr>
          <w:rFonts w:hint="default" w:ascii="Times New Roman" w:hAnsi="Times New Roman" w:eastAsia="仿宋_GB2312" w:cs="Times New Roman"/>
          <w:b/>
          <w:color w:val="auto"/>
          <w:sz w:val="32"/>
          <w:highlight w:val="none"/>
          <w:lang w:val="en-US" w:eastAsia="zh-CN"/>
        </w:rPr>
      </w:pPr>
      <w:r>
        <w:rPr>
          <w:rFonts w:hint="default" w:ascii="Times New Roman" w:hAnsi="Times New Roman" w:eastAsia="仿宋_GB2312" w:cs="Times New Roman"/>
          <w:b/>
          <w:color w:val="auto"/>
          <w:sz w:val="32"/>
          <w:highlight w:val="none"/>
          <w:lang w:val="en-US" w:eastAsia="zh-CN"/>
        </w:rPr>
        <w:t>一、项目概述</w:t>
      </w:r>
    </w:p>
    <w:p w14:paraId="78F6E3DC">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5F0AE2E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了保障四川省公共资源交易服务平台、四川省综合评标专家库系统、四川省公共资源交易电子招投标系统、OA系统、内控系统安全、稳定、可靠、高效的运行，按照国家网络安全等级保护系列标准要求，需要对其进行安全等级保护三级测评。测评内容包括：信息系统技术安全性测评及信息系统管理安全性测评；信息系统技术安全性测评包括但不限于：安全物理环境、安全通信网络、安全区域边界、安全计算环境、安全管理中心；信息系统管理安全测评包括但不限于：安全管理制度、安全管理机构、安全管理人员、安全建设管理、安全运维管理；安全漏洞扫描包括但不限于：应用系统漏洞扫描、应用服务器漏洞扫描、数据库服务器漏洞扫描。通过测评，对照相应安全等级保护要求进行差距分析，排查系统安全漏洞和隐患并分析其风险，制订出整改措施，出具测评报告，并按照公安部制定的要求完成信息系统安全等级保护定级备案工作。</w:t>
      </w:r>
    </w:p>
    <w:p w14:paraId="067DD210">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5ABBA16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为了保障12345政务服务热线及网络理政平台安全、稳定、可靠、高效的运行，按照国家网络安全等级保护系列标准要求，需要对其进行安全等级保护三级测评。测评内容包括：信息系统技术安全性测评及信息系统管理安全性测评；信息系统技术安全性测评包括但不限于：安全物理环境、安全通信网络、安全区域边界、安全计算环境、安全管理中心；信息系统管理安全测评包括但不限于：安全管理制度、安全管理机构、安全管理人员、安全建设管理、安全运维管理；安全漏洞扫描包括但不限于：应用系统漏洞扫描、应用服务器漏洞扫描、数据库服务器漏洞扫描。通过测评，对照相应安全等级保护要求进行差距分析，排查系统安全漏洞和隐患并分析其风险，制订出整改措施，出具测评报告，并按照公安部制定的要求完成信息系统安全等级保护定级备案工作</w:t>
      </w:r>
      <w:r>
        <w:rPr>
          <w:rFonts w:hint="default" w:ascii="Times New Roman" w:hAnsi="Times New Roman" w:eastAsia="仿宋_GB2312" w:cs="Times New Roman"/>
          <w:color w:val="auto"/>
          <w:sz w:val="32"/>
          <w:szCs w:val="32"/>
          <w:highlight w:val="none"/>
          <w:lang w:eastAsia="zh-CN"/>
        </w:rPr>
        <w:t>。</w:t>
      </w:r>
    </w:p>
    <w:p w14:paraId="3FAF4C86">
      <w:pPr>
        <w:pStyle w:val="4"/>
        <w:keepNext/>
        <w:keepLines/>
        <w:pageBreakBefore w:val="0"/>
        <w:widowControl w:val="0"/>
        <w:kinsoku/>
        <w:wordWrap/>
        <w:overflowPunct/>
        <w:topLinePunct w:val="0"/>
        <w:autoSpaceDE/>
        <w:autoSpaceDN/>
        <w:bidi w:val="0"/>
        <w:adjustRightInd/>
        <w:snapToGrid/>
        <w:spacing w:before="0" w:after="0" w:line="580" w:lineRule="exact"/>
        <w:ind w:left="0" w:leftChars="0" w:right="0" w:firstLine="643" w:firstLineChars="200"/>
        <w:textAlignment w:val="auto"/>
        <w:outlineLvl w:val="1"/>
        <w:rPr>
          <w:rFonts w:hint="default" w:ascii="Times New Roman" w:hAnsi="Times New Roman" w:eastAsia="仿宋_GB2312" w:cs="Times New Roman"/>
          <w:b/>
          <w:color w:val="auto"/>
          <w:sz w:val="32"/>
          <w:highlight w:val="none"/>
          <w:lang w:val="en-US" w:eastAsia="zh-CN"/>
        </w:rPr>
      </w:pPr>
      <w:bookmarkStart w:id="13" w:name="_Toc25177"/>
      <w:r>
        <w:rPr>
          <w:rFonts w:hint="default" w:ascii="Times New Roman" w:hAnsi="Times New Roman" w:eastAsia="仿宋_GB2312" w:cs="Times New Roman"/>
          <w:b/>
          <w:color w:val="auto"/>
          <w:sz w:val="32"/>
          <w:highlight w:val="none"/>
          <w:lang w:val="en-US" w:eastAsia="zh-CN"/>
        </w:rPr>
        <w:t>二、服务内容技术、服务要求</w:t>
      </w:r>
      <w:bookmarkEnd w:id="13"/>
    </w:p>
    <w:p w14:paraId="431788A5">
      <w:pPr>
        <w:pStyle w:val="6"/>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bookmarkStart w:id="14" w:name="_Toc7408"/>
      <w:bookmarkStart w:id="15" w:name="_Toc25818"/>
      <w:r>
        <w:rPr>
          <w:rFonts w:hint="default" w:ascii="Times New Roman" w:hAnsi="Times New Roman" w:eastAsia="仿宋_GB2312" w:cs="Times New Roman"/>
          <w:color w:val="auto"/>
          <w:sz w:val="32"/>
          <w:szCs w:val="32"/>
          <w:highlight w:val="none"/>
        </w:rPr>
        <w:t>（一）服务目标</w:t>
      </w:r>
    </w:p>
    <w:p w14:paraId="0BE9545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78E2053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依据国家和行业信息安全的相关标准，全面了解和掌握企业为系统现有安全状况，找出其与《信息安全技术网络安全等级保护基本要求》（GB/T 22239-2019）对应级别的差距，及时发现系统存在的安全问题，针对等级保护测评中发现的各种安全风险，测评项目组提出适宜的安全整改建议，最终提交该系统等级保护测评报告。</w:t>
      </w:r>
    </w:p>
    <w:p w14:paraId="5CCD0D9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146CF19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依据国家和行业信息安全的相关标准，全面了解和掌握企业为系统现有安全状况，找出其与《信息安全技术网络安全等级保护基本要求》（GB/T 22239-2019）对应级别的差距，及时发现系统存在的安全问题，针对等级保护测评中发现的各种安全风险，测评项目组提出适宜的安全整改建议，最终提交该系统等级保护测评报告。</w:t>
      </w:r>
    </w:p>
    <w:p w14:paraId="11EF290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★（二）工作内容及要求</w:t>
      </w:r>
    </w:p>
    <w:p w14:paraId="6B41CA4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1F060322">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2.1测评对象</w:t>
      </w:r>
    </w:p>
    <w:tbl>
      <w:tblPr>
        <w:tblStyle w:val="55"/>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47"/>
      </w:tblGrid>
      <w:tr w14:paraId="47BD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44B2E00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系统名称</w:t>
            </w:r>
          </w:p>
        </w:tc>
        <w:tc>
          <w:tcPr>
            <w:tcW w:w="2502" w:type="pct"/>
            <w:tcBorders>
              <w:top w:val="single" w:color="auto" w:sz="4" w:space="0"/>
              <w:left w:val="single" w:color="auto" w:sz="4" w:space="0"/>
              <w:bottom w:val="single" w:color="auto" w:sz="4" w:space="0"/>
              <w:right w:val="single" w:color="auto" w:sz="4" w:space="0"/>
            </w:tcBorders>
            <w:vAlign w:val="center"/>
          </w:tcPr>
          <w:p w14:paraId="1D4A557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安全等级</w:t>
            </w:r>
          </w:p>
        </w:tc>
      </w:tr>
      <w:tr w14:paraId="5ED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5995B23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四川省公共资源交易服务平台</w:t>
            </w:r>
          </w:p>
        </w:tc>
        <w:tc>
          <w:tcPr>
            <w:tcW w:w="2502" w:type="pct"/>
            <w:tcBorders>
              <w:top w:val="single" w:color="auto" w:sz="4" w:space="0"/>
              <w:left w:val="single" w:color="auto" w:sz="4" w:space="0"/>
              <w:bottom w:val="single" w:color="auto" w:sz="4" w:space="0"/>
              <w:right w:val="single" w:color="auto" w:sz="4" w:space="0"/>
            </w:tcBorders>
            <w:vAlign w:val="center"/>
          </w:tcPr>
          <w:p w14:paraId="5EE3A91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1435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37BBA9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四川省综合评标专家库系统</w:t>
            </w:r>
          </w:p>
        </w:tc>
        <w:tc>
          <w:tcPr>
            <w:tcW w:w="2502" w:type="pct"/>
            <w:tcBorders>
              <w:top w:val="single" w:color="auto" w:sz="4" w:space="0"/>
              <w:left w:val="single" w:color="auto" w:sz="4" w:space="0"/>
              <w:bottom w:val="single" w:color="auto" w:sz="4" w:space="0"/>
              <w:right w:val="single" w:color="auto" w:sz="4" w:space="0"/>
            </w:tcBorders>
            <w:vAlign w:val="center"/>
          </w:tcPr>
          <w:p w14:paraId="355836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4960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537C689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四川省公共资源交易电子招投标系统</w:t>
            </w:r>
          </w:p>
        </w:tc>
        <w:tc>
          <w:tcPr>
            <w:tcW w:w="2502" w:type="pct"/>
            <w:tcBorders>
              <w:top w:val="single" w:color="auto" w:sz="4" w:space="0"/>
              <w:left w:val="single" w:color="auto" w:sz="4" w:space="0"/>
              <w:bottom w:val="single" w:color="auto" w:sz="4" w:space="0"/>
              <w:right w:val="single" w:color="auto" w:sz="4" w:space="0"/>
            </w:tcBorders>
            <w:vAlign w:val="center"/>
          </w:tcPr>
          <w:p w14:paraId="66C5B28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6C7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0668E36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OA系统</w:t>
            </w:r>
          </w:p>
        </w:tc>
        <w:tc>
          <w:tcPr>
            <w:tcW w:w="2502" w:type="pct"/>
            <w:tcBorders>
              <w:top w:val="single" w:color="auto" w:sz="4" w:space="0"/>
              <w:left w:val="single" w:color="auto" w:sz="4" w:space="0"/>
              <w:bottom w:val="single" w:color="auto" w:sz="4" w:space="0"/>
              <w:right w:val="single" w:color="auto" w:sz="4" w:space="0"/>
            </w:tcBorders>
            <w:vAlign w:val="center"/>
          </w:tcPr>
          <w:p w14:paraId="00E857D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46DC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22559F1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内控系统</w:t>
            </w:r>
          </w:p>
        </w:tc>
        <w:tc>
          <w:tcPr>
            <w:tcW w:w="2502" w:type="pct"/>
            <w:tcBorders>
              <w:top w:val="single" w:color="auto" w:sz="4" w:space="0"/>
              <w:left w:val="single" w:color="auto" w:sz="4" w:space="0"/>
              <w:bottom w:val="single" w:color="auto" w:sz="4" w:space="0"/>
              <w:right w:val="single" w:color="auto" w:sz="4" w:space="0"/>
            </w:tcBorders>
            <w:vAlign w:val="center"/>
          </w:tcPr>
          <w:p w14:paraId="49C5DD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bl>
    <w:p w14:paraId="18AC339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具体服务内容包括：</w:t>
      </w:r>
    </w:p>
    <w:p w14:paraId="2143A6C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1、协助四川省政府政务服务和公共资源交易服务中心需要进行测评的信息系统进行定级、备案材料的编写，协助采购方到公安监管等部门办理备案手续，确保信息系统安全保护等级定级准确、备案完整。</w:t>
      </w:r>
    </w:p>
    <w:p w14:paraId="3B63183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2、按照《信息安全技术网络安全等级保护基本要求》对系统从技术、安全管理等方面进行安全等级测评工作。</w:t>
      </w:r>
    </w:p>
    <w:p w14:paraId="63A48E4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3、形成问题汇总及整改意见报告。根据测评结果，对等级测评结果进行汇总统计，并编制系统等级保护测评问题汇总及整改意见报告，列出被测系统中存在的主要问题和整改意见。</w:t>
      </w:r>
    </w:p>
    <w:p w14:paraId="3AF24E1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4、协助完成整改工作。依据整改方案，为安全整改的各项工作提供技术咨询与支撑服务。</w:t>
      </w:r>
    </w:p>
    <w:p w14:paraId="7CABD46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5、编制并提交等级保护测评报告，报告需提交公安机关有关部门备案，且能满足合规性要求。</w:t>
      </w:r>
    </w:p>
    <w:p w14:paraId="6701394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2.2测评要求</w:t>
      </w:r>
    </w:p>
    <w:p w14:paraId="34FF575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根据项目需求，为保障信息安全现场测评过程安全可控，明确测评人员职责分配、规范测评人员操作，保障测评结果有效，至少包括以下几个流程：</w:t>
      </w:r>
    </w:p>
    <w:tbl>
      <w:tblPr>
        <w:tblStyle w:val="55"/>
        <w:tblW w:w="5078" w:type="pct"/>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648"/>
        <w:gridCol w:w="5776"/>
      </w:tblGrid>
      <w:tr w14:paraId="1728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423" w:type="pct"/>
            <w:tcBorders>
              <w:top w:val="single" w:color="auto" w:sz="4" w:space="0"/>
              <w:left w:val="single" w:color="auto" w:sz="4" w:space="0"/>
              <w:bottom w:val="single" w:color="auto" w:sz="4" w:space="0"/>
              <w:right w:val="single" w:color="auto" w:sz="4" w:space="0"/>
            </w:tcBorders>
            <w:vAlign w:val="center"/>
          </w:tcPr>
          <w:p w14:paraId="42C6C3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438" w:type="pct"/>
            <w:tcBorders>
              <w:top w:val="single" w:color="auto" w:sz="4" w:space="0"/>
              <w:left w:val="single" w:color="auto" w:sz="4" w:space="0"/>
              <w:bottom w:val="single" w:color="auto" w:sz="4" w:space="0"/>
              <w:right w:val="single" w:color="auto" w:sz="4" w:space="0"/>
            </w:tcBorders>
            <w:vAlign w:val="center"/>
          </w:tcPr>
          <w:p w14:paraId="5E39967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关键实施阶段</w:t>
            </w:r>
          </w:p>
        </w:tc>
        <w:tc>
          <w:tcPr>
            <w:tcW w:w="3137" w:type="pct"/>
            <w:tcBorders>
              <w:top w:val="single" w:color="auto" w:sz="4" w:space="0"/>
              <w:left w:val="single" w:color="auto" w:sz="4" w:space="0"/>
              <w:bottom w:val="single" w:color="auto" w:sz="4" w:space="0"/>
              <w:right w:val="single" w:color="auto" w:sz="4" w:space="0"/>
            </w:tcBorders>
            <w:vAlign w:val="center"/>
          </w:tcPr>
          <w:p w14:paraId="624F4C1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工作要求</w:t>
            </w:r>
          </w:p>
        </w:tc>
      </w:tr>
      <w:tr w14:paraId="6F67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76A4DD2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438" w:type="pct"/>
            <w:tcBorders>
              <w:top w:val="single" w:color="auto" w:sz="4" w:space="0"/>
              <w:left w:val="single" w:color="auto" w:sz="4" w:space="0"/>
              <w:bottom w:val="single" w:color="auto" w:sz="4" w:space="0"/>
              <w:right w:val="single" w:color="auto" w:sz="4" w:space="0"/>
            </w:tcBorders>
            <w:vAlign w:val="center"/>
          </w:tcPr>
          <w:p w14:paraId="2DC465C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确定测评范围</w:t>
            </w:r>
          </w:p>
        </w:tc>
        <w:tc>
          <w:tcPr>
            <w:tcW w:w="3137" w:type="pct"/>
            <w:tcBorders>
              <w:top w:val="single" w:color="auto" w:sz="4" w:space="0"/>
              <w:left w:val="single" w:color="auto" w:sz="4" w:space="0"/>
              <w:bottom w:val="single" w:color="auto" w:sz="4" w:space="0"/>
              <w:right w:val="single" w:color="auto" w:sz="4" w:space="0"/>
            </w:tcBorders>
            <w:vAlign w:val="center"/>
          </w:tcPr>
          <w:p w14:paraId="62804F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明确本次被测评信息系统的范围，包括每个信息系统的范围、信息系统的边界等。</w:t>
            </w:r>
          </w:p>
        </w:tc>
      </w:tr>
      <w:tr w14:paraId="2D40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5E3C08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438" w:type="pct"/>
            <w:tcBorders>
              <w:top w:val="single" w:color="auto" w:sz="4" w:space="0"/>
              <w:left w:val="single" w:color="auto" w:sz="4" w:space="0"/>
              <w:bottom w:val="single" w:color="auto" w:sz="4" w:space="0"/>
              <w:right w:val="single" w:color="auto" w:sz="4" w:space="0"/>
            </w:tcBorders>
            <w:vAlign w:val="center"/>
          </w:tcPr>
          <w:p w14:paraId="4023829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获得信息系统的信息</w:t>
            </w:r>
          </w:p>
        </w:tc>
        <w:tc>
          <w:tcPr>
            <w:tcW w:w="3137" w:type="pct"/>
            <w:tcBorders>
              <w:top w:val="single" w:color="auto" w:sz="4" w:space="0"/>
              <w:left w:val="single" w:color="auto" w:sz="4" w:space="0"/>
              <w:bottom w:val="single" w:color="auto" w:sz="4" w:space="0"/>
              <w:right w:val="single" w:color="auto" w:sz="4" w:space="0"/>
            </w:tcBorders>
            <w:vAlign w:val="center"/>
          </w:tcPr>
          <w:p w14:paraId="2D54E77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通过调查或查阅资料的方式，了解被测评信息系统的构成，包括网络拓扑、业务应用、业务流程、设备信息、安全措施状况等。</w:t>
            </w:r>
          </w:p>
        </w:tc>
      </w:tr>
      <w:tr w14:paraId="2B45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23F5E4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438" w:type="pct"/>
            <w:tcBorders>
              <w:top w:val="single" w:color="auto" w:sz="4" w:space="0"/>
              <w:left w:val="single" w:color="auto" w:sz="4" w:space="0"/>
              <w:bottom w:val="single" w:color="auto" w:sz="4" w:space="0"/>
              <w:right w:val="single" w:color="auto" w:sz="4" w:space="0"/>
            </w:tcBorders>
            <w:vAlign w:val="center"/>
          </w:tcPr>
          <w:p w14:paraId="2B3CB7B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确定具体的测评对象</w:t>
            </w:r>
          </w:p>
        </w:tc>
        <w:tc>
          <w:tcPr>
            <w:tcW w:w="3137" w:type="pct"/>
            <w:tcBorders>
              <w:top w:val="single" w:color="auto" w:sz="4" w:space="0"/>
              <w:left w:val="single" w:color="auto" w:sz="4" w:space="0"/>
              <w:bottom w:val="single" w:color="auto" w:sz="4" w:space="0"/>
              <w:right w:val="single" w:color="auto" w:sz="4" w:space="0"/>
            </w:tcBorders>
            <w:vAlign w:val="center"/>
          </w:tcPr>
          <w:p w14:paraId="53602A5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初步确定每个信息系统的被测评对象，包括整体对象，如机房、办公环境、网络等，也包括具体对象，如边界设备、网关设备、服务器设备、工作站、应用系统等。</w:t>
            </w:r>
          </w:p>
        </w:tc>
      </w:tr>
      <w:tr w14:paraId="76BA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1578669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438" w:type="pct"/>
            <w:tcBorders>
              <w:top w:val="single" w:color="auto" w:sz="4" w:space="0"/>
              <w:left w:val="single" w:color="auto" w:sz="4" w:space="0"/>
              <w:bottom w:val="single" w:color="auto" w:sz="4" w:space="0"/>
              <w:right w:val="single" w:color="auto" w:sz="4" w:space="0"/>
            </w:tcBorders>
            <w:vAlign w:val="center"/>
          </w:tcPr>
          <w:p w14:paraId="4703C9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确定测评工作的方法</w:t>
            </w:r>
          </w:p>
        </w:tc>
        <w:tc>
          <w:tcPr>
            <w:tcW w:w="3137" w:type="pct"/>
            <w:tcBorders>
              <w:top w:val="single" w:color="auto" w:sz="4" w:space="0"/>
              <w:left w:val="single" w:color="auto" w:sz="4" w:space="0"/>
              <w:bottom w:val="single" w:color="auto" w:sz="4" w:space="0"/>
              <w:right w:val="single" w:color="auto" w:sz="4" w:space="0"/>
            </w:tcBorders>
            <w:vAlign w:val="center"/>
          </w:tcPr>
          <w:p w14:paraId="775AF01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根据信息系统安全等级情况、系统规模大小等，明确本次测评的方法。</w:t>
            </w:r>
          </w:p>
        </w:tc>
      </w:tr>
      <w:tr w14:paraId="17B2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6C9E121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438" w:type="pct"/>
            <w:tcBorders>
              <w:top w:val="single" w:color="auto" w:sz="4" w:space="0"/>
              <w:left w:val="single" w:color="auto" w:sz="4" w:space="0"/>
              <w:bottom w:val="single" w:color="auto" w:sz="4" w:space="0"/>
              <w:right w:val="single" w:color="auto" w:sz="4" w:space="0"/>
            </w:tcBorders>
            <w:vAlign w:val="center"/>
          </w:tcPr>
          <w:p w14:paraId="07291F0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w:t>
            </w:r>
          </w:p>
        </w:tc>
        <w:tc>
          <w:tcPr>
            <w:tcW w:w="3137" w:type="pct"/>
            <w:tcBorders>
              <w:top w:val="single" w:color="auto" w:sz="4" w:space="0"/>
              <w:left w:val="single" w:color="auto" w:sz="4" w:space="0"/>
              <w:bottom w:val="single" w:color="auto" w:sz="4" w:space="0"/>
              <w:right w:val="single" w:color="auto" w:sz="4" w:space="0"/>
            </w:tcBorders>
            <w:vAlign w:val="center"/>
          </w:tcPr>
          <w:p w14:paraId="4F98103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制定测评工作计划或方案，说明测评范围、测评对象、工作方法、人员组成、角色职责、时间计划等。</w:t>
            </w:r>
          </w:p>
        </w:tc>
      </w:tr>
      <w:tr w14:paraId="4802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388D698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438" w:type="pct"/>
            <w:tcBorders>
              <w:top w:val="single" w:color="auto" w:sz="4" w:space="0"/>
              <w:left w:val="single" w:color="auto" w:sz="4" w:space="0"/>
              <w:bottom w:val="single" w:color="auto" w:sz="4" w:space="0"/>
              <w:right w:val="single" w:color="auto" w:sz="4" w:space="0"/>
            </w:tcBorders>
            <w:vAlign w:val="center"/>
          </w:tcPr>
          <w:p w14:paraId="2417566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实施等级保护测评</w:t>
            </w:r>
          </w:p>
        </w:tc>
        <w:tc>
          <w:tcPr>
            <w:tcW w:w="3137" w:type="pct"/>
            <w:tcBorders>
              <w:top w:val="single" w:color="auto" w:sz="4" w:space="0"/>
              <w:left w:val="single" w:color="auto" w:sz="4" w:space="0"/>
              <w:bottom w:val="single" w:color="auto" w:sz="4" w:space="0"/>
              <w:right w:val="single" w:color="auto" w:sz="4" w:space="0"/>
            </w:tcBorders>
            <w:vAlign w:val="center"/>
          </w:tcPr>
          <w:p w14:paraId="2E59D9B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实施测评，包括人工检查、工具扫描等方式。</w:t>
            </w:r>
          </w:p>
        </w:tc>
      </w:tr>
      <w:tr w14:paraId="7636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1FFC7EE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438" w:type="pct"/>
            <w:tcBorders>
              <w:top w:val="single" w:color="auto" w:sz="4" w:space="0"/>
              <w:left w:val="single" w:color="auto" w:sz="4" w:space="0"/>
              <w:bottom w:val="single" w:color="auto" w:sz="4" w:space="0"/>
              <w:right w:val="single" w:color="auto" w:sz="4" w:space="0"/>
            </w:tcBorders>
            <w:vAlign w:val="center"/>
          </w:tcPr>
          <w:p w14:paraId="349DDA4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项目总结</w:t>
            </w:r>
          </w:p>
        </w:tc>
        <w:tc>
          <w:tcPr>
            <w:tcW w:w="3137" w:type="pct"/>
            <w:tcBorders>
              <w:top w:val="single" w:color="auto" w:sz="4" w:space="0"/>
              <w:left w:val="single" w:color="auto" w:sz="4" w:space="0"/>
              <w:bottom w:val="single" w:color="auto" w:sz="4" w:space="0"/>
              <w:right w:val="single" w:color="auto" w:sz="4" w:space="0"/>
            </w:tcBorders>
            <w:vAlign w:val="center"/>
          </w:tcPr>
          <w:p w14:paraId="26CBDEF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对测评结果进行总结、汇报</w:t>
            </w: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备案</w:t>
            </w:r>
            <w:r>
              <w:rPr>
                <w:rFonts w:hint="default" w:ascii="Times New Roman" w:hAnsi="Times New Roman" w:eastAsia="仿宋_GB2312" w:cs="Times New Roman"/>
                <w:color w:val="auto"/>
                <w:sz w:val="28"/>
                <w:szCs w:val="28"/>
                <w:highlight w:val="none"/>
              </w:rPr>
              <w:t>。</w:t>
            </w:r>
          </w:p>
        </w:tc>
      </w:tr>
    </w:tbl>
    <w:p w14:paraId="1E1F77F8">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2.3测评应满足的原则</w:t>
      </w:r>
    </w:p>
    <w:p w14:paraId="384A39F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本次信息系统安全等级保护测评服务方案设计，以及具体实施内容应满足以下原则：</w:t>
      </w:r>
    </w:p>
    <w:p w14:paraId="129F710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1、保密原则：对测评的过程数据和结果数据严格保密，未经授权不得泄露给任何单位和个人，不得利用此数据进行任何侵害采购人的行为，否则采购人有权追究供应商的责任。</w:t>
      </w:r>
    </w:p>
    <w:p w14:paraId="09C01CB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2、标准性原则：测评方案的设计与实施应依据国家等级保护的相关标准进行。</w:t>
      </w:r>
    </w:p>
    <w:p w14:paraId="2A1B80E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3、规范性原则：供应商工作中的过程和文档，具有很好的规范性，以便于项目的跟踪和控制。  </w:t>
      </w:r>
    </w:p>
    <w:p w14:paraId="7C2C527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4、可控性原则：等级保护测评服务的进度要跟上进度表的安排，保证采购人对于测评工作的可控性。</w:t>
      </w:r>
    </w:p>
    <w:p w14:paraId="4B647C7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5、整体性原则：等级保护测评服务的范围和内容应当整体全面，包括国家等级保护相关要求涉及的各个层面。</w:t>
      </w:r>
    </w:p>
    <w:p w14:paraId="6906D36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最小影响原则：等级保护测评服务工作应尽可能小的影响系统和网络，并在可控范围内；测评工作不能对现有信息系统的正常运行、业务的正常开展产生任何影响。供应商应严格依照上述原则和国家等级保护相关标准开展项目实施工作。</w:t>
      </w:r>
    </w:p>
    <w:p w14:paraId="45E88316">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2.4测评依据</w:t>
      </w:r>
    </w:p>
    <w:p w14:paraId="03F9C21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应按照下面所列出的标准、规程和规定进行设备的设计、制造和试验，本设备技术规范中所使用的标准或规程应是最新版，本技术条款提出了最低限度的技术要求，并未规定所有的技术要求和适用的标准，对国家有关的强制性标准，必须满足其要求。</w:t>
      </w:r>
    </w:p>
    <w:p w14:paraId="1F974000">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《中华人民共和国网络安全法》 </w:t>
      </w:r>
    </w:p>
    <w:p w14:paraId="087F0576">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《中华人民共和国计算机信息系统安全保护条例》 （国务院令第147号）</w:t>
      </w:r>
    </w:p>
    <w:p w14:paraId="0C0141F5">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《信息安全等级保护管理办法》（公通字[2007]43号）</w:t>
      </w:r>
    </w:p>
    <w:p w14:paraId="274C0F6D">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22239-2019：《信息安全技术 网络安全等级保护基本要求》 </w:t>
      </w:r>
    </w:p>
    <w:p w14:paraId="2BF87DA6">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28448-2019：《信息安全技术 网络安全等级保护测评要求》</w:t>
      </w:r>
    </w:p>
    <w:p w14:paraId="76F913DB">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 17859-1999：《计算机信息系统安全保护等级划分准则》 </w:t>
      </w:r>
    </w:p>
    <w:p w14:paraId="4C7BAE7F">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25058-2019：《信息安全技术 网络安全等级保护实施指南》 </w:t>
      </w:r>
    </w:p>
    <w:p w14:paraId="3FE21461">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28449-2018：《信息安全技术 网络安全等级保护测评过程指南》 </w:t>
      </w:r>
    </w:p>
    <w:p w14:paraId="5F34A9B3">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T/ISEAA 001-2020：《网络安全等级保护测评高风险判定指引》</w:t>
      </w:r>
    </w:p>
    <w:p w14:paraId="025F176A">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2.5 服务内容</w:t>
      </w:r>
    </w:p>
    <w:p w14:paraId="1511F9C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bookmarkStart w:id="16" w:name="_Toc424645861"/>
      <w:bookmarkStart w:id="17" w:name="_Toc198517986"/>
      <w:bookmarkStart w:id="18" w:name="_Toc182638545"/>
      <w:bookmarkStart w:id="19" w:name="_Toc183323075"/>
      <w:bookmarkStart w:id="20" w:name="_Toc428192215"/>
      <w:bookmarkStart w:id="21" w:name="_Toc346017456"/>
      <w:bookmarkStart w:id="22" w:name="_Toc215380397"/>
      <w:r>
        <w:rPr>
          <w:rFonts w:hint="default" w:ascii="Times New Roman" w:hAnsi="Times New Roman" w:eastAsia="仿宋_GB2312" w:cs="Times New Roman"/>
          <w:color w:val="auto"/>
          <w:sz w:val="32"/>
          <w:szCs w:val="32"/>
          <w:highlight w:val="none"/>
        </w:rPr>
        <w:t>按照网络安全等级保护测评依据开展测评工作（包括不限于以下内容）：</w:t>
      </w:r>
    </w:p>
    <w:p w14:paraId="6DA7161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bookmarkEnd w:id="16"/>
      <w:bookmarkEnd w:id="17"/>
      <w:bookmarkEnd w:id="18"/>
      <w:bookmarkEnd w:id="19"/>
      <w:bookmarkEnd w:id="20"/>
      <w:bookmarkEnd w:id="21"/>
      <w:bookmarkEnd w:id="22"/>
      <w:r>
        <w:rPr>
          <w:rFonts w:hint="default" w:ascii="Times New Roman" w:hAnsi="Times New Roman" w:eastAsia="仿宋_GB2312" w:cs="Times New Roman"/>
          <w:color w:val="auto"/>
          <w:sz w:val="32"/>
          <w:szCs w:val="32"/>
          <w:highlight w:val="none"/>
        </w:rPr>
        <w:t>安全物理环境</w:t>
      </w:r>
    </w:p>
    <w:p w14:paraId="3E074AF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安全物理环境等级测评将通过访谈和检查的方式评测该信息系统的物理环境安全保障情况，主要涉及对象为机房。</w:t>
      </w:r>
    </w:p>
    <w:p w14:paraId="536FA9A4">
      <w:pPr>
        <w:pStyle w:val="2"/>
        <w:rPr>
          <w:rFonts w:hint="default" w:ascii="Times New Roman" w:hAnsi="Times New Roman" w:eastAsia="仿宋_GB2312" w:cs="Times New Roman"/>
          <w:color w:val="auto"/>
          <w:sz w:val="32"/>
          <w:szCs w:val="32"/>
          <w:highlight w:val="none"/>
        </w:rPr>
      </w:pPr>
    </w:p>
    <w:p w14:paraId="6DE6C2F6">
      <w:pPr>
        <w:rPr>
          <w:rFonts w:hint="default"/>
          <w:color w:val="auto"/>
          <w:highlight w:val="none"/>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87"/>
        <w:gridCol w:w="1899"/>
        <w:gridCol w:w="6429"/>
      </w:tblGrid>
      <w:tr w14:paraId="07F6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81" w:type="pct"/>
            <w:shd w:val="clear" w:color="auto" w:fill="D9D9D9"/>
            <w:vAlign w:val="center"/>
          </w:tcPr>
          <w:p w14:paraId="38D2F0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23" w:name="_Hlk21944530"/>
            <w:bookmarkStart w:id="24" w:name="_Toc428192216"/>
            <w:bookmarkStart w:id="25" w:name="_Toc198517987"/>
            <w:bookmarkStart w:id="26" w:name="_Toc183323076"/>
            <w:bookmarkStart w:id="27" w:name="_Toc424645862"/>
            <w:bookmarkStart w:id="28" w:name="_Toc215380398"/>
            <w:bookmarkStart w:id="29" w:name="_Toc182638546"/>
            <w:bookmarkStart w:id="30" w:name="_Toc346017457"/>
            <w:r>
              <w:rPr>
                <w:rFonts w:hint="default" w:ascii="Times New Roman" w:hAnsi="Times New Roman" w:eastAsia="仿宋_GB2312" w:cs="Times New Roman"/>
                <w:color w:val="auto"/>
                <w:sz w:val="28"/>
                <w:szCs w:val="28"/>
                <w:highlight w:val="none"/>
              </w:rPr>
              <w:t>序号</w:t>
            </w:r>
          </w:p>
        </w:tc>
        <w:tc>
          <w:tcPr>
            <w:tcW w:w="1053" w:type="pct"/>
            <w:shd w:val="clear" w:color="auto" w:fill="D9D9D9"/>
            <w:vAlign w:val="center"/>
          </w:tcPr>
          <w:p w14:paraId="0F65BAE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3565" w:type="pct"/>
            <w:shd w:val="clear" w:color="auto" w:fill="D9D9D9"/>
            <w:vAlign w:val="center"/>
          </w:tcPr>
          <w:p w14:paraId="4CC04A7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F4D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1F33D1B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053" w:type="pct"/>
            <w:vAlign w:val="center"/>
          </w:tcPr>
          <w:p w14:paraId="2201AB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物理位置选择</w:t>
            </w:r>
          </w:p>
        </w:tc>
        <w:tc>
          <w:tcPr>
            <w:tcW w:w="3565" w:type="pct"/>
            <w:vAlign w:val="center"/>
          </w:tcPr>
          <w:p w14:paraId="352032E5">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通过访谈物理安全负责人，检查机房，测评机房物理场所在位置上是否具有防震、防风和防雨等多方面的安全防范能力。</w:t>
            </w:r>
          </w:p>
        </w:tc>
      </w:tr>
      <w:tr w14:paraId="2256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425421A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053" w:type="pct"/>
            <w:vAlign w:val="center"/>
          </w:tcPr>
          <w:p w14:paraId="309B75E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物理访问控制</w:t>
            </w:r>
          </w:p>
        </w:tc>
        <w:tc>
          <w:tcPr>
            <w:tcW w:w="3565" w:type="pct"/>
            <w:vAlign w:val="center"/>
          </w:tcPr>
          <w:p w14:paraId="570628C1">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通过访谈物理安全负责人，检查机房出入口等过程，测评信息系统在物理访问控制方面的安全防范能力。</w:t>
            </w:r>
          </w:p>
        </w:tc>
      </w:tr>
      <w:tr w14:paraId="4E75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03" w:hRule="atLeast"/>
          <w:jc w:val="center"/>
        </w:trPr>
        <w:tc>
          <w:tcPr>
            <w:tcW w:w="381" w:type="pct"/>
            <w:vAlign w:val="center"/>
          </w:tcPr>
          <w:p w14:paraId="6726D6B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053" w:type="pct"/>
            <w:vAlign w:val="center"/>
          </w:tcPr>
          <w:p w14:paraId="5807F48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防盗窃和防破坏</w:t>
            </w:r>
          </w:p>
        </w:tc>
        <w:tc>
          <w:tcPr>
            <w:tcW w:w="3565" w:type="pct"/>
            <w:vAlign w:val="center"/>
          </w:tcPr>
          <w:p w14:paraId="443C0AC0">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通过访谈物理安全负责人，检查机房内的主要设备、介质和防盗报警设施等过程，测评信息系统是否采取必要的措施预防设备、介质等丢失和被破坏。</w:t>
            </w:r>
          </w:p>
        </w:tc>
      </w:tr>
      <w:tr w14:paraId="6C9D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0165466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053" w:type="pct"/>
            <w:vAlign w:val="center"/>
          </w:tcPr>
          <w:p w14:paraId="254B50C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防雷击</w:t>
            </w:r>
          </w:p>
        </w:tc>
        <w:tc>
          <w:tcPr>
            <w:tcW w:w="3565" w:type="pct"/>
            <w:vAlign w:val="center"/>
          </w:tcPr>
          <w:p w14:paraId="556707A9">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通过访谈物理安全负责人，检查机房设计/验收文档，测评信息系统是否采取相应的措施预防雷击。</w:t>
            </w:r>
          </w:p>
        </w:tc>
      </w:tr>
      <w:tr w14:paraId="2B32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7ABB8B7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053" w:type="pct"/>
            <w:vAlign w:val="center"/>
          </w:tcPr>
          <w:p w14:paraId="07E252F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防火</w:t>
            </w:r>
          </w:p>
        </w:tc>
        <w:tc>
          <w:tcPr>
            <w:tcW w:w="3565" w:type="pct"/>
            <w:vAlign w:val="center"/>
          </w:tcPr>
          <w:p w14:paraId="10947AA9">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通过访谈物理安全负责人，检查机房防火方面的安全管理制度，检查机房防火设备等过程，测评信息系统是否采取必要的措施防止火灾的发生。</w:t>
            </w:r>
          </w:p>
        </w:tc>
      </w:tr>
      <w:tr w14:paraId="51F9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475CBF9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053" w:type="pct"/>
            <w:vAlign w:val="center"/>
          </w:tcPr>
          <w:p w14:paraId="4C2F632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防水和防潮</w:t>
            </w:r>
          </w:p>
        </w:tc>
        <w:tc>
          <w:tcPr>
            <w:tcW w:w="3565" w:type="pct"/>
            <w:vAlign w:val="center"/>
          </w:tcPr>
          <w:p w14:paraId="50FB4101">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通过访谈物理安全负责人，检查机房及其除潮设备等过程，测评信息系统是否采取必要措施来防止水灾和机房潮湿。</w:t>
            </w:r>
          </w:p>
        </w:tc>
      </w:tr>
      <w:tr w14:paraId="7D5E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73EA993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053" w:type="pct"/>
            <w:vAlign w:val="center"/>
          </w:tcPr>
          <w:p w14:paraId="0A043F3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防静电</w:t>
            </w:r>
          </w:p>
        </w:tc>
        <w:tc>
          <w:tcPr>
            <w:tcW w:w="3565" w:type="pct"/>
            <w:vAlign w:val="center"/>
          </w:tcPr>
          <w:p w14:paraId="5FF9632A">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通过访谈物理安全负责人，检查机房等过程，测评信息系统是否采取必要措施防止静电的产生。</w:t>
            </w:r>
          </w:p>
        </w:tc>
      </w:tr>
      <w:tr w14:paraId="1E7C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1F40530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053" w:type="pct"/>
            <w:vAlign w:val="center"/>
          </w:tcPr>
          <w:p w14:paraId="01BF17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温湿度控制</w:t>
            </w:r>
          </w:p>
        </w:tc>
        <w:tc>
          <w:tcPr>
            <w:tcW w:w="3565" w:type="pct"/>
            <w:vAlign w:val="center"/>
          </w:tcPr>
          <w:p w14:paraId="1AF0AF2B">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通过访谈物理安全负责人，检查机房的温湿度自动调节系统，测评信息系统是否采取必要措施对机房内的温湿度进行控制。</w:t>
            </w:r>
          </w:p>
        </w:tc>
      </w:tr>
      <w:tr w14:paraId="0C70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0" w:hRule="atLeast"/>
          <w:jc w:val="center"/>
        </w:trPr>
        <w:tc>
          <w:tcPr>
            <w:tcW w:w="381" w:type="pct"/>
            <w:vAlign w:val="center"/>
          </w:tcPr>
          <w:p w14:paraId="355E555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053" w:type="pct"/>
            <w:vAlign w:val="center"/>
          </w:tcPr>
          <w:p w14:paraId="7EFCB1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电力供应</w:t>
            </w:r>
          </w:p>
        </w:tc>
        <w:tc>
          <w:tcPr>
            <w:tcW w:w="3565" w:type="pct"/>
            <w:vAlign w:val="center"/>
          </w:tcPr>
          <w:p w14:paraId="3F431B08">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通过访谈物理安全负责人，检查机房供电线路、设备等过程，测评是否具备为信息系统提供一定电力供应的能力。</w:t>
            </w:r>
          </w:p>
        </w:tc>
      </w:tr>
      <w:tr w14:paraId="1EF4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5DED9F9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053" w:type="pct"/>
            <w:vAlign w:val="center"/>
          </w:tcPr>
          <w:p w14:paraId="00112B8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电磁防护</w:t>
            </w:r>
          </w:p>
        </w:tc>
        <w:tc>
          <w:tcPr>
            <w:tcW w:w="3565" w:type="pct"/>
            <w:vAlign w:val="center"/>
          </w:tcPr>
          <w:p w14:paraId="2DBF4CDB">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通过访谈物理安全负责人，检查主要设备等过程，测评信息系统是否具备一定的电磁防护能力。</w:t>
            </w:r>
          </w:p>
        </w:tc>
      </w:tr>
      <w:bookmarkEnd w:id="23"/>
    </w:tbl>
    <w:p w14:paraId="1C91F14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bookmarkEnd w:id="24"/>
      <w:bookmarkEnd w:id="25"/>
      <w:bookmarkEnd w:id="26"/>
      <w:bookmarkEnd w:id="27"/>
      <w:bookmarkEnd w:id="28"/>
      <w:bookmarkEnd w:id="29"/>
      <w:bookmarkEnd w:id="30"/>
      <w:r>
        <w:rPr>
          <w:rFonts w:hint="default" w:ascii="Times New Roman" w:hAnsi="Times New Roman" w:eastAsia="仿宋_GB2312" w:cs="Times New Roman"/>
          <w:color w:val="auto"/>
          <w:sz w:val="32"/>
          <w:szCs w:val="32"/>
          <w:highlight w:val="none"/>
        </w:rPr>
        <w:t>安全通信网络</w:t>
      </w:r>
    </w:p>
    <w:p w14:paraId="25E2B0A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安全通信网络测评将通过访谈、检查和测试的方式评测该信息系统的通信网络安全保障情况。主要涉及对象为网络拓扑结构。</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3"/>
        <w:gridCol w:w="1624"/>
        <w:gridCol w:w="6671"/>
      </w:tblGrid>
      <w:tr w14:paraId="35AE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3" w:type="dxa"/>
            <w:shd w:val="clear" w:color="auto" w:fill="D9D9D9"/>
            <w:vAlign w:val="center"/>
          </w:tcPr>
          <w:p w14:paraId="04A09BF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31" w:name="_Toc183323077"/>
            <w:bookmarkStart w:id="32" w:name="_Toc346017458"/>
            <w:bookmarkStart w:id="33" w:name="_Toc182390511"/>
            <w:bookmarkStart w:id="34" w:name="_Toc215380399"/>
            <w:bookmarkStart w:id="35" w:name="_Toc428192217"/>
            <w:bookmarkStart w:id="36" w:name="_Toc182638547"/>
            <w:bookmarkStart w:id="37" w:name="_Toc198517988"/>
            <w:bookmarkStart w:id="38" w:name="_Toc424645863"/>
            <w:r>
              <w:rPr>
                <w:rFonts w:hint="default" w:ascii="Times New Roman" w:hAnsi="Times New Roman" w:eastAsia="仿宋_GB2312" w:cs="Times New Roman"/>
                <w:color w:val="auto"/>
                <w:sz w:val="28"/>
                <w:szCs w:val="28"/>
                <w:highlight w:val="none"/>
              </w:rPr>
              <w:t>序号</w:t>
            </w:r>
          </w:p>
        </w:tc>
        <w:tc>
          <w:tcPr>
            <w:tcW w:w="1624" w:type="dxa"/>
            <w:shd w:val="clear" w:color="auto" w:fill="D9D9D9"/>
            <w:vAlign w:val="center"/>
          </w:tcPr>
          <w:p w14:paraId="208B1DC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1" w:type="dxa"/>
            <w:shd w:val="clear" w:color="auto" w:fill="D9D9D9"/>
            <w:vAlign w:val="center"/>
          </w:tcPr>
          <w:p w14:paraId="1402421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EA3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00BDEDA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24" w:type="dxa"/>
            <w:vAlign w:val="center"/>
          </w:tcPr>
          <w:p w14:paraId="1153085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网络架构</w:t>
            </w:r>
          </w:p>
        </w:tc>
        <w:tc>
          <w:tcPr>
            <w:tcW w:w="6671" w:type="dxa"/>
            <w:vAlign w:val="center"/>
          </w:tcPr>
          <w:p w14:paraId="3973E84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测评分析网络架构与网段划分、隔离等情况的合理性和有效性。</w:t>
            </w:r>
          </w:p>
        </w:tc>
      </w:tr>
      <w:tr w14:paraId="6D54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4C9EEF7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24" w:type="dxa"/>
            <w:vAlign w:val="center"/>
          </w:tcPr>
          <w:p w14:paraId="0855D1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通信传输</w:t>
            </w:r>
          </w:p>
        </w:tc>
        <w:tc>
          <w:tcPr>
            <w:tcW w:w="6671" w:type="dxa"/>
            <w:vAlign w:val="center"/>
          </w:tcPr>
          <w:p w14:paraId="5F4175E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测评通信过程中的完整性、保密性等。</w:t>
            </w:r>
          </w:p>
        </w:tc>
      </w:tr>
      <w:tr w14:paraId="7D34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6E7F0B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24" w:type="dxa"/>
            <w:vAlign w:val="center"/>
          </w:tcPr>
          <w:p w14:paraId="1AEF747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671" w:type="dxa"/>
            <w:vAlign w:val="center"/>
          </w:tcPr>
          <w:p w14:paraId="6F53CED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bl>
    <w:p w14:paraId="5680664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bookmarkEnd w:id="31"/>
      <w:bookmarkEnd w:id="32"/>
      <w:bookmarkEnd w:id="33"/>
      <w:bookmarkEnd w:id="34"/>
      <w:bookmarkEnd w:id="35"/>
      <w:bookmarkEnd w:id="36"/>
      <w:bookmarkEnd w:id="37"/>
      <w:bookmarkEnd w:id="38"/>
      <w:r>
        <w:rPr>
          <w:rFonts w:hint="default" w:ascii="Times New Roman" w:hAnsi="Times New Roman" w:eastAsia="仿宋_GB2312" w:cs="Times New Roman"/>
          <w:color w:val="auto"/>
          <w:sz w:val="32"/>
          <w:szCs w:val="32"/>
          <w:highlight w:val="none"/>
        </w:rPr>
        <w:t>安全区域边界</w:t>
      </w:r>
    </w:p>
    <w:p w14:paraId="16E09F6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安全区域边界安全测评将通过访谈、检查和测试的方式评测该信息系统的区域边界安全保障情况。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5"/>
        <w:gridCol w:w="1775"/>
        <w:gridCol w:w="6519"/>
      </w:tblGrid>
      <w:tr w14:paraId="70F2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85" w:type="dxa"/>
            <w:shd w:val="clear" w:color="auto" w:fill="D9D9D9"/>
            <w:vAlign w:val="center"/>
          </w:tcPr>
          <w:p w14:paraId="425075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39" w:name="_Toc424645864"/>
            <w:bookmarkStart w:id="40" w:name="_Toc428192218"/>
            <w:bookmarkStart w:id="41" w:name="_Toc198517989"/>
            <w:bookmarkStart w:id="42" w:name="_Toc215380400"/>
            <w:bookmarkStart w:id="43" w:name="_Toc183323078"/>
            <w:bookmarkStart w:id="44" w:name="_Toc346017459"/>
            <w:bookmarkStart w:id="45" w:name="_Toc182638548"/>
            <w:bookmarkStart w:id="46" w:name="_Toc182390512"/>
            <w:r>
              <w:rPr>
                <w:rFonts w:hint="default" w:ascii="Times New Roman" w:hAnsi="Times New Roman" w:eastAsia="仿宋_GB2312" w:cs="Times New Roman"/>
                <w:color w:val="auto"/>
                <w:sz w:val="28"/>
                <w:szCs w:val="28"/>
                <w:highlight w:val="none"/>
              </w:rPr>
              <w:t>序号</w:t>
            </w:r>
          </w:p>
        </w:tc>
        <w:tc>
          <w:tcPr>
            <w:tcW w:w="1775" w:type="dxa"/>
            <w:shd w:val="clear" w:color="auto" w:fill="D9D9D9"/>
            <w:vAlign w:val="center"/>
          </w:tcPr>
          <w:p w14:paraId="23B3FC3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4ADF3B4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6CBF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255931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75" w:type="dxa"/>
            <w:vAlign w:val="center"/>
          </w:tcPr>
          <w:p w14:paraId="69C473F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边界防护</w:t>
            </w:r>
          </w:p>
        </w:tc>
        <w:tc>
          <w:tcPr>
            <w:tcW w:w="6519" w:type="dxa"/>
            <w:vAlign w:val="center"/>
          </w:tcPr>
          <w:p w14:paraId="30A2B32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测评分析信息系统网络边界安全防护的状况。</w:t>
            </w:r>
          </w:p>
        </w:tc>
      </w:tr>
      <w:tr w14:paraId="3F8D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796430B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75" w:type="dxa"/>
            <w:vAlign w:val="center"/>
          </w:tcPr>
          <w:p w14:paraId="13ACCE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6780496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测评分析信息系统对网络区域边界相关的网络隔离与访问控制能力。</w:t>
            </w:r>
          </w:p>
        </w:tc>
      </w:tr>
      <w:tr w14:paraId="7E4B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2525922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75" w:type="dxa"/>
            <w:vAlign w:val="center"/>
          </w:tcPr>
          <w:p w14:paraId="2D6434E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vAlign w:val="center"/>
          </w:tcPr>
          <w:p w14:paraId="784EB39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测评分析信息系统对攻击行为的识别和处理情况。</w:t>
            </w:r>
          </w:p>
        </w:tc>
      </w:tr>
      <w:tr w14:paraId="522E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3F339A3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75" w:type="dxa"/>
            <w:vAlign w:val="center"/>
          </w:tcPr>
          <w:p w14:paraId="39AF83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恶意代码和垃圾邮件防范</w:t>
            </w:r>
          </w:p>
        </w:tc>
        <w:tc>
          <w:tcPr>
            <w:tcW w:w="6519" w:type="dxa"/>
            <w:vAlign w:val="center"/>
          </w:tcPr>
          <w:p w14:paraId="1D61F63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测评分析信息系统网络边界和核心网段对病毒等恶意代码及垃圾邮件的防护情况。</w:t>
            </w:r>
          </w:p>
        </w:tc>
      </w:tr>
      <w:tr w14:paraId="232A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655F52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75" w:type="dxa"/>
            <w:vAlign w:val="center"/>
          </w:tcPr>
          <w:p w14:paraId="14DF99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610BF7B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测评分析信息系统审计配置和审计记录保护情况。</w:t>
            </w:r>
          </w:p>
        </w:tc>
      </w:tr>
      <w:tr w14:paraId="4738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31ED072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75" w:type="dxa"/>
            <w:vAlign w:val="center"/>
          </w:tcPr>
          <w:p w14:paraId="6D3722F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vAlign w:val="center"/>
          </w:tcPr>
          <w:p w14:paraId="7745AE2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基于可信根对通信设备的系统引导程序、系统程序、重要配置参数和通信应用程序等进行可信验证，并在应用程序的关键执行环节进行动态可信验证。</w:t>
            </w:r>
          </w:p>
        </w:tc>
      </w:tr>
    </w:tbl>
    <w:p w14:paraId="4A90813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bookmarkEnd w:id="39"/>
      <w:bookmarkEnd w:id="40"/>
      <w:bookmarkEnd w:id="41"/>
      <w:bookmarkEnd w:id="42"/>
      <w:bookmarkEnd w:id="43"/>
      <w:bookmarkEnd w:id="44"/>
      <w:bookmarkEnd w:id="45"/>
      <w:r>
        <w:rPr>
          <w:rFonts w:hint="default" w:ascii="Times New Roman" w:hAnsi="Times New Roman" w:eastAsia="仿宋_GB2312" w:cs="Times New Roman"/>
          <w:color w:val="auto"/>
          <w:sz w:val="32"/>
          <w:szCs w:val="32"/>
          <w:highlight w:val="none"/>
        </w:rPr>
        <w:t>安全计算环境</w:t>
      </w:r>
    </w:p>
    <w:p w14:paraId="24BB061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安全计算环境测评将通过访谈、检查和测试的方式评测该信息系统的各类计算环境，包括网络互联设备、安全设备、服务器、数据库、终端、应用软件等的安全保障情况。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9"/>
        <w:gridCol w:w="1731"/>
        <w:gridCol w:w="6519"/>
      </w:tblGrid>
      <w:tr w14:paraId="0E41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9" w:type="dxa"/>
            <w:shd w:val="clear" w:color="auto" w:fill="D9D9D9"/>
            <w:vAlign w:val="center"/>
          </w:tcPr>
          <w:p w14:paraId="35E5364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47" w:name="_Toc215380401"/>
            <w:bookmarkStart w:id="48" w:name="_Toc182638549"/>
            <w:bookmarkStart w:id="49" w:name="_Toc198517990"/>
            <w:bookmarkStart w:id="50" w:name="_Toc428192219"/>
            <w:bookmarkStart w:id="51" w:name="_Toc183323079"/>
            <w:bookmarkStart w:id="52" w:name="_Toc424645865"/>
            <w:bookmarkStart w:id="53" w:name="_Toc346017460"/>
            <w:r>
              <w:rPr>
                <w:rFonts w:hint="default" w:ascii="Times New Roman" w:hAnsi="Times New Roman" w:eastAsia="仿宋_GB2312" w:cs="Times New Roman"/>
                <w:color w:val="auto"/>
                <w:sz w:val="28"/>
                <w:szCs w:val="28"/>
                <w:highlight w:val="none"/>
              </w:rPr>
              <w:t>序号</w:t>
            </w:r>
          </w:p>
        </w:tc>
        <w:tc>
          <w:tcPr>
            <w:tcW w:w="1731" w:type="dxa"/>
            <w:shd w:val="clear" w:color="auto" w:fill="D9D9D9"/>
            <w:vAlign w:val="center"/>
          </w:tcPr>
          <w:p w14:paraId="3561570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7253A73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297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0EDCFB5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31" w:type="dxa"/>
            <w:vAlign w:val="center"/>
          </w:tcPr>
          <w:p w14:paraId="4EA3C3C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身份鉴别</w:t>
            </w:r>
          </w:p>
        </w:tc>
        <w:tc>
          <w:tcPr>
            <w:tcW w:w="6519" w:type="dxa"/>
            <w:vAlign w:val="center"/>
          </w:tcPr>
          <w:p w14:paraId="7B9B5EF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检查服务器的身份标识与鉴别和用户登录的配置情况。</w:t>
            </w:r>
          </w:p>
        </w:tc>
      </w:tr>
      <w:tr w14:paraId="4AD3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505537C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31" w:type="dxa"/>
            <w:vAlign w:val="center"/>
          </w:tcPr>
          <w:p w14:paraId="70498E2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50E060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检查服务器的访问控制设置情况，包括安全策略覆盖、控制粒度以及权限设置情况等。</w:t>
            </w:r>
          </w:p>
        </w:tc>
      </w:tr>
      <w:tr w14:paraId="541C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20F49B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31" w:type="dxa"/>
            <w:vAlign w:val="center"/>
          </w:tcPr>
          <w:p w14:paraId="6302B37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79ABEFD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检查服务器的安全审计的配置情况，如覆盖范围、记录的项目和内容等；检查安全审计进程和记录的保护情况。</w:t>
            </w:r>
          </w:p>
        </w:tc>
      </w:tr>
      <w:tr w14:paraId="7C8C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290B4C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31" w:type="dxa"/>
            <w:tcBorders>
              <w:top w:val="single" w:color="auto" w:sz="4" w:space="0"/>
              <w:left w:val="single" w:color="auto" w:sz="4" w:space="0"/>
              <w:bottom w:val="single" w:color="auto" w:sz="4" w:space="0"/>
              <w:right w:val="single" w:color="auto" w:sz="4" w:space="0"/>
            </w:tcBorders>
            <w:vAlign w:val="center"/>
          </w:tcPr>
          <w:p w14:paraId="3474462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tcBorders>
              <w:top w:val="single" w:color="auto" w:sz="4" w:space="0"/>
              <w:left w:val="single" w:color="auto" w:sz="4" w:space="0"/>
              <w:bottom w:val="single" w:color="auto" w:sz="4" w:space="0"/>
              <w:right w:val="single" w:color="auto" w:sz="4" w:space="0"/>
            </w:tcBorders>
            <w:vAlign w:val="center"/>
          </w:tcPr>
          <w:p w14:paraId="6BB43CC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检查服务器在运行过程中的入侵防范措施，如关闭不需要的端口和服务、最小化安装、部署入侵防范产品等。</w:t>
            </w:r>
          </w:p>
        </w:tc>
      </w:tr>
      <w:tr w14:paraId="2C3E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6FFFE9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31" w:type="dxa"/>
            <w:tcBorders>
              <w:top w:val="single" w:color="auto" w:sz="4" w:space="0"/>
              <w:left w:val="single" w:color="auto" w:sz="4" w:space="0"/>
              <w:bottom w:val="single" w:color="auto" w:sz="4" w:space="0"/>
              <w:right w:val="single" w:color="auto" w:sz="4" w:space="0"/>
            </w:tcBorders>
            <w:vAlign w:val="center"/>
          </w:tcPr>
          <w:p w14:paraId="15D7795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w:t>
            </w:r>
          </w:p>
        </w:tc>
        <w:tc>
          <w:tcPr>
            <w:tcW w:w="6519" w:type="dxa"/>
            <w:tcBorders>
              <w:top w:val="single" w:color="auto" w:sz="4" w:space="0"/>
              <w:left w:val="single" w:color="auto" w:sz="4" w:space="0"/>
              <w:bottom w:val="single" w:color="auto" w:sz="4" w:space="0"/>
              <w:right w:val="single" w:color="auto" w:sz="4" w:space="0"/>
            </w:tcBorders>
            <w:vAlign w:val="center"/>
          </w:tcPr>
          <w:p w14:paraId="0655FFA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检查服务器的恶意代码防范情况，如服务器是否安装统一管理的恶意代码防范软件，是否及时升级病毒库等。</w:t>
            </w:r>
          </w:p>
        </w:tc>
      </w:tr>
      <w:tr w14:paraId="6692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32402B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31" w:type="dxa"/>
            <w:tcBorders>
              <w:top w:val="single" w:color="auto" w:sz="4" w:space="0"/>
              <w:left w:val="single" w:color="auto" w:sz="4" w:space="0"/>
              <w:bottom w:val="single" w:color="auto" w:sz="4" w:space="0"/>
              <w:right w:val="single" w:color="auto" w:sz="4" w:space="0"/>
            </w:tcBorders>
            <w:vAlign w:val="center"/>
          </w:tcPr>
          <w:p w14:paraId="47882B3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tcBorders>
              <w:top w:val="single" w:color="auto" w:sz="4" w:space="0"/>
              <w:left w:val="single" w:color="auto" w:sz="4" w:space="0"/>
              <w:bottom w:val="single" w:color="auto" w:sz="4" w:space="0"/>
              <w:right w:val="single" w:color="auto" w:sz="4" w:space="0"/>
            </w:tcBorders>
            <w:vAlign w:val="center"/>
          </w:tcPr>
          <w:p w14:paraId="4DEF0B5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r w14:paraId="68F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2A2BB66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731" w:type="dxa"/>
            <w:tcBorders>
              <w:top w:val="single" w:color="auto" w:sz="4" w:space="0"/>
              <w:left w:val="single" w:color="auto" w:sz="4" w:space="0"/>
              <w:bottom w:val="single" w:color="auto" w:sz="4" w:space="0"/>
              <w:right w:val="single" w:color="auto" w:sz="4" w:space="0"/>
            </w:tcBorders>
            <w:vAlign w:val="center"/>
          </w:tcPr>
          <w:p w14:paraId="6A02426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数据完整性</w:t>
            </w:r>
          </w:p>
        </w:tc>
        <w:tc>
          <w:tcPr>
            <w:tcW w:w="6519" w:type="dxa"/>
            <w:tcBorders>
              <w:top w:val="single" w:color="auto" w:sz="4" w:space="0"/>
              <w:left w:val="single" w:color="auto" w:sz="4" w:space="0"/>
              <w:bottom w:val="single" w:color="auto" w:sz="4" w:space="0"/>
              <w:right w:val="single" w:color="auto" w:sz="4" w:space="0"/>
            </w:tcBorders>
            <w:vAlign w:val="center"/>
          </w:tcPr>
          <w:p w14:paraId="73BB065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测评操作系统、数据库管理系统的管理数据、鉴别信息和用户数据在传输和保存过程中的完整性保护情况。</w:t>
            </w:r>
          </w:p>
        </w:tc>
      </w:tr>
      <w:tr w14:paraId="39D5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336312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731" w:type="dxa"/>
            <w:tcBorders>
              <w:top w:val="single" w:color="auto" w:sz="4" w:space="0"/>
              <w:left w:val="single" w:color="auto" w:sz="4" w:space="0"/>
              <w:bottom w:val="single" w:color="auto" w:sz="4" w:space="0"/>
              <w:right w:val="single" w:color="auto" w:sz="4" w:space="0"/>
            </w:tcBorders>
            <w:vAlign w:val="center"/>
          </w:tcPr>
          <w:p w14:paraId="3107ABA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数据保密性</w:t>
            </w:r>
          </w:p>
        </w:tc>
        <w:tc>
          <w:tcPr>
            <w:tcW w:w="6519" w:type="dxa"/>
            <w:tcBorders>
              <w:top w:val="single" w:color="auto" w:sz="4" w:space="0"/>
              <w:left w:val="single" w:color="auto" w:sz="4" w:space="0"/>
              <w:bottom w:val="single" w:color="auto" w:sz="4" w:space="0"/>
              <w:right w:val="single" w:color="auto" w:sz="4" w:space="0"/>
            </w:tcBorders>
            <w:vAlign w:val="center"/>
          </w:tcPr>
          <w:p w14:paraId="0E504E3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测评操作系统和数据库管理系统的管理数据、鉴别信息和用户数据在传输和保存过程中的保密性保护情况。</w:t>
            </w:r>
          </w:p>
        </w:tc>
      </w:tr>
      <w:tr w14:paraId="2539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5D477AA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731" w:type="dxa"/>
            <w:tcBorders>
              <w:top w:val="single" w:color="auto" w:sz="4" w:space="0"/>
              <w:left w:val="single" w:color="auto" w:sz="4" w:space="0"/>
              <w:bottom w:val="single" w:color="auto" w:sz="4" w:space="0"/>
              <w:right w:val="single" w:color="auto" w:sz="4" w:space="0"/>
            </w:tcBorders>
            <w:vAlign w:val="center"/>
          </w:tcPr>
          <w:p w14:paraId="1A38896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数据备份恢复</w:t>
            </w:r>
          </w:p>
        </w:tc>
        <w:tc>
          <w:tcPr>
            <w:tcW w:w="6519" w:type="dxa"/>
            <w:tcBorders>
              <w:top w:val="single" w:color="auto" w:sz="4" w:space="0"/>
              <w:left w:val="single" w:color="auto" w:sz="4" w:space="0"/>
              <w:bottom w:val="single" w:color="auto" w:sz="4" w:space="0"/>
              <w:right w:val="single" w:color="auto" w:sz="4" w:space="0"/>
            </w:tcBorders>
            <w:vAlign w:val="center"/>
          </w:tcPr>
          <w:p w14:paraId="05FBBAC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测评信息系统的安全备份情况，如重要信息的备份、硬件和线路的冗余等。</w:t>
            </w:r>
          </w:p>
        </w:tc>
      </w:tr>
      <w:tr w14:paraId="680A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2E17AE7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731" w:type="dxa"/>
            <w:tcBorders>
              <w:top w:val="single" w:color="auto" w:sz="4" w:space="0"/>
              <w:left w:val="single" w:color="auto" w:sz="4" w:space="0"/>
              <w:bottom w:val="single" w:color="auto" w:sz="4" w:space="0"/>
              <w:right w:val="single" w:color="auto" w:sz="4" w:space="0"/>
            </w:tcBorders>
            <w:vAlign w:val="center"/>
          </w:tcPr>
          <w:p w14:paraId="5D8E110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剩余信息保护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2E2F4F8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测评鉴别信息所在的存储空间被释放或重新分配前是否得到完全清除。</w:t>
            </w:r>
          </w:p>
        </w:tc>
      </w:tr>
      <w:tr w14:paraId="388C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503E09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731" w:type="dxa"/>
            <w:tcBorders>
              <w:top w:val="single" w:color="auto" w:sz="4" w:space="0"/>
              <w:left w:val="single" w:color="auto" w:sz="4" w:space="0"/>
              <w:bottom w:val="single" w:color="auto" w:sz="4" w:space="0"/>
              <w:right w:val="single" w:color="auto" w:sz="4" w:space="0"/>
            </w:tcBorders>
            <w:vAlign w:val="center"/>
          </w:tcPr>
          <w:p w14:paraId="30CD3A7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个人信息保护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4C49714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测评是否仅采集和保存业务必需的用户个人信息；是否禁止未授权访问和使用用户个人信息。</w:t>
            </w:r>
          </w:p>
        </w:tc>
      </w:tr>
    </w:tbl>
    <w:p w14:paraId="7ED94CD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w:t>
      </w:r>
      <w:bookmarkEnd w:id="46"/>
      <w:bookmarkEnd w:id="47"/>
      <w:bookmarkEnd w:id="48"/>
      <w:bookmarkEnd w:id="49"/>
      <w:bookmarkEnd w:id="50"/>
      <w:bookmarkEnd w:id="51"/>
      <w:bookmarkEnd w:id="52"/>
      <w:bookmarkEnd w:id="53"/>
      <w:r>
        <w:rPr>
          <w:rFonts w:hint="default" w:ascii="Times New Roman" w:hAnsi="Times New Roman" w:eastAsia="仿宋_GB2312" w:cs="Times New Roman"/>
          <w:color w:val="auto"/>
          <w:sz w:val="32"/>
          <w:szCs w:val="32"/>
          <w:highlight w:val="none"/>
        </w:rPr>
        <w:t>安全管理中心</w:t>
      </w:r>
    </w:p>
    <w:p w14:paraId="7165EDDB">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安全管理中心测评将通过访谈和检查的方式评测该信息系统的安全管理保障情况。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40"/>
        <w:gridCol w:w="6585"/>
      </w:tblGrid>
      <w:tr w14:paraId="08CA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6E62E04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54" w:name="_Toc424645866"/>
            <w:bookmarkStart w:id="55" w:name="_Toc346017461"/>
            <w:bookmarkStart w:id="56" w:name="_Toc198517991"/>
            <w:bookmarkStart w:id="57" w:name="_Toc428192220"/>
            <w:bookmarkStart w:id="58" w:name="_Toc183323080"/>
            <w:bookmarkStart w:id="59" w:name="_Toc215380402"/>
            <w:bookmarkStart w:id="60" w:name="_Toc182638550"/>
            <w:bookmarkStart w:id="61" w:name="_Toc182390514"/>
            <w:r>
              <w:rPr>
                <w:rFonts w:hint="default" w:ascii="Times New Roman" w:hAnsi="Times New Roman" w:eastAsia="仿宋_GB2312" w:cs="Times New Roman"/>
                <w:color w:val="auto"/>
                <w:sz w:val="28"/>
                <w:szCs w:val="28"/>
                <w:highlight w:val="none"/>
              </w:rPr>
              <w:t>序号</w:t>
            </w:r>
          </w:p>
        </w:tc>
        <w:tc>
          <w:tcPr>
            <w:tcW w:w="1740" w:type="dxa"/>
            <w:shd w:val="clear" w:color="auto" w:fill="D9D9D9"/>
            <w:vAlign w:val="center"/>
          </w:tcPr>
          <w:p w14:paraId="62429EB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85" w:type="dxa"/>
            <w:shd w:val="clear" w:color="auto" w:fill="D9D9D9"/>
            <w:vAlign w:val="center"/>
          </w:tcPr>
          <w:p w14:paraId="30CECE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41E8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F075F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40" w:type="dxa"/>
            <w:vAlign w:val="center"/>
          </w:tcPr>
          <w:p w14:paraId="38E1103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系统管理</w:t>
            </w:r>
          </w:p>
        </w:tc>
        <w:tc>
          <w:tcPr>
            <w:tcW w:w="6585" w:type="dxa"/>
            <w:vAlign w:val="center"/>
          </w:tcPr>
          <w:p w14:paraId="2D3769F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测评信息系统的系统管理员对系统的管理情况。</w:t>
            </w:r>
          </w:p>
        </w:tc>
      </w:tr>
      <w:tr w14:paraId="0C00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E76B27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40" w:type="dxa"/>
            <w:vAlign w:val="center"/>
          </w:tcPr>
          <w:p w14:paraId="2AA87E0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审计管理</w:t>
            </w:r>
          </w:p>
        </w:tc>
        <w:tc>
          <w:tcPr>
            <w:tcW w:w="6585" w:type="dxa"/>
            <w:vAlign w:val="center"/>
          </w:tcPr>
          <w:p w14:paraId="1CF8B33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测评信息系统的安全审计员对系统的审计情况。</w:t>
            </w:r>
          </w:p>
        </w:tc>
      </w:tr>
      <w:tr w14:paraId="3727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1290484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40" w:type="dxa"/>
            <w:vAlign w:val="center"/>
          </w:tcPr>
          <w:p w14:paraId="443130D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安全管理</w:t>
            </w:r>
          </w:p>
        </w:tc>
        <w:tc>
          <w:tcPr>
            <w:tcW w:w="6585" w:type="dxa"/>
            <w:vAlign w:val="center"/>
          </w:tcPr>
          <w:p w14:paraId="2E2AB32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测评信息系统的安全管理员对系统的安全策略的配置情况。</w:t>
            </w:r>
          </w:p>
        </w:tc>
      </w:tr>
      <w:tr w14:paraId="450B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B559BA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40" w:type="dxa"/>
            <w:vAlign w:val="center"/>
          </w:tcPr>
          <w:p w14:paraId="1E4125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集中管控</w:t>
            </w:r>
          </w:p>
        </w:tc>
        <w:tc>
          <w:tcPr>
            <w:tcW w:w="6585" w:type="dxa"/>
            <w:vAlign w:val="center"/>
          </w:tcPr>
          <w:p w14:paraId="444FD0D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测评网络链路、安全设备、网络设备和服务器等设备的运行状况的集中监测、分析、报警等。</w:t>
            </w:r>
          </w:p>
        </w:tc>
      </w:tr>
    </w:tbl>
    <w:p w14:paraId="6AA9AE9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（六）安全管理制度</w:t>
      </w:r>
      <w:bookmarkEnd w:id="54"/>
      <w:bookmarkEnd w:id="55"/>
      <w:bookmarkEnd w:id="56"/>
      <w:bookmarkEnd w:id="57"/>
      <w:bookmarkEnd w:id="58"/>
      <w:bookmarkEnd w:id="59"/>
      <w:bookmarkEnd w:id="60"/>
      <w:bookmarkEnd w:id="61"/>
    </w:p>
    <w:p w14:paraId="0A9B307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安全管理制度测评将通过访谈和检查的形式评测安全管理制度的制定、发布、评审和修订等情况。主要涉及安全主管人员、安全管理人员、各类其它人员、各类管理制度、各类操作规程文件等对象。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1"/>
        <w:gridCol w:w="1710"/>
        <w:gridCol w:w="6423"/>
      </w:tblGrid>
      <w:tr w14:paraId="3FCD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trPr>
        <w:tc>
          <w:tcPr>
            <w:tcW w:w="881" w:type="dxa"/>
            <w:shd w:val="clear" w:color="auto" w:fill="D9D9D9"/>
            <w:vAlign w:val="center"/>
          </w:tcPr>
          <w:p w14:paraId="7EA02B9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62" w:name="_Toc346017462"/>
            <w:bookmarkStart w:id="63" w:name="_Toc428192221"/>
            <w:bookmarkStart w:id="64" w:name="_Toc182390513"/>
            <w:bookmarkStart w:id="65" w:name="_Toc198517992"/>
            <w:bookmarkStart w:id="66" w:name="_Toc215380403"/>
            <w:bookmarkStart w:id="67" w:name="_Toc424645867"/>
            <w:bookmarkStart w:id="68" w:name="_Toc182638551"/>
            <w:bookmarkStart w:id="69" w:name="_Toc183323081"/>
            <w:bookmarkStart w:id="70" w:name="_Toc182390515"/>
            <w:r>
              <w:rPr>
                <w:rFonts w:hint="default" w:ascii="Times New Roman" w:hAnsi="Times New Roman" w:eastAsia="仿宋_GB2312" w:cs="Times New Roman"/>
                <w:color w:val="auto"/>
                <w:sz w:val="28"/>
                <w:szCs w:val="28"/>
                <w:highlight w:val="none"/>
              </w:rPr>
              <w:t>序号</w:t>
            </w:r>
          </w:p>
        </w:tc>
        <w:tc>
          <w:tcPr>
            <w:tcW w:w="1710" w:type="dxa"/>
            <w:shd w:val="clear" w:color="auto" w:fill="D9D9D9"/>
            <w:vAlign w:val="center"/>
          </w:tcPr>
          <w:p w14:paraId="61B5F7B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423" w:type="dxa"/>
            <w:shd w:val="clear" w:color="auto" w:fill="D9D9D9"/>
            <w:vAlign w:val="center"/>
          </w:tcPr>
          <w:p w14:paraId="1CECB44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ED5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4950E8A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10" w:type="dxa"/>
            <w:vAlign w:val="center"/>
          </w:tcPr>
          <w:p w14:paraId="3FFA41C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安全策略</w:t>
            </w:r>
          </w:p>
        </w:tc>
        <w:tc>
          <w:tcPr>
            <w:tcW w:w="6423" w:type="dxa"/>
            <w:vAlign w:val="center"/>
          </w:tcPr>
          <w:p w14:paraId="7EB9895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测评信息安全工作的总体方针、安全策略，总体目标、范围、原则和安全框架等。</w:t>
            </w:r>
          </w:p>
        </w:tc>
      </w:tr>
      <w:tr w14:paraId="5C9E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58512A9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10" w:type="dxa"/>
            <w:vAlign w:val="center"/>
          </w:tcPr>
          <w:p w14:paraId="3CDCF1E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管理制度</w:t>
            </w:r>
          </w:p>
        </w:tc>
        <w:tc>
          <w:tcPr>
            <w:tcW w:w="6423" w:type="dxa"/>
            <w:vAlign w:val="center"/>
          </w:tcPr>
          <w:p w14:paraId="0339D49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测评信息系统管理制度在内容覆盖上是否全面、完善。</w:t>
            </w:r>
          </w:p>
        </w:tc>
      </w:tr>
      <w:tr w14:paraId="7909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3BD9EFE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10" w:type="dxa"/>
            <w:vAlign w:val="center"/>
          </w:tcPr>
          <w:p w14:paraId="32D50CD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制定和发布</w:t>
            </w:r>
          </w:p>
        </w:tc>
        <w:tc>
          <w:tcPr>
            <w:tcW w:w="6423" w:type="dxa"/>
            <w:vAlign w:val="center"/>
          </w:tcPr>
          <w:p w14:paraId="325B70F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测评信息系统管理制度的制定和发布过程是否遵循一定的流程。</w:t>
            </w:r>
          </w:p>
        </w:tc>
      </w:tr>
      <w:tr w14:paraId="19C7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086A79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10" w:type="dxa"/>
            <w:vAlign w:val="center"/>
          </w:tcPr>
          <w:p w14:paraId="77D37E7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评审和修订</w:t>
            </w:r>
          </w:p>
        </w:tc>
        <w:tc>
          <w:tcPr>
            <w:tcW w:w="6423" w:type="dxa"/>
            <w:vAlign w:val="center"/>
          </w:tcPr>
          <w:p w14:paraId="07A681A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测评信息系统管理制度定期评审和修订情况。</w:t>
            </w:r>
          </w:p>
        </w:tc>
      </w:tr>
    </w:tbl>
    <w:p w14:paraId="208B9AF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（七）安全管理机构</w:t>
      </w:r>
      <w:bookmarkEnd w:id="62"/>
      <w:bookmarkEnd w:id="63"/>
      <w:bookmarkEnd w:id="64"/>
      <w:bookmarkEnd w:id="65"/>
      <w:bookmarkEnd w:id="66"/>
      <w:bookmarkEnd w:id="67"/>
      <w:bookmarkEnd w:id="68"/>
      <w:bookmarkEnd w:id="69"/>
    </w:p>
    <w:p w14:paraId="26C585F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安全管理机构测评将通过访谈和检查的形式评测安全管理机构的组成情况和机构工作组织情况。主要涉及安全主管人员、安全管理人员、相关的文件资料和工作记录等对象。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03"/>
        <w:gridCol w:w="6546"/>
      </w:tblGrid>
      <w:tr w14:paraId="670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02B06AF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71" w:name="_Toc346017463"/>
            <w:bookmarkStart w:id="72" w:name="_Toc215380404"/>
            <w:bookmarkStart w:id="73" w:name="_Toc424645868"/>
            <w:bookmarkStart w:id="74" w:name="_Toc182638552"/>
            <w:bookmarkStart w:id="75" w:name="_Toc198517993"/>
            <w:bookmarkStart w:id="76" w:name="_Toc183323082"/>
            <w:bookmarkStart w:id="77" w:name="_Toc428192222"/>
            <w:r>
              <w:rPr>
                <w:rFonts w:hint="default" w:ascii="Times New Roman" w:hAnsi="Times New Roman" w:eastAsia="仿宋_GB2312" w:cs="Times New Roman"/>
                <w:color w:val="auto"/>
                <w:sz w:val="28"/>
                <w:szCs w:val="28"/>
                <w:highlight w:val="none"/>
              </w:rPr>
              <w:t>序号</w:t>
            </w:r>
          </w:p>
        </w:tc>
        <w:tc>
          <w:tcPr>
            <w:tcW w:w="1703" w:type="dxa"/>
            <w:shd w:val="clear" w:color="auto" w:fill="D9D9D9"/>
            <w:vAlign w:val="center"/>
          </w:tcPr>
          <w:p w14:paraId="45031A6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46" w:type="dxa"/>
            <w:shd w:val="clear" w:color="auto" w:fill="D9D9D9"/>
            <w:vAlign w:val="center"/>
          </w:tcPr>
          <w:p w14:paraId="2317E6F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4CD9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0F5F1B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03" w:type="dxa"/>
            <w:vAlign w:val="center"/>
          </w:tcPr>
          <w:p w14:paraId="0647E1E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岗位设置</w:t>
            </w:r>
          </w:p>
        </w:tc>
        <w:tc>
          <w:tcPr>
            <w:tcW w:w="6546" w:type="dxa"/>
            <w:vAlign w:val="center"/>
          </w:tcPr>
          <w:p w14:paraId="0EB18F7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测评信息系统安全主管部门设置情况以及各岗位设置和岗位职责情况。</w:t>
            </w:r>
          </w:p>
        </w:tc>
      </w:tr>
      <w:tr w14:paraId="13BC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4ACB86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03" w:type="dxa"/>
            <w:vAlign w:val="center"/>
          </w:tcPr>
          <w:p w14:paraId="012AB41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人员配备</w:t>
            </w:r>
          </w:p>
        </w:tc>
        <w:tc>
          <w:tcPr>
            <w:tcW w:w="6546" w:type="dxa"/>
            <w:vAlign w:val="center"/>
          </w:tcPr>
          <w:p w14:paraId="5E4B8F1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测评信息系统各个岗位人员配备情况。</w:t>
            </w:r>
          </w:p>
        </w:tc>
      </w:tr>
      <w:tr w14:paraId="2ADB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4A1205E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03" w:type="dxa"/>
            <w:vAlign w:val="center"/>
          </w:tcPr>
          <w:p w14:paraId="307A0F2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授权和审批</w:t>
            </w:r>
          </w:p>
        </w:tc>
        <w:tc>
          <w:tcPr>
            <w:tcW w:w="6546" w:type="dxa"/>
            <w:vAlign w:val="center"/>
          </w:tcPr>
          <w:p w14:paraId="55A4B5B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测评信息系统对关键活动的授权和审批情况。</w:t>
            </w:r>
          </w:p>
        </w:tc>
      </w:tr>
      <w:tr w14:paraId="7636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36A6D05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03" w:type="dxa"/>
            <w:vAlign w:val="center"/>
          </w:tcPr>
          <w:p w14:paraId="38927C2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沟通与合作</w:t>
            </w:r>
          </w:p>
        </w:tc>
        <w:tc>
          <w:tcPr>
            <w:tcW w:w="6546" w:type="dxa"/>
            <w:vAlign w:val="center"/>
          </w:tcPr>
          <w:p w14:paraId="66B2D8D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测评信息系统内部部门间、与外部单位间的沟通与合作情况。</w:t>
            </w:r>
          </w:p>
        </w:tc>
      </w:tr>
      <w:tr w14:paraId="3AC2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1E7BAFB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03" w:type="dxa"/>
            <w:vAlign w:val="center"/>
          </w:tcPr>
          <w:p w14:paraId="0A102F1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审核和检查</w:t>
            </w:r>
          </w:p>
        </w:tc>
        <w:tc>
          <w:tcPr>
            <w:tcW w:w="6546" w:type="dxa"/>
            <w:vAlign w:val="center"/>
          </w:tcPr>
          <w:p w14:paraId="29EB164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检查信息系统安全工作的审核和测评情况。</w:t>
            </w:r>
          </w:p>
        </w:tc>
      </w:tr>
    </w:tbl>
    <w:p w14:paraId="6397BD8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（八）安全管理</w:t>
      </w:r>
      <w:bookmarkEnd w:id="70"/>
      <w:bookmarkEnd w:id="71"/>
      <w:bookmarkEnd w:id="72"/>
      <w:bookmarkEnd w:id="73"/>
      <w:bookmarkEnd w:id="74"/>
      <w:bookmarkEnd w:id="75"/>
      <w:bookmarkEnd w:id="76"/>
      <w:bookmarkEnd w:id="77"/>
      <w:r>
        <w:rPr>
          <w:rFonts w:hint="default" w:ascii="Times New Roman" w:hAnsi="Times New Roman" w:eastAsia="仿宋_GB2312" w:cs="Times New Roman"/>
          <w:color w:val="auto"/>
          <w:sz w:val="32"/>
          <w:szCs w:val="32"/>
          <w:highlight w:val="none"/>
        </w:rPr>
        <w:t>人员</w:t>
      </w:r>
    </w:p>
    <w:p w14:paraId="4F4E524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安全管理人员测评将通过访谈和检查的形式评测机构人员安全控制方面的情况。主要涉及安全主管人员、人事管理人员、相关管理制度、相关工作记录等对象。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55"/>
        <w:gridCol w:w="1695"/>
        <w:gridCol w:w="6524"/>
      </w:tblGrid>
      <w:tr w14:paraId="3D0B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55" w:type="dxa"/>
            <w:shd w:val="clear" w:color="auto" w:fill="D9D9D9"/>
            <w:vAlign w:val="center"/>
          </w:tcPr>
          <w:p w14:paraId="0AB792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78" w:name="_Toc182390516"/>
            <w:bookmarkStart w:id="79" w:name="_Toc428192223"/>
            <w:bookmarkStart w:id="80" w:name="_Toc346017464"/>
            <w:bookmarkStart w:id="81" w:name="_Toc198517994"/>
            <w:bookmarkStart w:id="82" w:name="_Toc424645869"/>
            <w:bookmarkStart w:id="83" w:name="_Toc183323083"/>
            <w:bookmarkStart w:id="84" w:name="_Toc215380405"/>
            <w:bookmarkStart w:id="85" w:name="_Toc182638553"/>
            <w:r>
              <w:rPr>
                <w:rFonts w:hint="default" w:ascii="Times New Roman" w:hAnsi="Times New Roman" w:eastAsia="仿宋_GB2312" w:cs="Times New Roman"/>
                <w:color w:val="auto"/>
                <w:sz w:val="28"/>
                <w:szCs w:val="28"/>
                <w:highlight w:val="none"/>
              </w:rPr>
              <w:t>序号</w:t>
            </w:r>
          </w:p>
        </w:tc>
        <w:tc>
          <w:tcPr>
            <w:tcW w:w="1695" w:type="dxa"/>
            <w:shd w:val="clear" w:color="auto" w:fill="D9D9D9"/>
            <w:vAlign w:val="center"/>
          </w:tcPr>
          <w:p w14:paraId="3F7B82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24" w:type="dxa"/>
            <w:shd w:val="clear" w:color="auto" w:fill="D9D9D9"/>
            <w:vAlign w:val="center"/>
          </w:tcPr>
          <w:p w14:paraId="00439D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C12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70B069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95" w:type="dxa"/>
            <w:vAlign w:val="center"/>
          </w:tcPr>
          <w:p w14:paraId="3ACF63E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人员录用</w:t>
            </w:r>
          </w:p>
        </w:tc>
        <w:tc>
          <w:tcPr>
            <w:tcW w:w="6524" w:type="dxa"/>
            <w:vAlign w:val="center"/>
          </w:tcPr>
          <w:p w14:paraId="4138689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测评信息系统录用人员时是否对人员提出要求以及是否对其进行各种审查和考核。</w:t>
            </w:r>
          </w:p>
        </w:tc>
      </w:tr>
      <w:tr w14:paraId="090B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4F18D22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95" w:type="dxa"/>
            <w:vAlign w:val="center"/>
          </w:tcPr>
          <w:p w14:paraId="064344C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人员离岗</w:t>
            </w:r>
          </w:p>
        </w:tc>
        <w:tc>
          <w:tcPr>
            <w:tcW w:w="6524" w:type="dxa"/>
            <w:vAlign w:val="center"/>
          </w:tcPr>
          <w:p w14:paraId="5DB1CCD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测评信息系统人员离岗时是否按照一定的手续办理。</w:t>
            </w:r>
          </w:p>
        </w:tc>
      </w:tr>
      <w:tr w14:paraId="11DE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A77EC8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95" w:type="dxa"/>
            <w:vAlign w:val="center"/>
          </w:tcPr>
          <w:p w14:paraId="05B9BD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安全意识教育和培训</w:t>
            </w:r>
          </w:p>
        </w:tc>
        <w:tc>
          <w:tcPr>
            <w:tcW w:w="6524" w:type="dxa"/>
            <w:vAlign w:val="center"/>
          </w:tcPr>
          <w:p w14:paraId="41AC810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测评是否对人员进行安全方面的教育和培训。</w:t>
            </w:r>
          </w:p>
        </w:tc>
      </w:tr>
      <w:tr w14:paraId="4245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0A85B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695" w:type="dxa"/>
            <w:vAlign w:val="center"/>
          </w:tcPr>
          <w:p w14:paraId="25DA8F6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外部人员访问管理</w:t>
            </w:r>
          </w:p>
        </w:tc>
        <w:tc>
          <w:tcPr>
            <w:tcW w:w="6524" w:type="dxa"/>
            <w:vAlign w:val="center"/>
          </w:tcPr>
          <w:p w14:paraId="4CBB234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测评对第三方人员访问（物理、逻辑）系统是否采取必要控制措施。</w:t>
            </w:r>
          </w:p>
        </w:tc>
      </w:tr>
    </w:tbl>
    <w:p w14:paraId="71E774B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（九）安全建设管理</w:t>
      </w:r>
      <w:bookmarkEnd w:id="78"/>
      <w:bookmarkEnd w:id="79"/>
      <w:bookmarkEnd w:id="80"/>
      <w:bookmarkEnd w:id="81"/>
      <w:bookmarkEnd w:id="82"/>
      <w:bookmarkEnd w:id="83"/>
      <w:bookmarkEnd w:id="84"/>
      <w:bookmarkEnd w:id="85"/>
    </w:p>
    <w:p w14:paraId="5775208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安全建设管理测评将通过访谈和检查的形式评测系统建设管理过程中的安全控制情况。主要涉及安全主管人员、系统建设负责人、各类管理制度、操作规程文件、执行过程记录等对象。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690"/>
        <w:gridCol w:w="1876"/>
        <w:gridCol w:w="6569"/>
      </w:tblGrid>
      <w:tr w14:paraId="6DF3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690" w:type="dxa"/>
            <w:shd w:val="clear" w:color="auto" w:fill="D9D9D9"/>
            <w:vAlign w:val="center"/>
          </w:tcPr>
          <w:p w14:paraId="436D3CF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86" w:name="_Toc424645870"/>
            <w:bookmarkStart w:id="87" w:name="_Toc182390517"/>
            <w:bookmarkStart w:id="88" w:name="_Toc182638554"/>
            <w:bookmarkStart w:id="89" w:name="_Toc215380406"/>
            <w:bookmarkStart w:id="90" w:name="_Toc183323084"/>
            <w:bookmarkStart w:id="91" w:name="_Toc198517995"/>
            <w:bookmarkStart w:id="92" w:name="_Toc428192224"/>
            <w:bookmarkStart w:id="93" w:name="_Toc346017465"/>
            <w:r>
              <w:rPr>
                <w:rFonts w:hint="default" w:ascii="Times New Roman" w:hAnsi="Times New Roman" w:eastAsia="仿宋_GB2312" w:cs="Times New Roman"/>
                <w:color w:val="auto"/>
                <w:sz w:val="28"/>
                <w:szCs w:val="28"/>
                <w:highlight w:val="none"/>
              </w:rPr>
              <w:t>序号</w:t>
            </w:r>
          </w:p>
        </w:tc>
        <w:tc>
          <w:tcPr>
            <w:tcW w:w="1876" w:type="dxa"/>
            <w:shd w:val="clear" w:color="auto" w:fill="D9D9D9"/>
            <w:vAlign w:val="center"/>
          </w:tcPr>
          <w:p w14:paraId="50C9E2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69" w:type="dxa"/>
            <w:shd w:val="clear" w:color="auto" w:fill="D9D9D9"/>
            <w:vAlign w:val="center"/>
          </w:tcPr>
          <w:p w14:paraId="6C0A9B4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C0F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20A9DAD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76" w:type="dxa"/>
            <w:vAlign w:val="center"/>
          </w:tcPr>
          <w:p w14:paraId="2F3C380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定级和备案</w:t>
            </w:r>
          </w:p>
        </w:tc>
        <w:tc>
          <w:tcPr>
            <w:tcW w:w="6569" w:type="dxa"/>
            <w:vAlign w:val="center"/>
          </w:tcPr>
          <w:p w14:paraId="343D3B0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测评是否按照一定要求确定系统的安全等级并完成备案工作。</w:t>
            </w:r>
          </w:p>
        </w:tc>
      </w:tr>
      <w:tr w14:paraId="6AE1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65EA4A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76" w:type="dxa"/>
            <w:vAlign w:val="center"/>
          </w:tcPr>
          <w:p w14:paraId="682EB5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安全方案设计</w:t>
            </w:r>
          </w:p>
        </w:tc>
        <w:tc>
          <w:tcPr>
            <w:tcW w:w="6569" w:type="dxa"/>
            <w:vAlign w:val="center"/>
          </w:tcPr>
          <w:p w14:paraId="62FEFA9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测评系统整体的安全规划设计是否按照一定流程进行。</w:t>
            </w:r>
          </w:p>
        </w:tc>
      </w:tr>
      <w:tr w14:paraId="24AF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9F6E93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76" w:type="dxa"/>
            <w:vAlign w:val="center"/>
          </w:tcPr>
          <w:p w14:paraId="705EB2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产品采购和使用</w:t>
            </w:r>
          </w:p>
        </w:tc>
        <w:tc>
          <w:tcPr>
            <w:tcW w:w="6569" w:type="dxa"/>
            <w:vAlign w:val="center"/>
          </w:tcPr>
          <w:p w14:paraId="7BF5EDC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测评是否按照一定的要求进行系统的产品采购。</w:t>
            </w:r>
          </w:p>
        </w:tc>
      </w:tr>
      <w:tr w14:paraId="49F0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E65549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76" w:type="dxa"/>
            <w:vAlign w:val="center"/>
          </w:tcPr>
          <w:p w14:paraId="106B12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自行软件开发</w:t>
            </w:r>
          </w:p>
        </w:tc>
        <w:tc>
          <w:tcPr>
            <w:tcW w:w="6569" w:type="dxa"/>
            <w:vAlign w:val="center"/>
          </w:tcPr>
          <w:p w14:paraId="76A242F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测评自行开发的软件是否采取必要的措施保证开发过程的安全性。</w:t>
            </w:r>
          </w:p>
        </w:tc>
      </w:tr>
      <w:tr w14:paraId="7D14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36B73D8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76" w:type="dxa"/>
            <w:vAlign w:val="center"/>
          </w:tcPr>
          <w:p w14:paraId="2EC020B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外包软件开发</w:t>
            </w:r>
          </w:p>
        </w:tc>
        <w:tc>
          <w:tcPr>
            <w:tcW w:w="6569" w:type="dxa"/>
            <w:vAlign w:val="center"/>
          </w:tcPr>
          <w:p w14:paraId="1BB4AB1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测评外包开发的软件是否采取必要的措施保证开发过程的安全性和日后的维护工作能够正常开展。</w:t>
            </w:r>
          </w:p>
        </w:tc>
      </w:tr>
      <w:tr w14:paraId="1509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0697222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76" w:type="dxa"/>
            <w:vAlign w:val="center"/>
          </w:tcPr>
          <w:p w14:paraId="6F057F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工程实施</w:t>
            </w:r>
          </w:p>
        </w:tc>
        <w:tc>
          <w:tcPr>
            <w:tcW w:w="6569" w:type="dxa"/>
            <w:vAlign w:val="center"/>
          </w:tcPr>
          <w:p w14:paraId="41026C7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测评系统建设的实施过程是否采取必要的措施使其在机构可控的范围内进行。</w:t>
            </w:r>
          </w:p>
        </w:tc>
      </w:tr>
      <w:tr w14:paraId="47B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1A4E4B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76" w:type="dxa"/>
            <w:vAlign w:val="center"/>
          </w:tcPr>
          <w:p w14:paraId="48BEDB5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测试验收</w:t>
            </w:r>
          </w:p>
        </w:tc>
        <w:tc>
          <w:tcPr>
            <w:tcW w:w="6569" w:type="dxa"/>
            <w:vAlign w:val="center"/>
          </w:tcPr>
          <w:p w14:paraId="5CF1EA6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测评系统运行前是否对其进行测试验收工作。</w:t>
            </w:r>
          </w:p>
        </w:tc>
      </w:tr>
      <w:tr w14:paraId="3BF3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44FCD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76" w:type="dxa"/>
            <w:vAlign w:val="center"/>
          </w:tcPr>
          <w:p w14:paraId="14851C7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系统交付</w:t>
            </w:r>
          </w:p>
        </w:tc>
        <w:tc>
          <w:tcPr>
            <w:tcW w:w="6569" w:type="dxa"/>
            <w:vAlign w:val="center"/>
          </w:tcPr>
          <w:p w14:paraId="51A1818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测评是否采取必要的措施对系统交付过程进行有效控制。</w:t>
            </w:r>
          </w:p>
        </w:tc>
      </w:tr>
      <w:tr w14:paraId="4FF9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6638CA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76" w:type="dxa"/>
            <w:vAlign w:val="center"/>
          </w:tcPr>
          <w:p w14:paraId="641830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等级测评</w:t>
            </w:r>
          </w:p>
        </w:tc>
        <w:tc>
          <w:tcPr>
            <w:tcW w:w="6569" w:type="dxa"/>
            <w:vAlign w:val="center"/>
          </w:tcPr>
          <w:p w14:paraId="0F0F108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测评是否依据国家要求完成等级测评和整改工作。</w:t>
            </w:r>
          </w:p>
        </w:tc>
      </w:tr>
      <w:tr w14:paraId="42E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33637E5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76" w:type="dxa"/>
            <w:vAlign w:val="center"/>
          </w:tcPr>
          <w:p w14:paraId="0AF1D0F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服务供应商选择</w:t>
            </w:r>
          </w:p>
        </w:tc>
        <w:tc>
          <w:tcPr>
            <w:tcW w:w="6569" w:type="dxa"/>
            <w:vAlign w:val="center"/>
          </w:tcPr>
          <w:p w14:paraId="79EAE1B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测评是否选择符合国家有关规定的安全服务单位进行相关的安全服务工作。</w:t>
            </w:r>
          </w:p>
        </w:tc>
      </w:tr>
    </w:tbl>
    <w:p w14:paraId="6A0C810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（十）安全运维管理</w:t>
      </w:r>
      <w:bookmarkEnd w:id="86"/>
      <w:bookmarkEnd w:id="87"/>
      <w:bookmarkEnd w:id="88"/>
      <w:bookmarkEnd w:id="89"/>
      <w:bookmarkEnd w:id="90"/>
      <w:bookmarkEnd w:id="91"/>
      <w:bookmarkEnd w:id="92"/>
      <w:bookmarkEnd w:id="93"/>
    </w:p>
    <w:p w14:paraId="7CBF09B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安全运维管理测评将通过访谈和检查的形式评测系统运维管理过程中的安全控制情况。主要涉及安全主管人员、安全管理人员、各类运维人员、各类管理制度、操作规程文件、执行过程记录等对象。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8"/>
        <w:gridCol w:w="1807"/>
        <w:gridCol w:w="6675"/>
      </w:tblGrid>
      <w:tr w14:paraId="442A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2" w:hRule="atLeast"/>
          <w:tblHeader/>
          <w:jc w:val="center"/>
        </w:trPr>
        <w:tc>
          <w:tcPr>
            <w:tcW w:w="728" w:type="dxa"/>
            <w:shd w:val="clear" w:color="auto" w:fill="D9D9D9"/>
            <w:vAlign w:val="center"/>
          </w:tcPr>
          <w:p w14:paraId="47E57ED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807" w:type="dxa"/>
            <w:shd w:val="clear" w:color="auto" w:fill="D9D9D9"/>
            <w:vAlign w:val="center"/>
          </w:tcPr>
          <w:p w14:paraId="4A3FB63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5" w:type="dxa"/>
            <w:shd w:val="clear" w:color="auto" w:fill="D9D9D9"/>
            <w:vAlign w:val="center"/>
          </w:tcPr>
          <w:p w14:paraId="093EAAC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79C3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jc w:val="center"/>
        </w:trPr>
        <w:tc>
          <w:tcPr>
            <w:tcW w:w="728" w:type="dxa"/>
            <w:vAlign w:val="center"/>
          </w:tcPr>
          <w:p w14:paraId="3272881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07" w:type="dxa"/>
            <w:vAlign w:val="center"/>
          </w:tcPr>
          <w:p w14:paraId="6EDB653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环境管理</w:t>
            </w:r>
          </w:p>
        </w:tc>
        <w:tc>
          <w:tcPr>
            <w:tcW w:w="6675" w:type="dxa"/>
            <w:vAlign w:val="center"/>
          </w:tcPr>
          <w:p w14:paraId="71C6FC2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测评是否采取必要的措施对机房的出入控制以及办公环境的人员行为等方面进行安全管理。</w:t>
            </w:r>
          </w:p>
        </w:tc>
      </w:tr>
      <w:tr w14:paraId="29D0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6E429A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07" w:type="dxa"/>
            <w:vAlign w:val="center"/>
          </w:tcPr>
          <w:p w14:paraId="0C3EB28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资产管理</w:t>
            </w:r>
          </w:p>
        </w:tc>
        <w:tc>
          <w:tcPr>
            <w:tcW w:w="6675" w:type="dxa"/>
            <w:vAlign w:val="center"/>
          </w:tcPr>
          <w:p w14:paraId="5C5451B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测评是否采取必要的措施对系统的资产进行分类标识管理。</w:t>
            </w:r>
          </w:p>
        </w:tc>
      </w:tr>
      <w:tr w14:paraId="459D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473B000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07" w:type="dxa"/>
            <w:vAlign w:val="center"/>
          </w:tcPr>
          <w:p w14:paraId="3D7C937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介质管理</w:t>
            </w:r>
          </w:p>
        </w:tc>
        <w:tc>
          <w:tcPr>
            <w:tcW w:w="6675" w:type="dxa"/>
            <w:vAlign w:val="center"/>
          </w:tcPr>
          <w:p w14:paraId="6F30FE6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测评是否采取必要的措施对介质存放环境、使用、维护和销毁等方面进行管理。</w:t>
            </w:r>
          </w:p>
        </w:tc>
      </w:tr>
      <w:tr w14:paraId="3CFC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5617B3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07" w:type="dxa"/>
            <w:vAlign w:val="center"/>
          </w:tcPr>
          <w:p w14:paraId="17C044F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设备维护管理</w:t>
            </w:r>
          </w:p>
        </w:tc>
        <w:tc>
          <w:tcPr>
            <w:tcW w:w="6675" w:type="dxa"/>
            <w:vAlign w:val="center"/>
          </w:tcPr>
          <w:p w14:paraId="4622B81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测评是否采取必要的措施确保设备在使用、维护和销毁等过程安全。</w:t>
            </w:r>
          </w:p>
        </w:tc>
      </w:tr>
      <w:tr w14:paraId="0ED2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4BC03E4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07" w:type="dxa"/>
            <w:vAlign w:val="center"/>
          </w:tcPr>
          <w:p w14:paraId="29232BA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漏洞和风险管理</w:t>
            </w:r>
          </w:p>
        </w:tc>
        <w:tc>
          <w:tcPr>
            <w:tcW w:w="6675" w:type="dxa"/>
            <w:vAlign w:val="center"/>
          </w:tcPr>
          <w:p w14:paraId="454F508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测评是否采取必要的措施识别安全漏洞和隐患，对发现的安全漏洞和隐患及时进行修补。测评是否定期开展安全测评。</w:t>
            </w:r>
          </w:p>
        </w:tc>
      </w:tr>
      <w:tr w14:paraId="6384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3FDAEE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07" w:type="dxa"/>
            <w:vAlign w:val="center"/>
          </w:tcPr>
          <w:p w14:paraId="262B5ED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网络和系统安全管理</w:t>
            </w:r>
          </w:p>
        </w:tc>
        <w:tc>
          <w:tcPr>
            <w:tcW w:w="6675" w:type="dxa"/>
            <w:vAlign w:val="center"/>
          </w:tcPr>
          <w:p w14:paraId="68E2E55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测评是否采取必要的措施对网络和系统的安全配置、系统账户、漏洞扫描和审计日志等方面进行有效的管理。</w:t>
            </w:r>
          </w:p>
        </w:tc>
      </w:tr>
      <w:tr w14:paraId="7CB9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72C74AE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07" w:type="dxa"/>
            <w:vAlign w:val="center"/>
          </w:tcPr>
          <w:p w14:paraId="6290588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恶意代码防范管理</w:t>
            </w:r>
          </w:p>
        </w:tc>
        <w:tc>
          <w:tcPr>
            <w:tcW w:w="6675" w:type="dxa"/>
            <w:vAlign w:val="center"/>
          </w:tcPr>
          <w:p w14:paraId="56A1154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测评是否采取必要的措施对恶意代码进行有效管理，确保系统具有恶意代码防范能力。</w:t>
            </w:r>
          </w:p>
        </w:tc>
      </w:tr>
      <w:tr w14:paraId="148A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0636D81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07" w:type="dxa"/>
            <w:vAlign w:val="center"/>
          </w:tcPr>
          <w:p w14:paraId="010C22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配置管理</w:t>
            </w:r>
          </w:p>
        </w:tc>
        <w:tc>
          <w:tcPr>
            <w:tcW w:w="6675" w:type="dxa"/>
            <w:vAlign w:val="center"/>
          </w:tcPr>
          <w:p w14:paraId="499FDA6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测评是否记录和保存系统的基本配置信息</w:t>
            </w:r>
          </w:p>
        </w:tc>
      </w:tr>
      <w:tr w14:paraId="4777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1CF57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07" w:type="dxa"/>
            <w:vAlign w:val="center"/>
          </w:tcPr>
          <w:p w14:paraId="2A5444E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密码管理</w:t>
            </w:r>
          </w:p>
        </w:tc>
        <w:tc>
          <w:tcPr>
            <w:tcW w:w="6675" w:type="dxa"/>
            <w:vAlign w:val="center"/>
          </w:tcPr>
          <w:p w14:paraId="7DE4A4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测评是否能够确保信息系统中密码算法和密钥的使用符合国家密码管理规定。</w:t>
            </w:r>
          </w:p>
        </w:tc>
      </w:tr>
      <w:tr w14:paraId="2B1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FC36E9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07" w:type="dxa"/>
            <w:vAlign w:val="center"/>
          </w:tcPr>
          <w:p w14:paraId="6776CC0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变更管理</w:t>
            </w:r>
          </w:p>
        </w:tc>
        <w:tc>
          <w:tcPr>
            <w:tcW w:w="6675" w:type="dxa"/>
            <w:vAlign w:val="center"/>
          </w:tcPr>
          <w:p w14:paraId="537E30B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测评是否采取必要的措施对系统发生的变更进行有效管理。</w:t>
            </w:r>
          </w:p>
        </w:tc>
      </w:tr>
      <w:tr w14:paraId="7A3D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2A0664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807" w:type="dxa"/>
            <w:vAlign w:val="center"/>
          </w:tcPr>
          <w:p w14:paraId="6E7F74D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备份与恢复管理</w:t>
            </w:r>
          </w:p>
        </w:tc>
        <w:tc>
          <w:tcPr>
            <w:tcW w:w="6675" w:type="dxa"/>
            <w:vAlign w:val="center"/>
          </w:tcPr>
          <w:p w14:paraId="2AB198B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测评是否采取必要的措施对重要业务信息，系统数据和系统软件进行备份，并确保必要时能够对这些数据有效地恢复。</w:t>
            </w:r>
          </w:p>
        </w:tc>
      </w:tr>
      <w:tr w14:paraId="1102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A15A32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c>
          <w:tcPr>
            <w:tcW w:w="1807" w:type="dxa"/>
            <w:vAlign w:val="center"/>
          </w:tcPr>
          <w:p w14:paraId="1B2079D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安全事件处置</w:t>
            </w:r>
          </w:p>
        </w:tc>
        <w:tc>
          <w:tcPr>
            <w:tcW w:w="6675" w:type="dxa"/>
            <w:vAlign w:val="center"/>
          </w:tcPr>
          <w:p w14:paraId="47EE035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测评是否采取必要的措施对安全事件进行等级划分和对安全事件的报告、处理过程进行有效的管理。</w:t>
            </w:r>
          </w:p>
        </w:tc>
      </w:tr>
      <w:tr w14:paraId="391B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1A206B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w:t>
            </w:r>
          </w:p>
        </w:tc>
        <w:tc>
          <w:tcPr>
            <w:tcW w:w="1807" w:type="dxa"/>
            <w:vAlign w:val="center"/>
          </w:tcPr>
          <w:p w14:paraId="68D1DF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应急预案管理</w:t>
            </w:r>
          </w:p>
        </w:tc>
        <w:tc>
          <w:tcPr>
            <w:tcW w:w="6675" w:type="dxa"/>
            <w:vAlign w:val="center"/>
          </w:tcPr>
          <w:p w14:paraId="56814AB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测评是否针对不同安全事件制定相应的应急预案，是否对应急预案展开培训、演练和审查等。</w:t>
            </w:r>
          </w:p>
        </w:tc>
      </w:tr>
      <w:tr w14:paraId="43DA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6FAC7EA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w:t>
            </w:r>
          </w:p>
        </w:tc>
        <w:tc>
          <w:tcPr>
            <w:tcW w:w="1807" w:type="dxa"/>
            <w:vAlign w:val="center"/>
          </w:tcPr>
          <w:p w14:paraId="4784E2B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外包运维管理</w:t>
            </w:r>
          </w:p>
        </w:tc>
        <w:tc>
          <w:tcPr>
            <w:tcW w:w="6675" w:type="dxa"/>
            <w:vAlign w:val="center"/>
          </w:tcPr>
          <w:p w14:paraId="4FF9F93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测评外包运维服务商的选择是否符合国家的有关规定并签订相关协议。</w:t>
            </w:r>
          </w:p>
        </w:tc>
      </w:tr>
    </w:tbl>
    <w:p w14:paraId="373B8DB4">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2.6项目管理</w:t>
      </w:r>
    </w:p>
    <w:p w14:paraId="02B8163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供应商必须提供完整的项目管理方案，供应商需要针对以下项目管理要求进行项目管理服务要求进行承诺，未提供项目管理服务承诺为无效供应商。</w:t>
      </w:r>
    </w:p>
    <w:p w14:paraId="6B3853E7">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（1）供应商及其测评人员应当严格执行有关国家信息安全等级保护相关标准和有关规定，提供客观、公平、公正、有效的等级保护测评服务，并承担相应的法律责任；</w:t>
      </w:r>
    </w:p>
    <w:p w14:paraId="6AF7B9A8">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（2）应具备能够保证其公正性、独立性的质量体系，确保测评活动不受任何可能影响测评结果的商业、财务、健康、环境等方面的压力；</w:t>
      </w:r>
    </w:p>
    <w:p w14:paraId="3C9A52CD">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供应商在对被测评单位开展等级保护测评服务之前需与被测评单位签订保密协议，测评过程中向被测评单位借阅的文档资料应在测评工作结束后全部归还被测评单位，未经被测评单位允许，不得擅自复制、保留；</w:t>
      </w:r>
    </w:p>
    <w:p w14:paraId="07674430">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（4）供应商的岗位配置要至少配置测评师、项目经理、渗透工程师、质量主管等并明确各个岗位的相关职责。</w:t>
      </w:r>
    </w:p>
    <w:p w14:paraId="1FAFA461">
      <w:pPr>
        <w:pageBreakBefore w:val="0"/>
        <w:kinsoku/>
        <w:wordWrap/>
        <w:overflowPunct/>
        <w:topLinePunct w:val="0"/>
        <w:bidi w:val="0"/>
        <w:spacing w:line="580" w:lineRule="exact"/>
        <w:ind w:left="420" w:left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（5）测评工具要求</w:t>
      </w:r>
    </w:p>
    <w:p w14:paraId="3041E6E5">
      <w:pPr>
        <w:pageBreakBefore w:val="0"/>
        <w:kinsoku/>
        <w:wordWrap/>
        <w:overflowPunct/>
        <w:topLinePunct w:val="0"/>
        <w:bidi w:val="0"/>
        <w:spacing w:line="580" w:lineRule="exact"/>
        <w:ind w:left="420" w:leftChars="200" w:firstLine="320"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①采用的测评工具必须获得正版授权，并在有效期内，不得使用盗版软件；</w:t>
      </w:r>
    </w:p>
    <w:p w14:paraId="6B43A7DF">
      <w:pPr>
        <w:pageBreakBefore w:val="0"/>
        <w:kinsoku/>
        <w:wordWrap/>
        <w:overflowPunct/>
        <w:topLinePunct w:val="0"/>
        <w:bidi w:val="0"/>
        <w:spacing w:line="580" w:lineRule="exact"/>
        <w:ind w:firstLine="960" w:firstLineChars="3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②采用的测评工具在功能、性能等满足使用要求前提下，应优先采用具有国内自主知识产权的同类产品；</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③采用的测评工具的生产商应为正规厂商，能够对产品进行持续更新并提供质量和安全保障</w:t>
      </w:r>
      <w:r>
        <w:rPr>
          <w:rFonts w:hint="eastAsia" w:eastAsia="仿宋_GB2312" w:cs="Times New Roman"/>
          <w:color w:val="auto"/>
          <w:sz w:val="32"/>
          <w:szCs w:val="32"/>
          <w:highlight w:val="none"/>
          <w:lang w:eastAsia="zh-CN"/>
        </w:rPr>
        <w:t>。</w:t>
      </w:r>
    </w:p>
    <w:p w14:paraId="1D8BF732">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2.7交付产物</w:t>
      </w:r>
    </w:p>
    <w:p w14:paraId="1D97034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包括但不仅限于以下资料：</w:t>
      </w:r>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086"/>
      </w:tblGrid>
      <w:tr w14:paraId="7232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7" w:type="pct"/>
            <w:vAlign w:val="center"/>
          </w:tcPr>
          <w:p w14:paraId="45653A3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4463" w:type="pct"/>
            <w:vAlign w:val="center"/>
          </w:tcPr>
          <w:p w14:paraId="577658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网络安全等级保护测评报告（包含整改建议）</w:t>
            </w:r>
          </w:p>
        </w:tc>
      </w:tr>
      <w:tr w14:paraId="0386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7" w:type="pct"/>
            <w:vAlign w:val="center"/>
          </w:tcPr>
          <w:p w14:paraId="19FF8E0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4463" w:type="pct"/>
            <w:vAlign w:val="center"/>
          </w:tcPr>
          <w:p w14:paraId="7BF866A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其他未列入的应交资料</w:t>
            </w:r>
          </w:p>
        </w:tc>
      </w:tr>
    </w:tbl>
    <w:p w14:paraId="1A70C52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p>
    <w:p w14:paraId="44AE6FB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730083D0">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2.1测评对象</w:t>
      </w:r>
    </w:p>
    <w:tbl>
      <w:tblPr>
        <w:tblStyle w:val="55"/>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47"/>
      </w:tblGrid>
      <w:tr w14:paraId="1103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75CDB59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系统名称</w:t>
            </w:r>
          </w:p>
        </w:tc>
        <w:tc>
          <w:tcPr>
            <w:tcW w:w="2502" w:type="pct"/>
            <w:tcBorders>
              <w:top w:val="single" w:color="auto" w:sz="4" w:space="0"/>
              <w:left w:val="single" w:color="auto" w:sz="4" w:space="0"/>
              <w:bottom w:val="single" w:color="auto" w:sz="4" w:space="0"/>
              <w:right w:val="single" w:color="auto" w:sz="4" w:space="0"/>
            </w:tcBorders>
            <w:vAlign w:val="center"/>
          </w:tcPr>
          <w:p w14:paraId="6FBBC1B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安全等级</w:t>
            </w:r>
          </w:p>
        </w:tc>
      </w:tr>
      <w:tr w14:paraId="5EF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44B94F9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12345政务服务热线及网络理政平台</w:t>
            </w:r>
          </w:p>
        </w:tc>
        <w:tc>
          <w:tcPr>
            <w:tcW w:w="2502" w:type="pct"/>
            <w:tcBorders>
              <w:top w:val="single" w:color="auto" w:sz="4" w:space="0"/>
              <w:left w:val="single" w:color="auto" w:sz="4" w:space="0"/>
              <w:bottom w:val="single" w:color="auto" w:sz="4" w:space="0"/>
              <w:right w:val="single" w:color="auto" w:sz="4" w:space="0"/>
            </w:tcBorders>
            <w:vAlign w:val="center"/>
          </w:tcPr>
          <w:p w14:paraId="142EB5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bl>
    <w:p w14:paraId="2900094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具体服务内容包括：</w:t>
      </w:r>
    </w:p>
    <w:p w14:paraId="0170733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1、协助四川省政府政务服务和公共资源交易服务中心需要进行测评的信息系统进行定级、备案材料的编写，协助采购方到公安监管等部门办理备案手续，确保信息系统安全保护等级定级准确、备案完整。</w:t>
      </w:r>
    </w:p>
    <w:p w14:paraId="52009B9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2、按照《信息安全技术网络安全等级保护基本要求》对系统从技术、安全管理等方面进行安全等级测评工作。</w:t>
      </w:r>
    </w:p>
    <w:p w14:paraId="7C5E83F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3、形成问题汇总及整改意见报告。根据测评结果，对等级测评结果进行汇总统计，并编制系统等级保护测评问题汇总及整改意见报告，列出被测系统中存在的主要问题和整改意见。</w:t>
      </w:r>
    </w:p>
    <w:p w14:paraId="50F98D4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4、协助完成整改工作。依据整改方案，为安全整改的各项工作提供技术咨询与支撑服务。</w:t>
      </w:r>
    </w:p>
    <w:p w14:paraId="10AE6C1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5、编制并提交等级保护测评报告，报告需提交公安机关有关部门备案，且能满足合规性要求。</w:t>
      </w:r>
    </w:p>
    <w:p w14:paraId="0E763D4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2.2测评要求</w:t>
      </w:r>
    </w:p>
    <w:p w14:paraId="691A5F4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根据项目需求，为保障信息安全现场测评过程安全可控，明确测评人员职责分配、规范测评人员操作，保障测评结果有效，至少包括以下几个流程：</w:t>
      </w:r>
    </w:p>
    <w:tbl>
      <w:tblPr>
        <w:tblStyle w:val="55"/>
        <w:tblW w:w="5078" w:type="pct"/>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648"/>
        <w:gridCol w:w="5776"/>
      </w:tblGrid>
      <w:tr w14:paraId="61A9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423" w:type="pct"/>
            <w:tcBorders>
              <w:top w:val="single" w:color="auto" w:sz="4" w:space="0"/>
              <w:left w:val="single" w:color="auto" w:sz="4" w:space="0"/>
              <w:bottom w:val="single" w:color="auto" w:sz="4" w:space="0"/>
              <w:right w:val="single" w:color="auto" w:sz="4" w:space="0"/>
            </w:tcBorders>
            <w:vAlign w:val="center"/>
          </w:tcPr>
          <w:p w14:paraId="33C527D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438" w:type="pct"/>
            <w:tcBorders>
              <w:top w:val="single" w:color="auto" w:sz="4" w:space="0"/>
              <w:left w:val="single" w:color="auto" w:sz="4" w:space="0"/>
              <w:bottom w:val="single" w:color="auto" w:sz="4" w:space="0"/>
              <w:right w:val="single" w:color="auto" w:sz="4" w:space="0"/>
            </w:tcBorders>
            <w:vAlign w:val="center"/>
          </w:tcPr>
          <w:p w14:paraId="2D972E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关键实施阶段</w:t>
            </w:r>
          </w:p>
        </w:tc>
        <w:tc>
          <w:tcPr>
            <w:tcW w:w="3137" w:type="pct"/>
            <w:tcBorders>
              <w:top w:val="single" w:color="auto" w:sz="4" w:space="0"/>
              <w:left w:val="single" w:color="auto" w:sz="4" w:space="0"/>
              <w:bottom w:val="single" w:color="auto" w:sz="4" w:space="0"/>
              <w:right w:val="single" w:color="auto" w:sz="4" w:space="0"/>
            </w:tcBorders>
            <w:vAlign w:val="center"/>
          </w:tcPr>
          <w:p w14:paraId="1BE600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171" w:name="_GoBack"/>
            <w:bookmarkEnd w:id="171"/>
            <w:r>
              <w:rPr>
                <w:rFonts w:hint="default" w:ascii="Times New Roman" w:hAnsi="Times New Roman" w:eastAsia="仿宋_GB2312" w:cs="Times New Roman"/>
                <w:color w:val="auto"/>
                <w:sz w:val="28"/>
                <w:szCs w:val="28"/>
                <w:highlight w:val="none"/>
              </w:rPr>
              <w:t>工作要求</w:t>
            </w:r>
          </w:p>
        </w:tc>
      </w:tr>
      <w:tr w14:paraId="363B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3CDA2A7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438" w:type="pct"/>
            <w:tcBorders>
              <w:top w:val="single" w:color="auto" w:sz="4" w:space="0"/>
              <w:left w:val="single" w:color="auto" w:sz="4" w:space="0"/>
              <w:bottom w:val="single" w:color="auto" w:sz="4" w:space="0"/>
              <w:right w:val="single" w:color="auto" w:sz="4" w:space="0"/>
            </w:tcBorders>
            <w:vAlign w:val="center"/>
          </w:tcPr>
          <w:p w14:paraId="189B6AA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确定测评范围</w:t>
            </w:r>
          </w:p>
        </w:tc>
        <w:tc>
          <w:tcPr>
            <w:tcW w:w="3137" w:type="pct"/>
            <w:tcBorders>
              <w:top w:val="single" w:color="auto" w:sz="4" w:space="0"/>
              <w:left w:val="single" w:color="auto" w:sz="4" w:space="0"/>
              <w:bottom w:val="single" w:color="auto" w:sz="4" w:space="0"/>
              <w:right w:val="single" w:color="auto" w:sz="4" w:space="0"/>
            </w:tcBorders>
            <w:vAlign w:val="center"/>
          </w:tcPr>
          <w:p w14:paraId="1D57393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明确本次被测评信息系统的范围，包括每个信息系统的范围、信息系统的边界等。</w:t>
            </w:r>
          </w:p>
        </w:tc>
      </w:tr>
      <w:tr w14:paraId="55DB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129AF53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438" w:type="pct"/>
            <w:tcBorders>
              <w:top w:val="single" w:color="auto" w:sz="4" w:space="0"/>
              <w:left w:val="single" w:color="auto" w:sz="4" w:space="0"/>
              <w:bottom w:val="single" w:color="auto" w:sz="4" w:space="0"/>
              <w:right w:val="single" w:color="auto" w:sz="4" w:space="0"/>
            </w:tcBorders>
            <w:vAlign w:val="center"/>
          </w:tcPr>
          <w:p w14:paraId="5DBD18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获得信息系统的信息</w:t>
            </w:r>
          </w:p>
        </w:tc>
        <w:tc>
          <w:tcPr>
            <w:tcW w:w="3137" w:type="pct"/>
            <w:tcBorders>
              <w:top w:val="single" w:color="auto" w:sz="4" w:space="0"/>
              <w:left w:val="single" w:color="auto" w:sz="4" w:space="0"/>
              <w:bottom w:val="single" w:color="auto" w:sz="4" w:space="0"/>
              <w:right w:val="single" w:color="auto" w:sz="4" w:space="0"/>
            </w:tcBorders>
            <w:vAlign w:val="center"/>
          </w:tcPr>
          <w:p w14:paraId="3A5E7C8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通过调查或查阅资料的方式，了解被测评信息系统的构成，包括网络拓扑、业务应用、业务流程、设备信息、安全措施状况等。</w:t>
            </w:r>
          </w:p>
        </w:tc>
      </w:tr>
      <w:tr w14:paraId="4547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6545B1D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438" w:type="pct"/>
            <w:tcBorders>
              <w:top w:val="single" w:color="auto" w:sz="4" w:space="0"/>
              <w:left w:val="single" w:color="auto" w:sz="4" w:space="0"/>
              <w:bottom w:val="single" w:color="auto" w:sz="4" w:space="0"/>
              <w:right w:val="single" w:color="auto" w:sz="4" w:space="0"/>
            </w:tcBorders>
            <w:vAlign w:val="center"/>
          </w:tcPr>
          <w:p w14:paraId="3DC42F7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确定具体的测评对象</w:t>
            </w:r>
          </w:p>
        </w:tc>
        <w:tc>
          <w:tcPr>
            <w:tcW w:w="3137" w:type="pct"/>
            <w:tcBorders>
              <w:top w:val="single" w:color="auto" w:sz="4" w:space="0"/>
              <w:left w:val="single" w:color="auto" w:sz="4" w:space="0"/>
              <w:bottom w:val="single" w:color="auto" w:sz="4" w:space="0"/>
              <w:right w:val="single" w:color="auto" w:sz="4" w:space="0"/>
            </w:tcBorders>
            <w:vAlign w:val="center"/>
          </w:tcPr>
          <w:p w14:paraId="2A5CCD9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初步确定每个信息系统的被测评对象，包括整体对象，如机房、办公环境、网络等，也包括具体对象，如边界设备、网关设备、服务器设备、工作站、应用系统等。</w:t>
            </w:r>
          </w:p>
        </w:tc>
      </w:tr>
      <w:tr w14:paraId="1B7B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63A785C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438" w:type="pct"/>
            <w:tcBorders>
              <w:top w:val="single" w:color="auto" w:sz="4" w:space="0"/>
              <w:left w:val="single" w:color="auto" w:sz="4" w:space="0"/>
              <w:bottom w:val="single" w:color="auto" w:sz="4" w:space="0"/>
              <w:right w:val="single" w:color="auto" w:sz="4" w:space="0"/>
            </w:tcBorders>
            <w:vAlign w:val="center"/>
          </w:tcPr>
          <w:p w14:paraId="2CC3D0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确定测评工作的方法</w:t>
            </w:r>
          </w:p>
        </w:tc>
        <w:tc>
          <w:tcPr>
            <w:tcW w:w="3137" w:type="pct"/>
            <w:tcBorders>
              <w:top w:val="single" w:color="auto" w:sz="4" w:space="0"/>
              <w:left w:val="single" w:color="auto" w:sz="4" w:space="0"/>
              <w:bottom w:val="single" w:color="auto" w:sz="4" w:space="0"/>
              <w:right w:val="single" w:color="auto" w:sz="4" w:space="0"/>
            </w:tcBorders>
            <w:vAlign w:val="center"/>
          </w:tcPr>
          <w:p w14:paraId="6F1BE05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根据信息系统安全等级情况、系统规模大小等，明确本次测评的方法。</w:t>
            </w:r>
          </w:p>
        </w:tc>
      </w:tr>
      <w:tr w14:paraId="641F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5A86641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438" w:type="pct"/>
            <w:tcBorders>
              <w:top w:val="single" w:color="auto" w:sz="4" w:space="0"/>
              <w:left w:val="single" w:color="auto" w:sz="4" w:space="0"/>
              <w:bottom w:val="single" w:color="auto" w:sz="4" w:space="0"/>
              <w:right w:val="single" w:color="auto" w:sz="4" w:space="0"/>
            </w:tcBorders>
            <w:vAlign w:val="center"/>
          </w:tcPr>
          <w:p w14:paraId="70BA6E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w:t>
            </w:r>
          </w:p>
        </w:tc>
        <w:tc>
          <w:tcPr>
            <w:tcW w:w="3137" w:type="pct"/>
            <w:tcBorders>
              <w:top w:val="single" w:color="auto" w:sz="4" w:space="0"/>
              <w:left w:val="single" w:color="auto" w:sz="4" w:space="0"/>
              <w:bottom w:val="single" w:color="auto" w:sz="4" w:space="0"/>
              <w:right w:val="single" w:color="auto" w:sz="4" w:space="0"/>
            </w:tcBorders>
            <w:vAlign w:val="center"/>
          </w:tcPr>
          <w:p w14:paraId="3B34655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制定测评工作计划或方案，说明测评范围、测评对象、工作方法、人员组成、角色职责、时间计划等。</w:t>
            </w:r>
          </w:p>
        </w:tc>
      </w:tr>
      <w:tr w14:paraId="1C3B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3427366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438" w:type="pct"/>
            <w:tcBorders>
              <w:top w:val="single" w:color="auto" w:sz="4" w:space="0"/>
              <w:left w:val="single" w:color="auto" w:sz="4" w:space="0"/>
              <w:bottom w:val="single" w:color="auto" w:sz="4" w:space="0"/>
              <w:right w:val="single" w:color="auto" w:sz="4" w:space="0"/>
            </w:tcBorders>
            <w:vAlign w:val="center"/>
          </w:tcPr>
          <w:p w14:paraId="5F5F888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实施等级保护测评</w:t>
            </w:r>
          </w:p>
        </w:tc>
        <w:tc>
          <w:tcPr>
            <w:tcW w:w="3137" w:type="pct"/>
            <w:tcBorders>
              <w:top w:val="single" w:color="auto" w:sz="4" w:space="0"/>
              <w:left w:val="single" w:color="auto" w:sz="4" w:space="0"/>
              <w:bottom w:val="single" w:color="auto" w:sz="4" w:space="0"/>
              <w:right w:val="single" w:color="auto" w:sz="4" w:space="0"/>
            </w:tcBorders>
            <w:vAlign w:val="center"/>
          </w:tcPr>
          <w:p w14:paraId="6F048A5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实施测评，包括人工检查、工具扫描等方式。</w:t>
            </w:r>
          </w:p>
        </w:tc>
      </w:tr>
      <w:tr w14:paraId="7F02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449B845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438" w:type="pct"/>
            <w:tcBorders>
              <w:top w:val="single" w:color="auto" w:sz="4" w:space="0"/>
              <w:left w:val="single" w:color="auto" w:sz="4" w:space="0"/>
              <w:bottom w:val="single" w:color="auto" w:sz="4" w:space="0"/>
              <w:right w:val="single" w:color="auto" w:sz="4" w:space="0"/>
            </w:tcBorders>
            <w:vAlign w:val="center"/>
          </w:tcPr>
          <w:p w14:paraId="1D2FFB8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项目总结</w:t>
            </w:r>
          </w:p>
        </w:tc>
        <w:tc>
          <w:tcPr>
            <w:tcW w:w="3137" w:type="pct"/>
            <w:tcBorders>
              <w:top w:val="single" w:color="auto" w:sz="4" w:space="0"/>
              <w:left w:val="single" w:color="auto" w:sz="4" w:space="0"/>
              <w:bottom w:val="single" w:color="auto" w:sz="4" w:space="0"/>
              <w:right w:val="single" w:color="auto" w:sz="4" w:space="0"/>
            </w:tcBorders>
            <w:vAlign w:val="center"/>
          </w:tcPr>
          <w:p w14:paraId="54D15DA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对测评结果进行总结、汇报</w:t>
            </w: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备案</w:t>
            </w:r>
            <w:r>
              <w:rPr>
                <w:rFonts w:hint="default" w:ascii="Times New Roman" w:hAnsi="Times New Roman" w:eastAsia="仿宋_GB2312" w:cs="Times New Roman"/>
                <w:color w:val="auto"/>
                <w:sz w:val="28"/>
                <w:szCs w:val="28"/>
                <w:highlight w:val="none"/>
              </w:rPr>
              <w:t>。</w:t>
            </w:r>
          </w:p>
        </w:tc>
      </w:tr>
    </w:tbl>
    <w:p w14:paraId="2B7CFDB5">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2.3测评应满足的原则</w:t>
      </w:r>
    </w:p>
    <w:p w14:paraId="751DE4D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本次信息系统安全等级保护测评服务方案设计，以及具体实施内容应满足以下原则：</w:t>
      </w:r>
    </w:p>
    <w:p w14:paraId="16E0EF0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1、保密原则：对测评的过程数据和结果数据严格保密，未经授权不得泄露给任何单位和个人，不得利用此数据进行任何侵害采购人的行为，否则采购人有权追究供应商的责任。</w:t>
      </w:r>
    </w:p>
    <w:p w14:paraId="4E3E16F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2、标准性原则：测评方案的设计与实施应依据国家等级保护的相关标准进行。</w:t>
      </w:r>
    </w:p>
    <w:p w14:paraId="3F02CEA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3、规范性原则：供应商工作中的过程和文档，具有很好的规范性，以便于项目的跟踪和控制。  </w:t>
      </w:r>
    </w:p>
    <w:p w14:paraId="69BEB1D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4、可控性原则：等级保护测评服务的进度要跟上进度表的安排，保证采购人对于测评工作的可控性。</w:t>
      </w:r>
    </w:p>
    <w:p w14:paraId="53BA32E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5、整体性原则：等级保护测评服务的范围和内容应当整体全面，包括国家等级保护相关要求涉及的各个层面。</w:t>
      </w:r>
    </w:p>
    <w:p w14:paraId="29402DB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最小影响原则：等级保护测评服务工作应尽可能小的影响系统和网络，并在可控范围内；测评工作不能对现有信息系统的正常运行、业务的正常开展产生任何影响。供应商应严格依照上述原则和国家等级保护相关标准开展项目实施工作。</w:t>
      </w:r>
    </w:p>
    <w:p w14:paraId="1E26EF92">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2.4测评依据</w:t>
      </w:r>
    </w:p>
    <w:p w14:paraId="56C173F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应按照下面所列出的标准、规程和规定进行设备的设计、制造和试验，本设备技术规范中所使用的标准或规程应是最新版，本技术条款提出了最低限度的技术要求，并未规定所有的技术要求和适用的标准，对国家有关的强制性标准，必须满足其要求。</w:t>
      </w:r>
    </w:p>
    <w:p w14:paraId="568A2F2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《中华人民共和国网络安全法》 </w:t>
      </w:r>
    </w:p>
    <w:p w14:paraId="0E3FF15E">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《中华人民共和国计算机信息系统安全保护条例》 （国务院令第147号）</w:t>
      </w:r>
    </w:p>
    <w:p w14:paraId="461B62D6">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《信息安全等级保护管理办法》（公通字[2007]43号）</w:t>
      </w:r>
    </w:p>
    <w:p w14:paraId="23AB94B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22239-2019：《信息安全技术 网络安全等级保护基本要求》 </w:t>
      </w:r>
    </w:p>
    <w:p w14:paraId="08751CAE">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28448-2019：《信息安全技术 网络安全等级保护测评要求》</w:t>
      </w:r>
    </w:p>
    <w:p w14:paraId="0FD9FDC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 17859-1999：《计算机信息系统安全保护等级划分准则》 </w:t>
      </w:r>
    </w:p>
    <w:p w14:paraId="38E9887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25058-2019：《信息安全技术 网络安全等级保护实施指南》 </w:t>
      </w:r>
    </w:p>
    <w:p w14:paraId="722540E0">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28449-2018：《信息安全技术 网络安全等级保护测评过程指南》 </w:t>
      </w:r>
    </w:p>
    <w:p w14:paraId="1A36D70D">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T/ISEAA 001-2020：《网络安全等级保护测评高风险判定指引》</w:t>
      </w:r>
    </w:p>
    <w:p w14:paraId="44E4C2FF">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2.5 服务内容</w:t>
      </w:r>
    </w:p>
    <w:p w14:paraId="1719901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按照网络安全等级保护测评依据开展测评工作（包括不限于以下内容）：</w:t>
      </w:r>
    </w:p>
    <w:p w14:paraId="4AB9D24B">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（一）安全物理环境</w:t>
      </w:r>
    </w:p>
    <w:p w14:paraId="55C55E7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安全物理环境等级测评将通过访谈和检查的方式评测该信息系统的物理环境安全保障情况，主要涉及对象为机房。</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87"/>
        <w:gridCol w:w="1899"/>
        <w:gridCol w:w="6429"/>
      </w:tblGrid>
      <w:tr w14:paraId="664A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81" w:type="pct"/>
            <w:shd w:val="clear" w:color="auto" w:fill="D9D9D9"/>
            <w:vAlign w:val="center"/>
          </w:tcPr>
          <w:p w14:paraId="0FC5BF3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053" w:type="pct"/>
            <w:shd w:val="clear" w:color="auto" w:fill="D9D9D9"/>
            <w:vAlign w:val="center"/>
          </w:tcPr>
          <w:p w14:paraId="30448AF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3565" w:type="pct"/>
            <w:shd w:val="clear" w:color="auto" w:fill="D9D9D9"/>
            <w:vAlign w:val="center"/>
          </w:tcPr>
          <w:p w14:paraId="509459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7F09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655BD8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053" w:type="pct"/>
            <w:vAlign w:val="center"/>
          </w:tcPr>
          <w:p w14:paraId="0F931DF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物理位置选择</w:t>
            </w:r>
          </w:p>
        </w:tc>
        <w:tc>
          <w:tcPr>
            <w:tcW w:w="3565" w:type="pct"/>
            <w:vAlign w:val="center"/>
          </w:tcPr>
          <w:p w14:paraId="19F249E8">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通过访谈物理安全负责人，检查机房，测评机房物理场所在位置上是否具有防震、防风和防雨等多方面的安全防范能力。</w:t>
            </w:r>
          </w:p>
        </w:tc>
      </w:tr>
      <w:tr w14:paraId="6CA2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3C88D7C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053" w:type="pct"/>
            <w:vAlign w:val="center"/>
          </w:tcPr>
          <w:p w14:paraId="68CAD3B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物理访问控制</w:t>
            </w:r>
          </w:p>
        </w:tc>
        <w:tc>
          <w:tcPr>
            <w:tcW w:w="3565" w:type="pct"/>
            <w:vAlign w:val="center"/>
          </w:tcPr>
          <w:p w14:paraId="48291F4C">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通过访谈物理安全负责人，检查机房出入口等过程，测评信息系统在物理访问控制方面的安全防范能力。</w:t>
            </w:r>
          </w:p>
        </w:tc>
      </w:tr>
      <w:tr w14:paraId="7BB4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03" w:hRule="atLeast"/>
          <w:jc w:val="center"/>
        </w:trPr>
        <w:tc>
          <w:tcPr>
            <w:tcW w:w="381" w:type="pct"/>
            <w:vAlign w:val="center"/>
          </w:tcPr>
          <w:p w14:paraId="30D051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053" w:type="pct"/>
            <w:vAlign w:val="center"/>
          </w:tcPr>
          <w:p w14:paraId="42CCE57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防盗窃和防破坏</w:t>
            </w:r>
          </w:p>
        </w:tc>
        <w:tc>
          <w:tcPr>
            <w:tcW w:w="3565" w:type="pct"/>
            <w:vAlign w:val="center"/>
          </w:tcPr>
          <w:p w14:paraId="498B2FC3">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通过访谈物理安全负责人，检查机房内的主要设备、介质和防盗报警设施等过程，测评信息系统是否采取必要的措施预防设备、介质等丢失和被破坏。</w:t>
            </w:r>
          </w:p>
        </w:tc>
      </w:tr>
      <w:tr w14:paraId="16B6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4B4F7C4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053" w:type="pct"/>
            <w:vAlign w:val="center"/>
          </w:tcPr>
          <w:p w14:paraId="435F7ED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防雷击</w:t>
            </w:r>
          </w:p>
        </w:tc>
        <w:tc>
          <w:tcPr>
            <w:tcW w:w="3565" w:type="pct"/>
            <w:vAlign w:val="center"/>
          </w:tcPr>
          <w:p w14:paraId="4191F026">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通过访谈物理安全负责人，检查机房设计/验收文档，测评信息系统是否采取相应的措施预防雷击。</w:t>
            </w:r>
          </w:p>
        </w:tc>
      </w:tr>
      <w:tr w14:paraId="3D7B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782A5E9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053" w:type="pct"/>
            <w:vAlign w:val="center"/>
          </w:tcPr>
          <w:p w14:paraId="0C7AB4D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防火</w:t>
            </w:r>
          </w:p>
        </w:tc>
        <w:tc>
          <w:tcPr>
            <w:tcW w:w="3565" w:type="pct"/>
            <w:vAlign w:val="center"/>
          </w:tcPr>
          <w:p w14:paraId="5A77B587">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通过访谈物理安全负责人，检查机房防火方面的安全管理制度，检查机房防火设备等过程，测评信息系统是否采取必要的措施防止火灾的发生。</w:t>
            </w:r>
          </w:p>
        </w:tc>
      </w:tr>
      <w:tr w14:paraId="702B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54B49AA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053" w:type="pct"/>
            <w:vAlign w:val="center"/>
          </w:tcPr>
          <w:p w14:paraId="2F9E10A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防水和防潮</w:t>
            </w:r>
          </w:p>
        </w:tc>
        <w:tc>
          <w:tcPr>
            <w:tcW w:w="3565" w:type="pct"/>
            <w:vAlign w:val="center"/>
          </w:tcPr>
          <w:p w14:paraId="5DF08BB0">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通过访谈物理安全负责人，检查机房及其除潮设备等过程，测评信息系统是否采取必要措施来防止水灾和机房潮湿。</w:t>
            </w:r>
          </w:p>
        </w:tc>
      </w:tr>
      <w:tr w14:paraId="0348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1" w:type="pct"/>
            <w:vAlign w:val="center"/>
          </w:tcPr>
          <w:p w14:paraId="57FDA0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053" w:type="pct"/>
            <w:vAlign w:val="center"/>
          </w:tcPr>
          <w:p w14:paraId="37F8E5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防静电</w:t>
            </w:r>
          </w:p>
        </w:tc>
        <w:tc>
          <w:tcPr>
            <w:tcW w:w="3565" w:type="pct"/>
            <w:vAlign w:val="center"/>
          </w:tcPr>
          <w:p w14:paraId="6294D8AA">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通过访谈物理安全负责人，检查机房等过程，测评信息系统是否采取必要措施防止静电的产生。</w:t>
            </w:r>
          </w:p>
        </w:tc>
      </w:tr>
      <w:tr w14:paraId="0E2E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1DE7D98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053" w:type="pct"/>
            <w:vAlign w:val="center"/>
          </w:tcPr>
          <w:p w14:paraId="6290D5F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温湿度控制</w:t>
            </w:r>
          </w:p>
        </w:tc>
        <w:tc>
          <w:tcPr>
            <w:tcW w:w="3565" w:type="pct"/>
            <w:vAlign w:val="center"/>
          </w:tcPr>
          <w:p w14:paraId="696CCE2D">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通过访谈物理安全负责人，检查机房的温湿度自动调节系统，测评信息系统是否采取必要措施对机房内的温湿度进行控制。</w:t>
            </w:r>
          </w:p>
        </w:tc>
      </w:tr>
      <w:tr w14:paraId="137E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0" w:hRule="atLeast"/>
          <w:jc w:val="center"/>
        </w:trPr>
        <w:tc>
          <w:tcPr>
            <w:tcW w:w="381" w:type="pct"/>
            <w:vAlign w:val="center"/>
          </w:tcPr>
          <w:p w14:paraId="2826038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053" w:type="pct"/>
            <w:vAlign w:val="center"/>
          </w:tcPr>
          <w:p w14:paraId="5561944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电力供应</w:t>
            </w:r>
          </w:p>
        </w:tc>
        <w:tc>
          <w:tcPr>
            <w:tcW w:w="3565" w:type="pct"/>
            <w:vAlign w:val="center"/>
          </w:tcPr>
          <w:p w14:paraId="1B833467">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通过访谈物理安全负责人，检查机房供电线路、设备等过程，测评是否具备为信息系统提供一定电力供应的能力。</w:t>
            </w:r>
          </w:p>
        </w:tc>
      </w:tr>
      <w:tr w14:paraId="0980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6698DCD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053" w:type="pct"/>
            <w:vAlign w:val="center"/>
          </w:tcPr>
          <w:p w14:paraId="115C24B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电磁防护</w:t>
            </w:r>
          </w:p>
        </w:tc>
        <w:tc>
          <w:tcPr>
            <w:tcW w:w="3565" w:type="pct"/>
            <w:vAlign w:val="center"/>
          </w:tcPr>
          <w:p w14:paraId="16F9D581">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通过访谈物理安全负责人，检查主要设备等过程，测评信息系统是否具备一定的电磁防护能力。</w:t>
            </w:r>
          </w:p>
        </w:tc>
      </w:tr>
    </w:tbl>
    <w:p w14:paraId="20A9058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（二）安全通信网络</w:t>
      </w:r>
    </w:p>
    <w:p w14:paraId="0F451C8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安全通信网络测评将通过访谈、检查和测试的方式评测该信息系统的通信网络安全保障情况。主要涉及对象为网络拓扑结构。</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3"/>
        <w:gridCol w:w="1624"/>
        <w:gridCol w:w="6671"/>
      </w:tblGrid>
      <w:tr w14:paraId="02EE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3" w:type="dxa"/>
            <w:shd w:val="clear" w:color="auto" w:fill="D9D9D9"/>
            <w:vAlign w:val="center"/>
          </w:tcPr>
          <w:p w14:paraId="69651C4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624" w:type="dxa"/>
            <w:shd w:val="clear" w:color="auto" w:fill="D9D9D9"/>
            <w:vAlign w:val="center"/>
          </w:tcPr>
          <w:p w14:paraId="66FA75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1" w:type="dxa"/>
            <w:shd w:val="clear" w:color="auto" w:fill="D9D9D9"/>
            <w:vAlign w:val="center"/>
          </w:tcPr>
          <w:p w14:paraId="316B782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8EB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0E277D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24" w:type="dxa"/>
            <w:vAlign w:val="center"/>
          </w:tcPr>
          <w:p w14:paraId="1C0B3C4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网络架构</w:t>
            </w:r>
          </w:p>
        </w:tc>
        <w:tc>
          <w:tcPr>
            <w:tcW w:w="6671" w:type="dxa"/>
            <w:vAlign w:val="center"/>
          </w:tcPr>
          <w:p w14:paraId="7614D99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测评分析网络架构与网段划分、隔离等情况的合理性和有效性。</w:t>
            </w:r>
          </w:p>
        </w:tc>
      </w:tr>
      <w:tr w14:paraId="0CFB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1E5D8F1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24" w:type="dxa"/>
            <w:vAlign w:val="center"/>
          </w:tcPr>
          <w:p w14:paraId="0647F1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通信传输</w:t>
            </w:r>
          </w:p>
        </w:tc>
        <w:tc>
          <w:tcPr>
            <w:tcW w:w="6671" w:type="dxa"/>
            <w:vAlign w:val="center"/>
          </w:tcPr>
          <w:p w14:paraId="10FB1FB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测评通信过程中的完整性、保密性等。</w:t>
            </w:r>
          </w:p>
        </w:tc>
      </w:tr>
      <w:tr w14:paraId="369D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2622992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24" w:type="dxa"/>
            <w:vAlign w:val="center"/>
          </w:tcPr>
          <w:p w14:paraId="185A11E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671" w:type="dxa"/>
            <w:vAlign w:val="center"/>
          </w:tcPr>
          <w:p w14:paraId="526CE5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bl>
    <w:p w14:paraId="53B60EE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（三）安全区域边界</w:t>
      </w:r>
    </w:p>
    <w:p w14:paraId="0A659CB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安全区域边界安全测评将通过访谈、检查和测试的方式评测该信息系统的区域边界安全保障情况。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5"/>
        <w:gridCol w:w="1775"/>
        <w:gridCol w:w="6519"/>
      </w:tblGrid>
      <w:tr w14:paraId="5F24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85" w:type="dxa"/>
            <w:shd w:val="clear" w:color="auto" w:fill="D9D9D9"/>
            <w:vAlign w:val="center"/>
          </w:tcPr>
          <w:p w14:paraId="7739DD3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75" w:type="dxa"/>
            <w:shd w:val="clear" w:color="auto" w:fill="D9D9D9"/>
            <w:vAlign w:val="center"/>
          </w:tcPr>
          <w:p w14:paraId="01E769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25D7B41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3B8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1D34FA9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75" w:type="dxa"/>
            <w:vAlign w:val="center"/>
          </w:tcPr>
          <w:p w14:paraId="147E479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边界防护</w:t>
            </w:r>
          </w:p>
        </w:tc>
        <w:tc>
          <w:tcPr>
            <w:tcW w:w="6519" w:type="dxa"/>
            <w:vAlign w:val="center"/>
          </w:tcPr>
          <w:p w14:paraId="4B8DA32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测评分析信息系统网络边界安全防护的状况。</w:t>
            </w:r>
          </w:p>
        </w:tc>
      </w:tr>
      <w:tr w14:paraId="4970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17007D4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75" w:type="dxa"/>
            <w:vAlign w:val="center"/>
          </w:tcPr>
          <w:p w14:paraId="08D354E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2E6DE82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测评分析信息系统对网络区域边界相关的网络隔离与访问控制能力。</w:t>
            </w:r>
          </w:p>
        </w:tc>
      </w:tr>
      <w:tr w14:paraId="054C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6CCD77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75" w:type="dxa"/>
            <w:vAlign w:val="center"/>
          </w:tcPr>
          <w:p w14:paraId="2164261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vAlign w:val="center"/>
          </w:tcPr>
          <w:p w14:paraId="1A17275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测评分析信息系统对攻击行为的识别和处理情况。</w:t>
            </w:r>
          </w:p>
        </w:tc>
      </w:tr>
      <w:tr w14:paraId="19E5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73D1CF6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75" w:type="dxa"/>
            <w:vAlign w:val="center"/>
          </w:tcPr>
          <w:p w14:paraId="530E26E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恶意代码和垃圾邮件防范</w:t>
            </w:r>
          </w:p>
        </w:tc>
        <w:tc>
          <w:tcPr>
            <w:tcW w:w="6519" w:type="dxa"/>
            <w:vAlign w:val="center"/>
          </w:tcPr>
          <w:p w14:paraId="60F7B4F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测评分析信息系统网络边界和核心网段对病毒等恶意代码及垃圾邮件的防护情况。</w:t>
            </w:r>
          </w:p>
        </w:tc>
      </w:tr>
      <w:tr w14:paraId="1629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1C6661F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75" w:type="dxa"/>
            <w:vAlign w:val="center"/>
          </w:tcPr>
          <w:p w14:paraId="1EC8154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7CE5C7A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测评分析信息系统审计配置和审计记录保护情况。</w:t>
            </w:r>
          </w:p>
        </w:tc>
      </w:tr>
      <w:tr w14:paraId="3FDA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5EBA5D8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75" w:type="dxa"/>
            <w:vAlign w:val="center"/>
          </w:tcPr>
          <w:p w14:paraId="2EA3EDF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vAlign w:val="center"/>
          </w:tcPr>
          <w:p w14:paraId="61EC433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基于可信根对通信设备的系统引导程序、系统程序、重要配置参数和通信应用程序等进行可信验证，并在应用程序的关键执行环节进行动态可信验证。</w:t>
            </w:r>
          </w:p>
        </w:tc>
      </w:tr>
    </w:tbl>
    <w:p w14:paraId="3D5FB14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（四）安全计算环境</w:t>
      </w:r>
    </w:p>
    <w:p w14:paraId="1B20170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安全计算环境测评将通过访谈、检查和测试的方式评测该信息系统的各类计算环境，包括网络互联设备、安全设备、服务器、数据库、终端、应用软件等的安全保障情况。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9"/>
        <w:gridCol w:w="1731"/>
        <w:gridCol w:w="6519"/>
      </w:tblGrid>
      <w:tr w14:paraId="3CE0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9" w:type="dxa"/>
            <w:shd w:val="clear" w:color="auto" w:fill="D9D9D9"/>
            <w:vAlign w:val="center"/>
          </w:tcPr>
          <w:p w14:paraId="3920508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31" w:type="dxa"/>
            <w:shd w:val="clear" w:color="auto" w:fill="D9D9D9"/>
            <w:vAlign w:val="center"/>
          </w:tcPr>
          <w:p w14:paraId="27BDC4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361ACAB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B21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06220E3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31" w:type="dxa"/>
            <w:vAlign w:val="center"/>
          </w:tcPr>
          <w:p w14:paraId="63893FD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身份鉴别</w:t>
            </w:r>
          </w:p>
        </w:tc>
        <w:tc>
          <w:tcPr>
            <w:tcW w:w="6519" w:type="dxa"/>
            <w:vAlign w:val="center"/>
          </w:tcPr>
          <w:p w14:paraId="2362AA0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检查服务器的身份标识与鉴别和用户登录的配置情况。</w:t>
            </w:r>
          </w:p>
        </w:tc>
      </w:tr>
      <w:tr w14:paraId="6AE1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64DDE63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31" w:type="dxa"/>
            <w:vAlign w:val="center"/>
          </w:tcPr>
          <w:p w14:paraId="2FD5C99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37A25D4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检查服务器的访问控制设置情况，包括安全策略覆盖、控制粒度以及权限设置情况等。</w:t>
            </w:r>
          </w:p>
        </w:tc>
      </w:tr>
      <w:tr w14:paraId="3075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582CF96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31" w:type="dxa"/>
            <w:vAlign w:val="center"/>
          </w:tcPr>
          <w:p w14:paraId="5069783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79363AA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检查服务器的安全审计的配置情况，如覆盖范围、记录的项目和内容等；检查安全审计进程和记录的保护情况。</w:t>
            </w:r>
          </w:p>
        </w:tc>
      </w:tr>
      <w:tr w14:paraId="6368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F241A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31" w:type="dxa"/>
            <w:tcBorders>
              <w:top w:val="single" w:color="auto" w:sz="4" w:space="0"/>
              <w:left w:val="single" w:color="auto" w:sz="4" w:space="0"/>
              <w:bottom w:val="single" w:color="auto" w:sz="4" w:space="0"/>
              <w:right w:val="single" w:color="auto" w:sz="4" w:space="0"/>
            </w:tcBorders>
            <w:vAlign w:val="center"/>
          </w:tcPr>
          <w:p w14:paraId="470F224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tcBorders>
              <w:top w:val="single" w:color="auto" w:sz="4" w:space="0"/>
              <w:left w:val="single" w:color="auto" w:sz="4" w:space="0"/>
              <w:bottom w:val="single" w:color="auto" w:sz="4" w:space="0"/>
              <w:right w:val="single" w:color="auto" w:sz="4" w:space="0"/>
            </w:tcBorders>
            <w:vAlign w:val="center"/>
          </w:tcPr>
          <w:p w14:paraId="2AA3A7C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检查服务器在运行过程中的入侵防范措施，如关闭不需要的端口和服务、最小化安装、部署入侵防范产品等。</w:t>
            </w:r>
          </w:p>
        </w:tc>
      </w:tr>
      <w:tr w14:paraId="4446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CD989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31" w:type="dxa"/>
            <w:tcBorders>
              <w:top w:val="single" w:color="auto" w:sz="4" w:space="0"/>
              <w:left w:val="single" w:color="auto" w:sz="4" w:space="0"/>
              <w:bottom w:val="single" w:color="auto" w:sz="4" w:space="0"/>
              <w:right w:val="single" w:color="auto" w:sz="4" w:space="0"/>
            </w:tcBorders>
            <w:vAlign w:val="center"/>
          </w:tcPr>
          <w:p w14:paraId="0076550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w:t>
            </w:r>
          </w:p>
        </w:tc>
        <w:tc>
          <w:tcPr>
            <w:tcW w:w="6519" w:type="dxa"/>
            <w:tcBorders>
              <w:top w:val="single" w:color="auto" w:sz="4" w:space="0"/>
              <w:left w:val="single" w:color="auto" w:sz="4" w:space="0"/>
              <w:bottom w:val="single" w:color="auto" w:sz="4" w:space="0"/>
              <w:right w:val="single" w:color="auto" w:sz="4" w:space="0"/>
            </w:tcBorders>
            <w:vAlign w:val="center"/>
          </w:tcPr>
          <w:p w14:paraId="56A99F0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检查服务器的恶意代码防范情况，如服务器是否安装统一管理的恶意代码防范软件，是否及时升级病毒库等。</w:t>
            </w:r>
          </w:p>
        </w:tc>
      </w:tr>
      <w:tr w14:paraId="56E4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344EF9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31" w:type="dxa"/>
            <w:tcBorders>
              <w:top w:val="single" w:color="auto" w:sz="4" w:space="0"/>
              <w:left w:val="single" w:color="auto" w:sz="4" w:space="0"/>
              <w:bottom w:val="single" w:color="auto" w:sz="4" w:space="0"/>
              <w:right w:val="single" w:color="auto" w:sz="4" w:space="0"/>
            </w:tcBorders>
            <w:vAlign w:val="center"/>
          </w:tcPr>
          <w:p w14:paraId="66A924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tcBorders>
              <w:top w:val="single" w:color="auto" w:sz="4" w:space="0"/>
              <w:left w:val="single" w:color="auto" w:sz="4" w:space="0"/>
              <w:bottom w:val="single" w:color="auto" w:sz="4" w:space="0"/>
              <w:right w:val="single" w:color="auto" w:sz="4" w:space="0"/>
            </w:tcBorders>
            <w:vAlign w:val="center"/>
          </w:tcPr>
          <w:p w14:paraId="01E204F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r w14:paraId="5D7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BA114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731" w:type="dxa"/>
            <w:tcBorders>
              <w:top w:val="single" w:color="auto" w:sz="4" w:space="0"/>
              <w:left w:val="single" w:color="auto" w:sz="4" w:space="0"/>
              <w:bottom w:val="single" w:color="auto" w:sz="4" w:space="0"/>
              <w:right w:val="single" w:color="auto" w:sz="4" w:space="0"/>
            </w:tcBorders>
            <w:vAlign w:val="center"/>
          </w:tcPr>
          <w:p w14:paraId="0DA7E2D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数据完整性</w:t>
            </w:r>
          </w:p>
        </w:tc>
        <w:tc>
          <w:tcPr>
            <w:tcW w:w="6519" w:type="dxa"/>
            <w:tcBorders>
              <w:top w:val="single" w:color="auto" w:sz="4" w:space="0"/>
              <w:left w:val="single" w:color="auto" w:sz="4" w:space="0"/>
              <w:bottom w:val="single" w:color="auto" w:sz="4" w:space="0"/>
              <w:right w:val="single" w:color="auto" w:sz="4" w:space="0"/>
            </w:tcBorders>
            <w:vAlign w:val="center"/>
          </w:tcPr>
          <w:p w14:paraId="7CB5972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测评操作系统、数据库管理系统的管理数据、鉴别信息和用户数据在传输和保存过程中的完整性保护情况。</w:t>
            </w:r>
          </w:p>
        </w:tc>
      </w:tr>
      <w:tr w14:paraId="4171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449B3D0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731" w:type="dxa"/>
            <w:tcBorders>
              <w:top w:val="single" w:color="auto" w:sz="4" w:space="0"/>
              <w:left w:val="single" w:color="auto" w:sz="4" w:space="0"/>
              <w:bottom w:val="single" w:color="auto" w:sz="4" w:space="0"/>
              <w:right w:val="single" w:color="auto" w:sz="4" w:space="0"/>
            </w:tcBorders>
            <w:vAlign w:val="center"/>
          </w:tcPr>
          <w:p w14:paraId="1280F4A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数据保密性</w:t>
            </w:r>
          </w:p>
        </w:tc>
        <w:tc>
          <w:tcPr>
            <w:tcW w:w="6519" w:type="dxa"/>
            <w:tcBorders>
              <w:top w:val="single" w:color="auto" w:sz="4" w:space="0"/>
              <w:left w:val="single" w:color="auto" w:sz="4" w:space="0"/>
              <w:bottom w:val="single" w:color="auto" w:sz="4" w:space="0"/>
              <w:right w:val="single" w:color="auto" w:sz="4" w:space="0"/>
            </w:tcBorders>
            <w:vAlign w:val="center"/>
          </w:tcPr>
          <w:p w14:paraId="7835C27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测评操作系统和数据库管理系统的管理数据、鉴别信息和用户数据在传输和保存过程中的保密性保护情况。</w:t>
            </w:r>
          </w:p>
        </w:tc>
      </w:tr>
      <w:tr w14:paraId="48E7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311402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731" w:type="dxa"/>
            <w:tcBorders>
              <w:top w:val="single" w:color="auto" w:sz="4" w:space="0"/>
              <w:left w:val="single" w:color="auto" w:sz="4" w:space="0"/>
              <w:bottom w:val="single" w:color="auto" w:sz="4" w:space="0"/>
              <w:right w:val="single" w:color="auto" w:sz="4" w:space="0"/>
            </w:tcBorders>
            <w:vAlign w:val="center"/>
          </w:tcPr>
          <w:p w14:paraId="37D5F4F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数据备份恢复</w:t>
            </w:r>
          </w:p>
        </w:tc>
        <w:tc>
          <w:tcPr>
            <w:tcW w:w="6519" w:type="dxa"/>
            <w:tcBorders>
              <w:top w:val="single" w:color="auto" w:sz="4" w:space="0"/>
              <w:left w:val="single" w:color="auto" w:sz="4" w:space="0"/>
              <w:bottom w:val="single" w:color="auto" w:sz="4" w:space="0"/>
              <w:right w:val="single" w:color="auto" w:sz="4" w:space="0"/>
            </w:tcBorders>
            <w:vAlign w:val="center"/>
          </w:tcPr>
          <w:p w14:paraId="2623DD2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测评信息系统的安全备份情况，如重要信息的备份、硬件和线路的冗余等。</w:t>
            </w:r>
          </w:p>
        </w:tc>
      </w:tr>
      <w:tr w14:paraId="7AC1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86988E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731" w:type="dxa"/>
            <w:tcBorders>
              <w:top w:val="single" w:color="auto" w:sz="4" w:space="0"/>
              <w:left w:val="single" w:color="auto" w:sz="4" w:space="0"/>
              <w:bottom w:val="single" w:color="auto" w:sz="4" w:space="0"/>
              <w:right w:val="single" w:color="auto" w:sz="4" w:space="0"/>
            </w:tcBorders>
            <w:vAlign w:val="center"/>
          </w:tcPr>
          <w:p w14:paraId="33B5AB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剩余信息保护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5B76E1C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测评鉴别信息所在的存储空间被释放或重新分配前是否得到完全清除。</w:t>
            </w:r>
          </w:p>
        </w:tc>
      </w:tr>
      <w:tr w14:paraId="3CA4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C788C3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731" w:type="dxa"/>
            <w:tcBorders>
              <w:top w:val="single" w:color="auto" w:sz="4" w:space="0"/>
              <w:left w:val="single" w:color="auto" w:sz="4" w:space="0"/>
              <w:bottom w:val="single" w:color="auto" w:sz="4" w:space="0"/>
              <w:right w:val="single" w:color="auto" w:sz="4" w:space="0"/>
            </w:tcBorders>
            <w:vAlign w:val="center"/>
          </w:tcPr>
          <w:p w14:paraId="67A94C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个人信息保护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64E83E2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测评是否仅采集和保存业务必需的用户个人信息；是否禁止未授权访问和使用用户个人信息。</w:t>
            </w:r>
          </w:p>
        </w:tc>
      </w:tr>
    </w:tbl>
    <w:p w14:paraId="128E9D5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（五）安全管理中心</w:t>
      </w:r>
    </w:p>
    <w:p w14:paraId="043614BB">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安全管理中心测评将通过访谈和检查的方式评测该信息系统的安全管理保障情况。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40"/>
        <w:gridCol w:w="6585"/>
      </w:tblGrid>
      <w:tr w14:paraId="16B7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29C5F76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40" w:type="dxa"/>
            <w:shd w:val="clear" w:color="auto" w:fill="D9D9D9"/>
            <w:vAlign w:val="center"/>
          </w:tcPr>
          <w:p w14:paraId="2AB1812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85" w:type="dxa"/>
            <w:shd w:val="clear" w:color="auto" w:fill="D9D9D9"/>
            <w:vAlign w:val="center"/>
          </w:tcPr>
          <w:p w14:paraId="76B4F20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70F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0B4A22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40" w:type="dxa"/>
            <w:vAlign w:val="center"/>
          </w:tcPr>
          <w:p w14:paraId="3629C2B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系统管理</w:t>
            </w:r>
          </w:p>
        </w:tc>
        <w:tc>
          <w:tcPr>
            <w:tcW w:w="6585" w:type="dxa"/>
            <w:vAlign w:val="center"/>
          </w:tcPr>
          <w:p w14:paraId="7B1F0B2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测评信息系统的系统管理员对系统的管理情况。</w:t>
            </w:r>
          </w:p>
        </w:tc>
      </w:tr>
      <w:tr w14:paraId="4D1E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4D8EB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40" w:type="dxa"/>
            <w:vAlign w:val="center"/>
          </w:tcPr>
          <w:p w14:paraId="40D482F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审计管理</w:t>
            </w:r>
          </w:p>
        </w:tc>
        <w:tc>
          <w:tcPr>
            <w:tcW w:w="6585" w:type="dxa"/>
            <w:vAlign w:val="center"/>
          </w:tcPr>
          <w:p w14:paraId="33B1F55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测评信息系统的安全审计员对系统的审计情况。</w:t>
            </w:r>
          </w:p>
        </w:tc>
      </w:tr>
      <w:tr w14:paraId="7B3F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285D34D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40" w:type="dxa"/>
            <w:vAlign w:val="center"/>
          </w:tcPr>
          <w:p w14:paraId="1AC219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安全管理</w:t>
            </w:r>
          </w:p>
        </w:tc>
        <w:tc>
          <w:tcPr>
            <w:tcW w:w="6585" w:type="dxa"/>
            <w:vAlign w:val="center"/>
          </w:tcPr>
          <w:p w14:paraId="235E7F1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测评信息系统的安全管理员对系统的安全策略的配置情况。</w:t>
            </w:r>
          </w:p>
        </w:tc>
      </w:tr>
      <w:tr w14:paraId="500E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20CBE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40" w:type="dxa"/>
            <w:vAlign w:val="center"/>
          </w:tcPr>
          <w:p w14:paraId="4DFC96D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集中管控</w:t>
            </w:r>
          </w:p>
        </w:tc>
        <w:tc>
          <w:tcPr>
            <w:tcW w:w="6585" w:type="dxa"/>
            <w:vAlign w:val="center"/>
          </w:tcPr>
          <w:p w14:paraId="6E33B0B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测评网络链路、安全设备、网络设备和服务器等设备的运行状况的集中监测、分析、报警等。</w:t>
            </w:r>
          </w:p>
        </w:tc>
      </w:tr>
    </w:tbl>
    <w:p w14:paraId="4B56FE2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（六）安全管理制度</w:t>
      </w:r>
    </w:p>
    <w:p w14:paraId="6361E3C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安全管理制度测评将通过访谈和检查的形式评测安全管理制度的制定、发布、评审和修订等情况。主要涉及安全主管人员、安全管理人员、各类其它人员、各类管理制度、各类操作规程文件等对象。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1"/>
        <w:gridCol w:w="1710"/>
        <w:gridCol w:w="6423"/>
      </w:tblGrid>
      <w:tr w14:paraId="72BF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trPr>
        <w:tc>
          <w:tcPr>
            <w:tcW w:w="881" w:type="dxa"/>
            <w:shd w:val="clear" w:color="auto" w:fill="D9D9D9"/>
            <w:vAlign w:val="center"/>
          </w:tcPr>
          <w:p w14:paraId="3D6D3F6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10" w:type="dxa"/>
            <w:shd w:val="clear" w:color="auto" w:fill="D9D9D9"/>
            <w:vAlign w:val="center"/>
          </w:tcPr>
          <w:p w14:paraId="2326765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423" w:type="dxa"/>
            <w:shd w:val="clear" w:color="auto" w:fill="D9D9D9"/>
            <w:vAlign w:val="center"/>
          </w:tcPr>
          <w:p w14:paraId="159791B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23D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28B7816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10" w:type="dxa"/>
            <w:vAlign w:val="center"/>
          </w:tcPr>
          <w:p w14:paraId="22ED069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安全策略</w:t>
            </w:r>
          </w:p>
        </w:tc>
        <w:tc>
          <w:tcPr>
            <w:tcW w:w="6423" w:type="dxa"/>
            <w:vAlign w:val="center"/>
          </w:tcPr>
          <w:p w14:paraId="7A22C07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测评信息安全工作的总体方针、安全策略，总体目标、范围、原则和安全框架等。</w:t>
            </w:r>
          </w:p>
        </w:tc>
      </w:tr>
      <w:tr w14:paraId="683E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35958A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10" w:type="dxa"/>
            <w:vAlign w:val="center"/>
          </w:tcPr>
          <w:p w14:paraId="44DDC73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管理制度</w:t>
            </w:r>
          </w:p>
        </w:tc>
        <w:tc>
          <w:tcPr>
            <w:tcW w:w="6423" w:type="dxa"/>
            <w:vAlign w:val="center"/>
          </w:tcPr>
          <w:p w14:paraId="0B30BFE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测评信息系统管理制度在内容覆盖上是否全面、完善。</w:t>
            </w:r>
          </w:p>
        </w:tc>
      </w:tr>
      <w:tr w14:paraId="7E96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2E12E9F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10" w:type="dxa"/>
            <w:vAlign w:val="center"/>
          </w:tcPr>
          <w:p w14:paraId="26A6558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制定和发布</w:t>
            </w:r>
          </w:p>
        </w:tc>
        <w:tc>
          <w:tcPr>
            <w:tcW w:w="6423" w:type="dxa"/>
            <w:vAlign w:val="center"/>
          </w:tcPr>
          <w:p w14:paraId="562C5A6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测评信息系统管理制度的制定和发布过程是否遵循一定的流程。</w:t>
            </w:r>
          </w:p>
        </w:tc>
      </w:tr>
      <w:tr w14:paraId="6495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659D8E9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10" w:type="dxa"/>
            <w:vAlign w:val="center"/>
          </w:tcPr>
          <w:p w14:paraId="6874093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评审和修订</w:t>
            </w:r>
          </w:p>
        </w:tc>
        <w:tc>
          <w:tcPr>
            <w:tcW w:w="6423" w:type="dxa"/>
            <w:vAlign w:val="center"/>
          </w:tcPr>
          <w:p w14:paraId="4691DB4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测评信息系统管理制度定期评审和修订情况。</w:t>
            </w:r>
          </w:p>
        </w:tc>
      </w:tr>
    </w:tbl>
    <w:p w14:paraId="5E634AC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（七）安全管理机构</w:t>
      </w:r>
    </w:p>
    <w:p w14:paraId="22396D1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安全管理机构测评将通过访谈和检查的形式评测安全管理机构的组成情况和机构工作组织情况。主要涉及安全主管人员、安全管理人员、相关的文件资料和工作记录等对象。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03"/>
        <w:gridCol w:w="6546"/>
      </w:tblGrid>
      <w:tr w14:paraId="64B7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101BFF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03" w:type="dxa"/>
            <w:shd w:val="clear" w:color="auto" w:fill="D9D9D9"/>
            <w:vAlign w:val="center"/>
          </w:tcPr>
          <w:p w14:paraId="1D183A2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46" w:type="dxa"/>
            <w:shd w:val="clear" w:color="auto" w:fill="D9D9D9"/>
            <w:vAlign w:val="center"/>
          </w:tcPr>
          <w:p w14:paraId="457CED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6B4D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5FE4C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03" w:type="dxa"/>
            <w:vAlign w:val="center"/>
          </w:tcPr>
          <w:p w14:paraId="37B855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岗位设置</w:t>
            </w:r>
          </w:p>
        </w:tc>
        <w:tc>
          <w:tcPr>
            <w:tcW w:w="6546" w:type="dxa"/>
            <w:vAlign w:val="center"/>
          </w:tcPr>
          <w:p w14:paraId="35AA8F6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测评信息系统安全主管部门设置情况以及各岗位设置和岗位职责情况。</w:t>
            </w:r>
          </w:p>
        </w:tc>
      </w:tr>
      <w:tr w14:paraId="305D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08855BF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03" w:type="dxa"/>
            <w:vAlign w:val="center"/>
          </w:tcPr>
          <w:p w14:paraId="7F26DF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人员配备</w:t>
            </w:r>
          </w:p>
        </w:tc>
        <w:tc>
          <w:tcPr>
            <w:tcW w:w="6546" w:type="dxa"/>
            <w:vAlign w:val="center"/>
          </w:tcPr>
          <w:p w14:paraId="1152CBB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测评信息系统各个岗位人员配备情况。</w:t>
            </w:r>
          </w:p>
        </w:tc>
      </w:tr>
      <w:tr w14:paraId="7279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04EFBB2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03" w:type="dxa"/>
            <w:vAlign w:val="center"/>
          </w:tcPr>
          <w:p w14:paraId="7BEBC73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授权和审批</w:t>
            </w:r>
          </w:p>
        </w:tc>
        <w:tc>
          <w:tcPr>
            <w:tcW w:w="6546" w:type="dxa"/>
            <w:vAlign w:val="center"/>
          </w:tcPr>
          <w:p w14:paraId="1F46997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测评信息系统对关键活动的授权和审批情况。</w:t>
            </w:r>
          </w:p>
        </w:tc>
      </w:tr>
      <w:tr w14:paraId="0695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363EB80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03" w:type="dxa"/>
            <w:vAlign w:val="center"/>
          </w:tcPr>
          <w:p w14:paraId="1F279DA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沟通与合作</w:t>
            </w:r>
          </w:p>
        </w:tc>
        <w:tc>
          <w:tcPr>
            <w:tcW w:w="6546" w:type="dxa"/>
            <w:vAlign w:val="center"/>
          </w:tcPr>
          <w:p w14:paraId="4DD885E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测评信息系统内部部门间、与外部单位间的沟通与合作情况。</w:t>
            </w:r>
          </w:p>
        </w:tc>
      </w:tr>
      <w:tr w14:paraId="6FC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1DC71FC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03" w:type="dxa"/>
            <w:vAlign w:val="center"/>
          </w:tcPr>
          <w:p w14:paraId="7B1A324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审核和检查</w:t>
            </w:r>
          </w:p>
        </w:tc>
        <w:tc>
          <w:tcPr>
            <w:tcW w:w="6546" w:type="dxa"/>
            <w:vAlign w:val="center"/>
          </w:tcPr>
          <w:p w14:paraId="370902E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检查信息系统安全工作的审核和测评情况。</w:t>
            </w:r>
          </w:p>
        </w:tc>
      </w:tr>
    </w:tbl>
    <w:p w14:paraId="025CB80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（八）安全管理人员</w:t>
      </w:r>
    </w:p>
    <w:p w14:paraId="3A0D018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安全管理人员测评将通过访谈和检查的形式评测机构人员安全控制方面的情况。主要涉及安全主管人员、人事管理人员、相关管理制度、相关工作记录等对象。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55"/>
        <w:gridCol w:w="1695"/>
        <w:gridCol w:w="6524"/>
      </w:tblGrid>
      <w:tr w14:paraId="43F7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55" w:type="dxa"/>
            <w:shd w:val="clear" w:color="auto" w:fill="D9D9D9"/>
            <w:vAlign w:val="center"/>
          </w:tcPr>
          <w:p w14:paraId="2000136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695" w:type="dxa"/>
            <w:shd w:val="clear" w:color="auto" w:fill="D9D9D9"/>
            <w:vAlign w:val="center"/>
          </w:tcPr>
          <w:p w14:paraId="3DF516D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24" w:type="dxa"/>
            <w:shd w:val="clear" w:color="auto" w:fill="D9D9D9"/>
            <w:vAlign w:val="center"/>
          </w:tcPr>
          <w:p w14:paraId="7E7AB1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46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A02884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95" w:type="dxa"/>
            <w:vAlign w:val="center"/>
          </w:tcPr>
          <w:p w14:paraId="6E33D0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人员录用</w:t>
            </w:r>
          </w:p>
        </w:tc>
        <w:tc>
          <w:tcPr>
            <w:tcW w:w="6524" w:type="dxa"/>
            <w:vAlign w:val="center"/>
          </w:tcPr>
          <w:p w14:paraId="54C8549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测评信息系统录用人员时是否对人员提出要求以及是否对其进行各种审查和考核。</w:t>
            </w:r>
          </w:p>
        </w:tc>
      </w:tr>
      <w:tr w14:paraId="0BF6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7374127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95" w:type="dxa"/>
            <w:vAlign w:val="center"/>
          </w:tcPr>
          <w:p w14:paraId="46F6702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人员离岗</w:t>
            </w:r>
          </w:p>
        </w:tc>
        <w:tc>
          <w:tcPr>
            <w:tcW w:w="6524" w:type="dxa"/>
            <w:vAlign w:val="center"/>
          </w:tcPr>
          <w:p w14:paraId="773A205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测评信息系统人员离岗时是否按照一定的手续办理。</w:t>
            </w:r>
          </w:p>
        </w:tc>
      </w:tr>
      <w:tr w14:paraId="5E09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B5E9CE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95" w:type="dxa"/>
            <w:vAlign w:val="center"/>
          </w:tcPr>
          <w:p w14:paraId="17B5386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安全意识教育和培训</w:t>
            </w:r>
          </w:p>
        </w:tc>
        <w:tc>
          <w:tcPr>
            <w:tcW w:w="6524" w:type="dxa"/>
            <w:vAlign w:val="center"/>
          </w:tcPr>
          <w:p w14:paraId="1E41D15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测评是否对人员进行安全方面的教育和培训。</w:t>
            </w:r>
          </w:p>
        </w:tc>
      </w:tr>
      <w:tr w14:paraId="7FDA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323D718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695" w:type="dxa"/>
            <w:vAlign w:val="center"/>
          </w:tcPr>
          <w:p w14:paraId="7A38141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外部人员访问管理</w:t>
            </w:r>
          </w:p>
        </w:tc>
        <w:tc>
          <w:tcPr>
            <w:tcW w:w="6524" w:type="dxa"/>
            <w:vAlign w:val="center"/>
          </w:tcPr>
          <w:p w14:paraId="54669E7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测评对第三方人员访问（物理、逻辑）系统是否采取必要控制措施。</w:t>
            </w:r>
          </w:p>
        </w:tc>
      </w:tr>
    </w:tbl>
    <w:p w14:paraId="7C982AB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（九）安全建设管理</w:t>
      </w:r>
    </w:p>
    <w:p w14:paraId="74ABD85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安全建设管理测评将通过访谈和检查的形式评测系统建设管理过程中的安全控制情况。主要涉及安全主管人员、系统建设负责人、各类管理制度、操作规程文件、执行过程记录等对象。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690"/>
        <w:gridCol w:w="1876"/>
        <w:gridCol w:w="6569"/>
      </w:tblGrid>
      <w:tr w14:paraId="600F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690" w:type="dxa"/>
            <w:shd w:val="clear" w:color="auto" w:fill="D9D9D9"/>
            <w:vAlign w:val="center"/>
          </w:tcPr>
          <w:p w14:paraId="7F9779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876" w:type="dxa"/>
            <w:shd w:val="clear" w:color="auto" w:fill="D9D9D9"/>
            <w:vAlign w:val="center"/>
          </w:tcPr>
          <w:p w14:paraId="7119C26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69" w:type="dxa"/>
            <w:shd w:val="clear" w:color="auto" w:fill="D9D9D9"/>
            <w:vAlign w:val="center"/>
          </w:tcPr>
          <w:p w14:paraId="0444D79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42C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4D6F2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76" w:type="dxa"/>
            <w:vAlign w:val="center"/>
          </w:tcPr>
          <w:p w14:paraId="551B71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定级和备案</w:t>
            </w:r>
          </w:p>
        </w:tc>
        <w:tc>
          <w:tcPr>
            <w:tcW w:w="6569" w:type="dxa"/>
            <w:vAlign w:val="center"/>
          </w:tcPr>
          <w:p w14:paraId="18E13EA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测评是否按照一定要求确定系统的安全等级并完成备案工作。</w:t>
            </w:r>
          </w:p>
        </w:tc>
      </w:tr>
      <w:tr w14:paraId="3550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19B7363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76" w:type="dxa"/>
            <w:vAlign w:val="center"/>
          </w:tcPr>
          <w:p w14:paraId="24A87C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安全方案设计</w:t>
            </w:r>
          </w:p>
        </w:tc>
        <w:tc>
          <w:tcPr>
            <w:tcW w:w="6569" w:type="dxa"/>
            <w:vAlign w:val="center"/>
          </w:tcPr>
          <w:p w14:paraId="6EB8743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测评系统整体的安全规划设计是否按照一定流程进行。</w:t>
            </w:r>
          </w:p>
        </w:tc>
      </w:tr>
      <w:tr w14:paraId="6A27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6B8C12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76" w:type="dxa"/>
            <w:vAlign w:val="center"/>
          </w:tcPr>
          <w:p w14:paraId="779F84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产品采购和使用</w:t>
            </w:r>
          </w:p>
        </w:tc>
        <w:tc>
          <w:tcPr>
            <w:tcW w:w="6569" w:type="dxa"/>
            <w:vAlign w:val="center"/>
          </w:tcPr>
          <w:p w14:paraId="3DB8808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测评是否按照一定的要求进行系统的产品采购。</w:t>
            </w:r>
          </w:p>
        </w:tc>
      </w:tr>
      <w:tr w14:paraId="55B7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0B4276E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76" w:type="dxa"/>
            <w:vAlign w:val="center"/>
          </w:tcPr>
          <w:p w14:paraId="0FD75EF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自行软件开发</w:t>
            </w:r>
          </w:p>
        </w:tc>
        <w:tc>
          <w:tcPr>
            <w:tcW w:w="6569" w:type="dxa"/>
            <w:vAlign w:val="center"/>
          </w:tcPr>
          <w:p w14:paraId="54622F2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测评自行开发的软件是否采取必要的措施保证开发过程的安全性。</w:t>
            </w:r>
          </w:p>
        </w:tc>
      </w:tr>
      <w:tr w14:paraId="6E6D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F5C7C7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76" w:type="dxa"/>
            <w:vAlign w:val="center"/>
          </w:tcPr>
          <w:p w14:paraId="1A202E9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外包软件开发</w:t>
            </w:r>
          </w:p>
        </w:tc>
        <w:tc>
          <w:tcPr>
            <w:tcW w:w="6569" w:type="dxa"/>
            <w:vAlign w:val="center"/>
          </w:tcPr>
          <w:p w14:paraId="5FA8EBD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测评外包开发的软件是否采取必要的措施保证开发过程的安全性和日后的维护工作能够正常开展。</w:t>
            </w:r>
          </w:p>
        </w:tc>
      </w:tr>
      <w:tr w14:paraId="1EF1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6B9758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76" w:type="dxa"/>
            <w:vAlign w:val="center"/>
          </w:tcPr>
          <w:p w14:paraId="43DDD9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工程实施</w:t>
            </w:r>
          </w:p>
        </w:tc>
        <w:tc>
          <w:tcPr>
            <w:tcW w:w="6569" w:type="dxa"/>
            <w:vAlign w:val="center"/>
          </w:tcPr>
          <w:p w14:paraId="30F415B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测评系统建设的实施过程是否采取必要的措施使其在机构可控的范围内进行。</w:t>
            </w:r>
          </w:p>
        </w:tc>
      </w:tr>
      <w:tr w14:paraId="298A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4158258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76" w:type="dxa"/>
            <w:vAlign w:val="center"/>
          </w:tcPr>
          <w:p w14:paraId="6DA59B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测试验收</w:t>
            </w:r>
          </w:p>
        </w:tc>
        <w:tc>
          <w:tcPr>
            <w:tcW w:w="6569" w:type="dxa"/>
            <w:vAlign w:val="center"/>
          </w:tcPr>
          <w:p w14:paraId="054B01A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测评系统运行前是否对其进行测试验收工作。</w:t>
            </w:r>
          </w:p>
        </w:tc>
      </w:tr>
      <w:tr w14:paraId="0A07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2FBA082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76" w:type="dxa"/>
            <w:vAlign w:val="center"/>
          </w:tcPr>
          <w:p w14:paraId="0ED6EA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系统交付</w:t>
            </w:r>
          </w:p>
        </w:tc>
        <w:tc>
          <w:tcPr>
            <w:tcW w:w="6569" w:type="dxa"/>
            <w:vAlign w:val="center"/>
          </w:tcPr>
          <w:p w14:paraId="65E47FC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测评是否采取必要的措施对系统交付过程进行有效控制。</w:t>
            </w:r>
          </w:p>
        </w:tc>
      </w:tr>
      <w:tr w14:paraId="7AE3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F03D1F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76" w:type="dxa"/>
            <w:vAlign w:val="center"/>
          </w:tcPr>
          <w:p w14:paraId="309A30A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等级测评</w:t>
            </w:r>
          </w:p>
        </w:tc>
        <w:tc>
          <w:tcPr>
            <w:tcW w:w="6569" w:type="dxa"/>
            <w:vAlign w:val="center"/>
          </w:tcPr>
          <w:p w14:paraId="2649DE5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测评是否依据国家要求完成等级测评和整改工作。</w:t>
            </w:r>
          </w:p>
        </w:tc>
      </w:tr>
      <w:tr w14:paraId="1970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0F7FBFF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76" w:type="dxa"/>
            <w:vAlign w:val="center"/>
          </w:tcPr>
          <w:p w14:paraId="32F46E2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服务供应商选择</w:t>
            </w:r>
          </w:p>
        </w:tc>
        <w:tc>
          <w:tcPr>
            <w:tcW w:w="6569" w:type="dxa"/>
            <w:vAlign w:val="center"/>
          </w:tcPr>
          <w:p w14:paraId="6631A41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测评是否选择符合国家有关规定的安全服务单位进行相关的安全服务工作。</w:t>
            </w:r>
          </w:p>
        </w:tc>
      </w:tr>
    </w:tbl>
    <w:p w14:paraId="0CF909B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（十）安全运维管理</w:t>
      </w:r>
    </w:p>
    <w:p w14:paraId="48F7443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安全运维管理测评将通过访谈和检查的形式评测系统运维管理过程中的安全控制情况。主要涉及安全主管人员、安全管理人员、各类运维人员、各类管理制度、操作规程文件、执行过程记录等对象。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8"/>
        <w:gridCol w:w="1807"/>
        <w:gridCol w:w="6675"/>
      </w:tblGrid>
      <w:tr w14:paraId="0D86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2" w:hRule="atLeast"/>
          <w:tblHeader/>
          <w:jc w:val="center"/>
        </w:trPr>
        <w:tc>
          <w:tcPr>
            <w:tcW w:w="728" w:type="dxa"/>
            <w:shd w:val="clear" w:color="auto" w:fill="D9D9D9"/>
            <w:vAlign w:val="center"/>
          </w:tcPr>
          <w:p w14:paraId="5101DB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807" w:type="dxa"/>
            <w:shd w:val="clear" w:color="auto" w:fill="D9D9D9"/>
            <w:vAlign w:val="center"/>
          </w:tcPr>
          <w:p w14:paraId="4F4654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5" w:type="dxa"/>
            <w:shd w:val="clear" w:color="auto" w:fill="D9D9D9"/>
            <w:vAlign w:val="center"/>
          </w:tcPr>
          <w:p w14:paraId="582138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3C1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jc w:val="center"/>
        </w:trPr>
        <w:tc>
          <w:tcPr>
            <w:tcW w:w="728" w:type="dxa"/>
            <w:vAlign w:val="center"/>
          </w:tcPr>
          <w:p w14:paraId="75842D0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07" w:type="dxa"/>
            <w:vAlign w:val="center"/>
          </w:tcPr>
          <w:p w14:paraId="6ABFC07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环境管理</w:t>
            </w:r>
          </w:p>
        </w:tc>
        <w:tc>
          <w:tcPr>
            <w:tcW w:w="6675" w:type="dxa"/>
            <w:vAlign w:val="center"/>
          </w:tcPr>
          <w:p w14:paraId="5946FF6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测评是否采取必要的措施对机房的出入控制以及办公环境的人员行为等方面进行安全管理。</w:t>
            </w:r>
          </w:p>
        </w:tc>
      </w:tr>
      <w:tr w14:paraId="2719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0E84BAE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07" w:type="dxa"/>
            <w:vAlign w:val="center"/>
          </w:tcPr>
          <w:p w14:paraId="1503A8D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资产管理</w:t>
            </w:r>
          </w:p>
        </w:tc>
        <w:tc>
          <w:tcPr>
            <w:tcW w:w="6675" w:type="dxa"/>
            <w:vAlign w:val="center"/>
          </w:tcPr>
          <w:p w14:paraId="4870B69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测评是否采取必要的措施对系统的资产进行分类标识管理。</w:t>
            </w:r>
          </w:p>
        </w:tc>
      </w:tr>
      <w:tr w14:paraId="0FEC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1B9F1AD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07" w:type="dxa"/>
            <w:vAlign w:val="center"/>
          </w:tcPr>
          <w:p w14:paraId="41D6607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介质管理</w:t>
            </w:r>
          </w:p>
        </w:tc>
        <w:tc>
          <w:tcPr>
            <w:tcW w:w="6675" w:type="dxa"/>
            <w:vAlign w:val="center"/>
          </w:tcPr>
          <w:p w14:paraId="583F4FF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测评是否采取必要的措施对介质存放环境、使用、维护和销毁等方面进行管理。</w:t>
            </w:r>
          </w:p>
        </w:tc>
      </w:tr>
      <w:tr w14:paraId="6D2E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7131E41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07" w:type="dxa"/>
            <w:vAlign w:val="center"/>
          </w:tcPr>
          <w:p w14:paraId="22074C3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设备维护管理</w:t>
            </w:r>
          </w:p>
        </w:tc>
        <w:tc>
          <w:tcPr>
            <w:tcW w:w="6675" w:type="dxa"/>
            <w:vAlign w:val="center"/>
          </w:tcPr>
          <w:p w14:paraId="0D03FDD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测评是否采取必要的措施确保设备在使用、维护和销毁等过程安全。</w:t>
            </w:r>
          </w:p>
        </w:tc>
      </w:tr>
      <w:tr w14:paraId="058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4ED72B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07" w:type="dxa"/>
            <w:vAlign w:val="center"/>
          </w:tcPr>
          <w:p w14:paraId="4457571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漏洞和风险管理</w:t>
            </w:r>
          </w:p>
        </w:tc>
        <w:tc>
          <w:tcPr>
            <w:tcW w:w="6675" w:type="dxa"/>
            <w:vAlign w:val="center"/>
          </w:tcPr>
          <w:p w14:paraId="65B5AB9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测评是否采取必要的措施识别安全漏洞和隐患，对发现的安全漏洞和隐患及时进行修补。测评是否定期开展安全测评。</w:t>
            </w:r>
          </w:p>
        </w:tc>
      </w:tr>
      <w:tr w14:paraId="749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EC6208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07" w:type="dxa"/>
            <w:vAlign w:val="center"/>
          </w:tcPr>
          <w:p w14:paraId="51DBF30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网络和系统安全管理</w:t>
            </w:r>
          </w:p>
        </w:tc>
        <w:tc>
          <w:tcPr>
            <w:tcW w:w="6675" w:type="dxa"/>
            <w:vAlign w:val="center"/>
          </w:tcPr>
          <w:p w14:paraId="7E072EA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测评是否采取必要的措施对网络和系统的安全配置、系统账户、漏洞扫描和审计日志等方面进行有效的管理。</w:t>
            </w:r>
          </w:p>
        </w:tc>
      </w:tr>
      <w:tr w14:paraId="4A4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EC3910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07" w:type="dxa"/>
            <w:vAlign w:val="center"/>
          </w:tcPr>
          <w:p w14:paraId="1F9FE1E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恶意代码防范管理</w:t>
            </w:r>
          </w:p>
        </w:tc>
        <w:tc>
          <w:tcPr>
            <w:tcW w:w="6675" w:type="dxa"/>
            <w:vAlign w:val="center"/>
          </w:tcPr>
          <w:p w14:paraId="53AA60B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测评是否采取必要的措施对恶意代码进行有效管理，确保系统具有恶意代码防范能力。</w:t>
            </w:r>
          </w:p>
        </w:tc>
      </w:tr>
      <w:tr w14:paraId="7104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19E010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07" w:type="dxa"/>
            <w:vAlign w:val="center"/>
          </w:tcPr>
          <w:p w14:paraId="1599BA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配置管理</w:t>
            </w:r>
          </w:p>
        </w:tc>
        <w:tc>
          <w:tcPr>
            <w:tcW w:w="6675" w:type="dxa"/>
            <w:vAlign w:val="center"/>
          </w:tcPr>
          <w:p w14:paraId="459144A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测评是否记录和保存系统的基本配置信息</w:t>
            </w:r>
          </w:p>
        </w:tc>
      </w:tr>
      <w:tr w14:paraId="5861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BAE69D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07" w:type="dxa"/>
            <w:vAlign w:val="center"/>
          </w:tcPr>
          <w:p w14:paraId="4D1FE12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密码管理</w:t>
            </w:r>
          </w:p>
        </w:tc>
        <w:tc>
          <w:tcPr>
            <w:tcW w:w="6675" w:type="dxa"/>
            <w:vAlign w:val="center"/>
          </w:tcPr>
          <w:p w14:paraId="5B0E8DC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测评是否能够确保信息系统中密码算法和密钥的使用符合国家密码管理规定。</w:t>
            </w:r>
          </w:p>
        </w:tc>
      </w:tr>
      <w:tr w14:paraId="4C67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1742B0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07" w:type="dxa"/>
            <w:vAlign w:val="center"/>
          </w:tcPr>
          <w:p w14:paraId="00A2EE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变更管理</w:t>
            </w:r>
          </w:p>
        </w:tc>
        <w:tc>
          <w:tcPr>
            <w:tcW w:w="6675" w:type="dxa"/>
            <w:vAlign w:val="center"/>
          </w:tcPr>
          <w:p w14:paraId="05A9567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测评是否采取必要的措施对系统发生的变更进行有效管理。</w:t>
            </w:r>
          </w:p>
        </w:tc>
      </w:tr>
      <w:tr w14:paraId="1981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5931A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807" w:type="dxa"/>
            <w:vAlign w:val="center"/>
          </w:tcPr>
          <w:p w14:paraId="675B057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备份与恢复管理</w:t>
            </w:r>
          </w:p>
        </w:tc>
        <w:tc>
          <w:tcPr>
            <w:tcW w:w="6675" w:type="dxa"/>
            <w:vAlign w:val="center"/>
          </w:tcPr>
          <w:p w14:paraId="29ED8E8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测评是否采取必要的措施对重要业务信息，系统数据和系统软件进行备份，并确保必要时能够对这些数据有效地恢复。</w:t>
            </w:r>
          </w:p>
        </w:tc>
      </w:tr>
      <w:tr w14:paraId="4B9D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35F39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c>
          <w:tcPr>
            <w:tcW w:w="1807" w:type="dxa"/>
            <w:vAlign w:val="center"/>
          </w:tcPr>
          <w:p w14:paraId="173D431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安全事件处置</w:t>
            </w:r>
          </w:p>
        </w:tc>
        <w:tc>
          <w:tcPr>
            <w:tcW w:w="6675" w:type="dxa"/>
            <w:vAlign w:val="center"/>
          </w:tcPr>
          <w:p w14:paraId="2443799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测评是否采取必要的措施对安全事件进行等级划分和对安全事件的报告、处理过程进行有效的管理。</w:t>
            </w:r>
          </w:p>
        </w:tc>
      </w:tr>
      <w:tr w14:paraId="441B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681207D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w:t>
            </w:r>
          </w:p>
        </w:tc>
        <w:tc>
          <w:tcPr>
            <w:tcW w:w="1807" w:type="dxa"/>
            <w:vAlign w:val="center"/>
          </w:tcPr>
          <w:p w14:paraId="16C29B0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应急预案管理</w:t>
            </w:r>
          </w:p>
        </w:tc>
        <w:tc>
          <w:tcPr>
            <w:tcW w:w="6675" w:type="dxa"/>
            <w:vAlign w:val="center"/>
          </w:tcPr>
          <w:p w14:paraId="42C2BEB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测评是否针对不同安全事件制定相应的应急预案，是否对应急预案展开培训、演练和审查等。</w:t>
            </w:r>
          </w:p>
        </w:tc>
      </w:tr>
      <w:tr w14:paraId="592F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7604026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w:t>
            </w:r>
          </w:p>
        </w:tc>
        <w:tc>
          <w:tcPr>
            <w:tcW w:w="1807" w:type="dxa"/>
            <w:vAlign w:val="center"/>
          </w:tcPr>
          <w:p w14:paraId="12DD1A3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外包运维管理</w:t>
            </w:r>
          </w:p>
        </w:tc>
        <w:tc>
          <w:tcPr>
            <w:tcW w:w="6675" w:type="dxa"/>
            <w:vAlign w:val="center"/>
          </w:tcPr>
          <w:p w14:paraId="4742652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测评外包运维服务商的选择是否符合国家的有关规定并签订相关协议。</w:t>
            </w:r>
          </w:p>
        </w:tc>
      </w:tr>
    </w:tbl>
    <w:p w14:paraId="05EE23D5">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2.6项目管理</w:t>
      </w:r>
    </w:p>
    <w:p w14:paraId="1BE144B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供应商必须提供完整的项目管理方案，供应商需要针对以下项目管理要求进行项目管理服务要求进行承诺，未提供项目管理服务承诺为无效供应商。</w:t>
      </w:r>
    </w:p>
    <w:p w14:paraId="2C1541D9">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（1）供应商及其测评人员应当严格执行有关国家信息安全等级保护相关标准和有关规定，提供客观、公平、公正、有效的等级保护测评服务，并承担相应的法律责任；</w:t>
      </w:r>
    </w:p>
    <w:p w14:paraId="468BEBDC">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（2）应具备能够保证其公正性、独立性的质量体系，确保测评活动不受任何可能影响测评结果的商业、财务、健康、环境等方面的压力；</w:t>
      </w:r>
    </w:p>
    <w:p w14:paraId="00E44273">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供应商在对被测评单位开展等级保护测评服务之前需与被测评单位签订保密协议，测评过程中向被测评单位借阅的文档资料应在测评工作结束后全部归还被测评单位，未经被测评单位允许，不得擅自复制、保留；</w:t>
      </w:r>
    </w:p>
    <w:p w14:paraId="4FD5DBFD">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（4）供应商的岗位配置要至少配置测评师、项目经理、渗透工程师、质量主管等并明确各个岗位的相关职责。</w:t>
      </w:r>
    </w:p>
    <w:p w14:paraId="5A656B2D">
      <w:pPr>
        <w:pageBreakBefore w:val="0"/>
        <w:kinsoku/>
        <w:wordWrap/>
        <w:overflowPunct/>
        <w:topLinePunct w:val="0"/>
        <w:bidi w:val="0"/>
        <w:spacing w:line="580" w:lineRule="exact"/>
        <w:ind w:left="420" w:left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（5）测评工具要求</w:t>
      </w:r>
    </w:p>
    <w:p w14:paraId="7FCD82B9">
      <w:pPr>
        <w:pageBreakBefore w:val="0"/>
        <w:kinsoku/>
        <w:wordWrap/>
        <w:overflowPunct/>
        <w:topLinePunct w:val="0"/>
        <w:bidi w:val="0"/>
        <w:spacing w:line="580" w:lineRule="exact"/>
        <w:ind w:left="420" w:leftChars="200" w:firstLine="320"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①采用的测评工具必须获得正版授权，并在有效期内，不得使用盗版软件；</w:t>
      </w:r>
    </w:p>
    <w:p w14:paraId="0A1CEA32">
      <w:pPr>
        <w:pageBreakBefore w:val="0"/>
        <w:kinsoku/>
        <w:wordWrap/>
        <w:overflowPunct/>
        <w:topLinePunct w:val="0"/>
        <w:bidi w:val="0"/>
        <w:spacing w:line="580" w:lineRule="exact"/>
        <w:ind w:firstLine="960" w:firstLineChars="3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②采用的测评工具在功能、性能等满足使用要求前提下，应优先采用具有国内自主知识产权的同类产品；</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③采用的测评工具的生产商应为正规厂商，能够对产品进行持续更新并提供质量和安全保障</w:t>
      </w:r>
      <w:r>
        <w:rPr>
          <w:rFonts w:hint="eastAsia" w:eastAsia="仿宋_GB2312" w:cs="Times New Roman"/>
          <w:color w:val="auto"/>
          <w:sz w:val="32"/>
          <w:szCs w:val="32"/>
          <w:highlight w:val="none"/>
          <w:lang w:eastAsia="zh-CN"/>
        </w:rPr>
        <w:t>。</w:t>
      </w:r>
    </w:p>
    <w:p w14:paraId="125144BA">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2.7交付产物</w:t>
      </w:r>
    </w:p>
    <w:p w14:paraId="52C64EC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包括但不仅限于以下资料：</w:t>
      </w:r>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086"/>
      </w:tblGrid>
      <w:tr w14:paraId="4E26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7" w:type="pct"/>
            <w:vAlign w:val="center"/>
          </w:tcPr>
          <w:p w14:paraId="1CC87BB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4462" w:type="pct"/>
            <w:vAlign w:val="center"/>
          </w:tcPr>
          <w:p w14:paraId="523ECC0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网络安全等级保护测评报告（包含整改建议）</w:t>
            </w:r>
          </w:p>
        </w:tc>
      </w:tr>
      <w:tr w14:paraId="597F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7" w:type="pct"/>
            <w:vAlign w:val="center"/>
          </w:tcPr>
          <w:p w14:paraId="2D00CA8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4462" w:type="pct"/>
            <w:vAlign w:val="center"/>
          </w:tcPr>
          <w:p w14:paraId="1265767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其他未列入的应交资料</w:t>
            </w:r>
          </w:p>
        </w:tc>
      </w:tr>
    </w:tbl>
    <w:p w14:paraId="6B1C9B86">
      <w:pPr>
        <w:pStyle w:val="4"/>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★三、商务要求</w:t>
      </w:r>
      <w:bookmarkEnd w:id="14"/>
      <w:bookmarkEnd w:id="15"/>
    </w:p>
    <w:p w14:paraId="710EEF4D">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43875EB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1、服务期限：自合同签订之日起365日。</w:t>
      </w:r>
    </w:p>
    <w:p w14:paraId="3B494FD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2、项目地点：四川省政府政务服务和公共资源交易服务中心。</w:t>
      </w:r>
    </w:p>
    <w:p w14:paraId="0689089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3、项目预算：32万</w:t>
      </w:r>
    </w:p>
    <w:p w14:paraId="521BF4C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b/>
          <w:bCs/>
          <w:color w:val="auto"/>
          <w:sz w:val="32"/>
          <w:szCs w:val="32"/>
          <w:highlight w:val="none"/>
        </w:rPr>
        <w:t>供应商所提供的报价须包含实施服务过程中和采购文件规定的所有费用。</w:t>
      </w:r>
    </w:p>
    <w:p w14:paraId="158B5C2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5、支付方式：</w:t>
      </w:r>
    </w:p>
    <w:p w14:paraId="1E5B0B6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签订合同后且采购人收到成交供应商开具的正规等额增值税发票后10个工作日内支付合同金额的</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0%；测评工作完成，成交供应商出具测评报告，经采购人认可且采购人收到成交供应商开具的正规等额增值税发票后10个工作日内，付合同金额的</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w:t>
      </w:r>
    </w:p>
    <w:p w14:paraId="25D2247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6、验收标准和方法：</w:t>
      </w:r>
    </w:p>
    <w:p w14:paraId="09CE019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项目采购人或委托的采购代理机构将严格按照政府采购相关法律法规、《财政部关于进一步加强政府采购需求和履约验收管理的指导意见》（财库〔2016〕205号）、《关于印发〈政府采购需求管理办法〉的通知》（财库（2021）22号）及国家现行有关标准及</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文件、响应文件和采购人要求进行验收。</w:t>
      </w:r>
    </w:p>
    <w:p w14:paraId="29A4F3CF">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382A158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1、服务期限：自合同签订之日起365日。</w:t>
      </w:r>
    </w:p>
    <w:p w14:paraId="4189BBC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2、项目地点：四川省政府政务服务和公共资源交易服务中心。</w:t>
      </w:r>
    </w:p>
    <w:p w14:paraId="5BF4CCC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3、项目预算：8万</w:t>
      </w:r>
    </w:p>
    <w:p w14:paraId="5960DD3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b/>
          <w:bCs/>
          <w:color w:val="auto"/>
          <w:sz w:val="32"/>
          <w:szCs w:val="32"/>
          <w:highlight w:val="none"/>
        </w:rPr>
        <w:t>供应商所提供的报价须包含实施服务过程中和采购文件规定的所有费用。</w:t>
      </w:r>
    </w:p>
    <w:p w14:paraId="74124DA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5、支付方式：</w:t>
      </w:r>
    </w:p>
    <w:p w14:paraId="7D3B04D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签订合同后且采购人收到成交供应商开具的正规等额增值税发票后10个工作日内支付合同金额的</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0%；测评工作完成，成交供应商出具测评报告，经采购人认可且采购人收到成交供应商开具的正规等额增值税发票后10个工作日内，付合同金额的</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w:t>
      </w:r>
    </w:p>
    <w:p w14:paraId="5C35BD6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6、验收标准和方法：</w:t>
      </w:r>
    </w:p>
    <w:p w14:paraId="1C9FE861">
      <w:pPr>
        <w:pStyle w:val="3"/>
        <w:pageBreakBefore w:val="0"/>
        <w:kinsoku/>
        <w:wordWrap/>
        <w:overflowPunct/>
        <w:topLinePunct w:val="0"/>
        <w:bidi w:val="0"/>
        <w:spacing w:before="0" w:after="0" w:line="580" w:lineRule="exact"/>
        <w:ind w:left="0" w:leftChars="0" w:right="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本项目采购人或委托的采购代理机构将严格按照政府采购相关法律法规、《财政部关于进一步加强政府采购需求和履约验收管理的指导意见》（财库〔2016〕205号）、《关于印发〈政府采购需求管理办法〉的通知》（财库（2021）22号）及国家现行有关标准及</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文件、响应文件和采购人要求进行验收。</w:t>
      </w:r>
    </w:p>
    <w:p w14:paraId="7D300CDD">
      <w:pPr>
        <w:pageBreakBefore w:val="0"/>
        <w:kinsoku/>
        <w:wordWrap/>
        <w:overflowPunct/>
        <w:topLinePunct w:val="0"/>
        <w:bidi w:val="0"/>
        <w:spacing w:line="580" w:lineRule="exact"/>
        <w:textAlignment w:val="auto"/>
        <w:rPr>
          <w:rFonts w:hint="default" w:ascii="Times New Roman" w:hAnsi="Times New Roman" w:cs="Times New Roman"/>
          <w:color w:val="auto"/>
          <w:highlight w:val="none"/>
        </w:rPr>
      </w:pPr>
    </w:p>
    <w:p w14:paraId="676420E6">
      <w:pPr>
        <w:pageBreakBefore w:val="0"/>
        <w:kinsoku/>
        <w:wordWrap/>
        <w:overflowPunct/>
        <w:topLinePunct w:val="0"/>
        <w:bidi w:val="0"/>
        <w:spacing w:line="580" w:lineRule="exac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14:paraId="7A9BE3BD">
      <w:pPr>
        <w:pStyle w:val="3"/>
        <w:pageBreakBefore w:val="0"/>
        <w:kinsoku/>
        <w:wordWrap/>
        <w:overflowPunct/>
        <w:topLinePunct w:val="0"/>
        <w:bidi w:val="0"/>
        <w:spacing w:before="0" w:after="0" w:line="580" w:lineRule="exact"/>
        <w:ind w:left="0" w:leftChars="0" w:right="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第三章  评审办法</w:t>
      </w:r>
      <w:bookmarkEnd w:id="10"/>
      <w:bookmarkEnd w:id="11"/>
      <w:r>
        <w:rPr>
          <w:rFonts w:hint="default" w:ascii="Times New Roman" w:hAnsi="Times New Roman" w:eastAsia="仿宋_GB2312" w:cs="Times New Roman"/>
          <w:b/>
          <w:color w:val="auto"/>
          <w:sz w:val="32"/>
          <w:szCs w:val="32"/>
          <w:highlight w:val="none"/>
        </w:rPr>
        <w:t>（综合评分法）</w:t>
      </w:r>
      <w:bookmarkEnd w:id="12"/>
    </w:p>
    <w:p w14:paraId="00D999D7">
      <w:pPr>
        <w:pStyle w:val="4"/>
        <w:pageBreakBefore w:val="0"/>
        <w:kinsoku/>
        <w:wordWrap/>
        <w:overflowPunct/>
        <w:topLinePunct w:val="0"/>
        <w:bidi w:val="0"/>
        <w:spacing w:before="0" w:after="0" w:line="580" w:lineRule="exact"/>
        <w:ind w:left="0" w:leftChars="0" w:right="0" w:firstLine="643" w:firstLineChars="200"/>
        <w:textAlignment w:val="auto"/>
        <w:rPr>
          <w:rFonts w:hint="default" w:ascii="Times New Roman" w:hAnsi="Times New Roman" w:eastAsia="仿宋_GB2312" w:cs="Times New Roman"/>
          <w:b/>
          <w:color w:val="auto"/>
          <w:sz w:val="32"/>
          <w:highlight w:val="none"/>
        </w:rPr>
      </w:pPr>
      <w:bookmarkStart w:id="94" w:name="_Toc385507152"/>
      <w:bookmarkStart w:id="95" w:name="_Toc468808809"/>
      <w:bookmarkStart w:id="96" w:name="_Toc378497710"/>
      <w:bookmarkStart w:id="97" w:name="_Toc406313792"/>
      <w:bookmarkStart w:id="98" w:name="_Toc227057964"/>
      <w:bookmarkStart w:id="99" w:name="_Toc396318580"/>
      <w:bookmarkStart w:id="100" w:name="_Toc226969358"/>
      <w:bookmarkStart w:id="101" w:name="_Toc406413564"/>
      <w:bookmarkStart w:id="102" w:name="_Toc227057965"/>
      <w:bookmarkStart w:id="103" w:name="_Toc107822557"/>
      <w:bookmarkStart w:id="104" w:name="_Toc226969359"/>
    </w:p>
    <w:p w14:paraId="5495F231">
      <w:pPr>
        <w:pStyle w:val="4"/>
        <w:pageBreakBefore w:val="0"/>
        <w:kinsoku/>
        <w:wordWrap/>
        <w:overflowPunct/>
        <w:topLinePunct w:val="0"/>
        <w:bidi w:val="0"/>
        <w:spacing w:before="0" w:after="0" w:line="580" w:lineRule="exact"/>
        <w:ind w:left="0" w:leftChars="0" w:right="0" w:firstLine="643" w:firstLineChars="200"/>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3.</w:t>
      </w:r>
      <w:r>
        <w:rPr>
          <w:rFonts w:hint="default" w:ascii="Times New Roman" w:hAnsi="Times New Roman" w:eastAsia="仿宋_GB2312" w:cs="Times New Roman"/>
          <w:b/>
          <w:color w:val="auto"/>
          <w:sz w:val="32"/>
          <w:highlight w:val="none"/>
          <w:lang w:val="en-US" w:eastAsia="zh-CN"/>
        </w:rPr>
        <w:t>1</w:t>
      </w:r>
      <w:r>
        <w:rPr>
          <w:rFonts w:hint="default" w:ascii="Times New Roman" w:hAnsi="Times New Roman" w:eastAsia="仿宋_GB2312" w:cs="Times New Roman"/>
          <w:b/>
          <w:color w:val="auto"/>
          <w:sz w:val="32"/>
          <w:highlight w:val="none"/>
        </w:rPr>
        <w:t>评审的量化因素及权重比值</w:t>
      </w:r>
      <w:bookmarkEnd w:id="94"/>
      <w:bookmarkEnd w:id="95"/>
      <w:bookmarkEnd w:id="96"/>
      <w:bookmarkEnd w:id="97"/>
      <w:bookmarkEnd w:id="98"/>
      <w:bookmarkEnd w:id="99"/>
      <w:bookmarkEnd w:id="100"/>
      <w:bookmarkEnd w:id="101"/>
    </w:p>
    <w:p w14:paraId="4B4DF435">
      <w:pPr>
        <w:pStyle w:val="4"/>
        <w:pageBreakBefore w:val="0"/>
        <w:kinsoku/>
        <w:wordWrap/>
        <w:overflowPunct/>
        <w:topLinePunct w:val="0"/>
        <w:bidi w:val="0"/>
        <w:spacing w:before="0" w:after="0"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详见评分标准</w:t>
      </w:r>
    </w:p>
    <w:p w14:paraId="059C4C56">
      <w:pPr>
        <w:pStyle w:val="4"/>
        <w:pageBreakBefore w:val="0"/>
        <w:kinsoku/>
        <w:wordWrap/>
        <w:overflowPunct/>
        <w:topLinePunct w:val="0"/>
        <w:bidi w:val="0"/>
        <w:spacing w:before="0" w:after="0" w:line="580" w:lineRule="exact"/>
        <w:ind w:left="0" w:leftChars="0" w:right="0" w:firstLine="643" w:firstLineChars="200"/>
        <w:textAlignment w:val="auto"/>
        <w:rPr>
          <w:rFonts w:hint="default" w:ascii="Times New Roman" w:hAnsi="Times New Roman" w:eastAsia="仿宋_GB2312" w:cs="Times New Roman"/>
          <w:b/>
          <w:color w:val="auto"/>
          <w:sz w:val="32"/>
          <w:highlight w:val="none"/>
        </w:rPr>
      </w:pPr>
      <w:bookmarkStart w:id="105" w:name="_Toc468808810"/>
      <w:r>
        <w:rPr>
          <w:rFonts w:hint="default" w:ascii="Times New Roman" w:hAnsi="Times New Roman" w:eastAsia="仿宋_GB2312" w:cs="Times New Roman"/>
          <w:b/>
          <w:bCs w:val="0"/>
          <w:color w:val="auto"/>
          <w:sz w:val="32"/>
          <w:highlight w:val="none"/>
        </w:rPr>
        <w:t>3.</w:t>
      </w:r>
      <w:r>
        <w:rPr>
          <w:rFonts w:hint="default" w:ascii="Times New Roman" w:hAnsi="Times New Roman" w:eastAsia="仿宋_GB2312" w:cs="Times New Roman"/>
          <w:b/>
          <w:bCs w:val="0"/>
          <w:color w:val="auto"/>
          <w:sz w:val="32"/>
          <w:highlight w:val="none"/>
          <w:lang w:val="en-US" w:eastAsia="zh-CN"/>
        </w:rPr>
        <w:t>2</w:t>
      </w:r>
      <w:r>
        <w:rPr>
          <w:rFonts w:hint="default" w:ascii="Times New Roman" w:hAnsi="Times New Roman" w:eastAsia="仿宋_GB2312" w:cs="Times New Roman"/>
          <w:b/>
          <w:bCs w:val="0"/>
          <w:color w:val="auto"/>
          <w:sz w:val="32"/>
          <w:highlight w:val="none"/>
        </w:rPr>
        <w:t xml:space="preserve"> </w:t>
      </w:r>
      <w:bookmarkStart w:id="106" w:name="_Toc229558393"/>
      <w:bookmarkStart w:id="107" w:name="_Toc420655597"/>
      <w:bookmarkStart w:id="108" w:name="_Toc263964481"/>
      <w:bookmarkStart w:id="109" w:name="_Toc263963173"/>
      <w:bookmarkStart w:id="110" w:name="_Toc319905129"/>
      <w:bookmarkStart w:id="111" w:name="_Toc196153694"/>
      <w:bookmarkStart w:id="112" w:name="_Toc197247444"/>
      <w:bookmarkStart w:id="113" w:name="_Toc196153992"/>
      <w:bookmarkStart w:id="114" w:name="_Toc400970099"/>
      <w:bookmarkStart w:id="115" w:name="_Toc408249246"/>
      <w:bookmarkStart w:id="116" w:name="_Toc196153893"/>
      <w:bookmarkStart w:id="117" w:name="_Toc263964579"/>
      <w:bookmarkStart w:id="118" w:name="_Toc224619345"/>
      <w:bookmarkStart w:id="119" w:name="_Toc193268467"/>
      <w:bookmarkStart w:id="120" w:name="_Toc192354826"/>
      <w:r>
        <w:rPr>
          <w:rFonts w:hint="default" w:ascii="Times New Roman" w:hAnsi="Times New Roman" w:eastAsia="仿宋_GB2312" w:cs="Times New Roman"/>
          <w:b/>
          <w:color w:val="auto"/>
          <w:sz w:val="32"/>
          <w:highlight w:val="none"/>
        </w:rPr>
        <w:t>评审方法</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21" w:name="_Toc196153993"/>
      <w:bookmarkStart w:id="122" w:name="_Toc196153894"/>
      <w:bookmarkStart w:id="123" w:name="_Toc196153695"/>
    </w:p>
    <w:p w14:paraId="5E029EA6">
      <w:pPr>
        <w:pStyle w:val="53"/>
        <w:pageBreakBefore w:val="0"/>
        <w:kinsoku/>
        <w:wordWrap/>
        <w:overflowPunct/>
        <w:topLinePunct w:val="0"/>
        <w:bidi w:val="0"/>
        <w:spacing w:after="0" w:line="580" w:lineRule="exact"/>
        <w:ind w:left="0" w:leftChars="0" w:righ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综合评分法</w:t>
      </w:r>
    </w:p>
    <w:p w14:paraId="29B2272E">
      <w:pPr>
        <w:pageBreakBefore w:val="0"/>
        <w:kinsoku/>
        <w:wordWrap/>
        <w:overflowPunct/>
        <w:topLinePunct w:val="0"/>
        <w:bidi w:val="0"/>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bookmarkStart w:id="124" w:name="_Toc263964482"/>
      <w:bookmarkStart w:id="125" w:name="_Toc408249247"/>
      <w:bookmarkStart w:id="126" w:name="_Toc400970100"/>
      <w:bookmarkStart w:id="127" w:name="_Toc197247445"/>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比选响应</w:t>
      </w:r>
      <w:r>
        <w:rPr>
          <w:rFonts w:hint="default" w:ascii="Times New Roman" w:hAnsi="Times New Roman" w:eastAsia="仿宋_GB2312" w:cs="Times New Roman"/>
          <w:b/>
          <w:color w:val="auto"/>
          <w:sz w:val="32"/>
          <w:szCs w:val="32"/>
          <w:highlight w:val="none"/>
        </w:rPr>
        <w:t>文件的初步评审</w:t>
      </w:r>
      <w:bookmarkEnd w:id="119"/>
      <w:bookmarkEnd w:id="120"/>
      <w:bookmarkEnd w:id="121"/>
      <w:bookmarkEnd w:id="122"/>
      <w:bookmarkEnd w:id="123"/>
      <w:bookmarkEnd w:id="124"/>
      <w:bookmarkEnd w:id="125"/>
      <w:bookmarkEnd w:id="126"/>
      <w:bookmarkEnd w:id="127"/>
    </w:p>
    <w:p w14:paraId="294794D4">
      <w:pPr>
        <w:pageBreakBefore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如发现下列情况之一的，将被</w:t>
      </w:r>
      <w:r>
        <w:rPr>
          <w:rFonts w:hint="default" w:ascii="Times New Roman" w:hAnsi="Times New Roman" w:eastAsia="仿宋_GB2312" w:cs="Times New Roman"/>
          <w:color w:val="auto"/>
          <w:sz w:val="32"/>
          <w:szCs w:val="32"/>
          <w:highlight w:val="none"/>
        </w:rPr>
        <w:t>评审小组</w:t>
      </w:r>
      <w:r>
        <w:rPr>
          <w:rFonts w:hint="default" w:ascii="Times New Roman" w:hAnsi="Times New Roman" w:eastAsia="仿宋_GB2312" w:cs="Times New Roman"/>
          <w:bCs/>
          <w:color w:val="auto"/>
          <w:sz w:val="32"/>
          <w:szCs w:val="32"/>
          <w:highlight w:val="none"/>
        </w:rPr>
        <w:t>否决：</w:t>
      </w:r>
    </w:p>
    <w:p w14:paraId="496B7A20">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响应</w:t>
      </w:r>
      <w:r>
        <w:rPr>
          <w:rFonts w:hint="default" w:ascii="Times New Roman" w:hAnsi="Times New Roman" w:eastAsia="仿宋_GB2312" w:cs="Times New Roman"/>
          <w:color w:val="auto"/>
          <w:sz w:val="32"/>
          <w:szCs w:val="32"/>
          <w:highlight w:val="none"/>
        </w:rPr>
        <w:t>文件未按</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文件要求进行签署、盖章的；</w:t>
      </w:r>
    </w:p>
    <w:p w14:paraId="316D411A">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（2）资格证明文件不全的；</w:t>
      </w:r>
    </w:p>
    <w:p w14:paraId="4D2A1BFC">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（3）同一</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提交两个以上不同的</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或者报价，以及</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没有提交报价的；</w:t>
      </w:r>
    </w:p>
    <w:p w14:paraId="7282689C">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载明的招标项目完成期限超过</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规定的期限；</w:t>
      </w:r>
    </w:p>
    <w:p w14:paraId="66928AC6">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（5）经评审小组认定</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的报价低于成本价形成恶性竞争的；</w:t>
      </w:r>
    </w:p>
    <w:p w14:paraId="3C9B9771">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（6）明显不符合</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服务标准的要求；</w:t>
      </w:r>
    </w:p>
    <w:p w14:paraId="74D87200">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附有采购人不能接受的条件；</w:t>
      </w:r>
    </w:p>
    <w:p w14:paraId="0F8FCB2D">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（8）报价超过</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规定的限价；</w:t>
      </w:r>
    </w:p>
    <w:p w14:paraId="5A14779E">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（9）其他不符合</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实质性要求及法律、法规规定的其他情形。</w:t>
      </w:r>
    </w:p>
    <w:p w14:paraId="613CDD1E">
      <w:pPr>
        <w:pageBreakBefore w:val="0"/>
        <w:kinsoku/>
        <w:wordWrap/>
        <w:overflowPunct/>
        <w:topLinePunct w:val="0"/>
        <w:bidi w:val="0"/>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bookmarkStart w:id="128" w:name="_Toc263964483"/>
      <w:bookmarkStart w:id="129" w:name="_Toc196153994"/>
      <w:bookmarkStart w:id="130" w:name="_Toc196153696"/>
      <w:bookmarkStart w:id="131" w:name="_Toc192354827"/>
      <w:bookmarkStart w:id="132" w:name="_Toc408249248"/>
      <w:bookmarkStart w:id="133" w:name="_Toc196153895"/>
      <w:bookmarkStart w:id="134" w:name="_Toc193268468"/>
      <w:bookmarkStart w:id="135" w:name="_Toc400970101"/>
      <w:bookmarkStart w:id="136" w:name="_Toc197247446"/>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.2 报价计算错误的修正原则</w:t>
      </w:r>
      <w:bookmarkEnd w:id="128"/>
      <w:bookmarkEnd w:id="129"/>
      <w:bookmarkEnd w:id="130"/>
      <w:bookmarkEnd w:id="131"/>
      <w:bookmarkEnd w:id="132"/>
      <w:bookmarkEnd w:id="133"/>
      <w:bookmarkEnd w:id="134"/>
      <w:bookmarkEnd w:id="135"/>
      <w:bookmarkEnd w:id="136"/>
    </w:p>
    <w:p w14:paraId="2049BD79">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评审小组将对确定为实质上响应</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要求的</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进行校核，看其是否有计算上或汇总上的算术错误，修正错误的原则如下：</w:t>
      </w:r>
    </w:p>
    <w:p w14:paraId="18907CC2">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中的大写金额与小写金额不一致的，以大写金额为准</w:t>
      </w:r>
      <w:r>
        <w:rPr>
          <w:rFonts w:hint="default" w:ascii="Times New Roman" w:hAnsi="Times New Roman" w:eastAsia="仿宋_GB2312" w:cs="Times New Roman"/>
          <w:color w:val="auto"/>
          <w:sz w:val="32"/>
          <w:szCs w:val="32"/>
          <w:highlight w:val="none"/>
          <w:lang w:eastAsia="zh-CN"/>
        </w:rPr>
        <w:t>。</w:t>
      </w:r>
    </w:p>
    <w:p w14:paraId="58462D20">
      <w:pPr>
        <w:pageBreakBefore w:val="0"/>
        <w:kinsoku/>
        <w:wordWrap/>
        <w:overflowPunct/>
        <w:topLinePunct w:val="0"/>
        <w:bidi w:val="0"/>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bookmarkStart w:id="137" w:name="_Toc196153896"/>
      <w:bookmarkStart w:id="138" w:name="_Toc192354828"/>
      <w:bookmarkStart w:id="139" w:name="_Toc197247447"/>
      <w:bookmarkStart w:id="140" w:name="_Toc408249249"/>
      <w:bookmarkStart w:id="141" w:name="_Toc193268469"/>
      <w:bookmarkStart w:id="142" w:name="_Toc400970102"/>
      <w:bookmarkStart w:id="143" w:name="_Toc196153697"/>
      <w:bookmarkStart w:id="144" w:name="_Toc196153995"/>
      <w:bookmarkStart w:id="145" w:name="_Toc263964484"/>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.3 详细评审</w:t>
      </w:r>
      <w:bookmarkEnd w:id="137"/>
      <w:bookmarkEnd w:id="138"/>
      <w:bookmarkEnd w:id="139"/>
      <w:bookmarkEnd w:id="140"/>
      <w:bookmarkEnd w:id="141"/>
      <w:bookmarkEnd w:id="142"/>
      <w:bookmarkEnd w:id="143"/>
      <w:bookmarkEnd w:id="144"/>
      <w:bookmarkEnd w:id="145"/>
    </w:p>
    <w:p w14:paraId="6AE68740">
      <w:pPr>
        <w:pStyle w:val="3"/>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bookmarkStart w:id="146" w:name="_Toc522005482"/>
      <w:bookmarkStart w:id="147" w:name="_Toc32405690"/>
      <w:bookmarkStart w:id="148" w:name="_Toc13129"/>
      <w:bookmarkStart w:id="149" w:name="_Toc32482816"/>
      <w:bookmarkStart w:id="150" w:name="_Toc32404463"/>
      <w:r>
        <w:rPr>
          <w:rFonts w:hint="default" w:ascii="Times New Roman" w:hAnsi="Times New Roman" w:eastAsia="仿宋_GB2312" w:cs="Times New Roman"/>
          <w:bCs w:val="0"/>
          <w:color w:val="auto"/>
          <w:kern w:val="2"/>
          <w:sz w:val="32"/>
          <w:szCs w:val="32"/>
          <w:highlight w:val="none"/>
          <w:lang w:val="en-US" w:eastAsia="zh-CN" w:bidi="ar-SA"/>
        </w:rPr>
        <w:t>（一）评选办法</w:t>
      </w:r>
      <w:bookmarkEnd w:id="146"/>
      <w:bookmarkEnd w:id="147"/>
      <w:bookmarkEnd w:id="148"/>
      <w:bookmarkEnd w:id="149"/>
      <w:bookmarkEnd w:id="150"/>
    </w:p>
    <w:p w14:paraId="3A523855">
      <w:pPr>
        <w:pStyle w:val="27"/>
        <w:keepNext w:val="0"/>
        <w:keepLines w:val="0"/>
        <w:pageBreakBefore w:val="0"/>
        <w:widowControl w:val="0"/>
        <w:kinsoku/>
        <w:wordWrap/>
        <w:overflowPunct/>
        <w:topLinePunct w:val="0"/>
        <w:autoSpaceDE/>
        <w:autoSpaceDN/>
        <w:bidi w:val="0"/>
        <w:adjustRightInd/>
        <w:snapToGrid/>
        <w:spacing w:line="580" w:lineRule="exact"/>
        <w:ind w:firstLine="614" w:firstLineChars="192"/>
        <w:textAlignment w:val="auto"/>
        <w:rPr>
          <w:rFonts w:hint="default" w:ascii="Times New Roman" w:hAnsi="Times New Roman" w:eastAsia="仿宋_GB2312" w:cs="Times New Roman"/>
          <w:bCs w:val="0"/>
          <w:color w:val="auto"/>
          <w:kern w:val="2"/>
          <w:sz w:val="32"/>
          <w:szCs w:val="32"/>
          <w:highlight w:val="none"/>
          <w:lang w:val="en-US" w:eastAsia="zh-CN" w:bidi="ar-SA"/>
        </w:rPr>
      </w:pPr>
      <w:bookmarkStart w:id="151" w:name="_Toc261857581"/>
      <w:bookmarkEnd w:id="151"/>
      <w:bookmarkStart w:id="152" w:name="_Toc261857531"/>
      <w:bookmarkEnd w:id="152"/>
      <w:bookmarkStart w:id="153" w:name="_Toc261857568"/>
      <w:bookmarkEnd w:id="153"/>
      <w:bookmarkStart w:id="154" w:name="_Toc261857544"/>
      <w:bookmarkEnd w:id="154"/>
      <w:bookmarkStart w:id="155" w:name="_Toc261857587"/>
      <w:bookmarkEnd w:id="155"/>
      <w:bookmarkStart w:id="156" w:name="_Toc261857550"/>
      <w:bookmarkEnd w:id="156"/>
      <w:bookmarkStart w:id="157" w:name="_Toc261857556"/>
      <w:bookmarkEnd w:id="157"/>
      <w:r>
        <w:rPr>
          <w:rFonts w:hint="default" w:ascii="Times New Roman" w:hAnsi="Times New Roman" w:eastAsia="仿宋_GB2312" w:cs="Times New Roman"/>
          <w:bCs w:val="0"/>
          <w:color w:val="auto"/>
          <w:kern w:val="2"/>
          <w:sz w:val="32"/>
          <w:szCs w:val="32"/>
          <w:highlight w:val="none"/>
          <w:lang w:val="en-US" w:eastAsia="zh-CN" w:bidi="ar-SA"/>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14:paraId="7C2F26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Cs w:val="0"/>
          <w:color w:val="auto"/>
          <w:kern w:val="2"/>
          <w:sz w:val="32"/>
          <w:szCs w:val="32"/>
          <w:highlight w:val="none"/>
          <w:lang w:val="en-US" w:eastAsia="zh-CN" w:bidi="ar-SA"/>
        </w:rPr>
        <w:t>评审时，委员会各成员应当独立对每个有效参选的文件进行评价、打分，然后汇总每个比选申请人每项评分因素的得分。最终得分最高者即为中标人。</w:t>
      </w:r>
    </w:p>
    <w:p w14:paraId="1ACB38AF">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评分标准</w:t>
      </w:r>
    </w:p>
    <w:p w14:paraId="5DCAD067">
      <w:pPr>
        <w:pStyle w:val="7"/>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采购包1：</w:t>
      </w:r>
    </w:p>
    <w:p w14:paraId="36E593C1">
      <w:pPr>
        <w:rPr>
          <w:rFonts w:hint="default" w:ascii="Times New Roman" w:hAnsi="Times New Roman" w:cs="Times New Roman"/>
          <w:color w:val="auto"/>
          <w:highlight w:val="none"/>
          <w:lang w:val="en-US" w:eastAsia="zh-CN"/>
        </w:rPr>
      </w:pPr>
    </w:p>
    <w:bookmarkEnd w:id="102"/>
    <w:bookmarkEnd w:id="103"/>
    <w:bookmarkEnd w:id="104"/>
    <w:tbl>
      <w:tblPr>
        <w:tblStyle w:val="55"/>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183"/>
        <w:gridCol w:w="992"/>
        <w:gridCol w:w="6226"/>
        <w:gridCol w:w="1152"/>
      </w:tblGrid>
      <w:tr w14:paraId="12F0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vAlign w:val="center"/>
          </w:tcPr>
          <w:p w14:paraId="260B6410">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bookmarkStart w:id="158" w:name="OLE_LINK1"/>
            <w:bookmarkStart w:id="159" w:name="OLE_LINK2"/>
            <w:bookmarkStart w:id="160" w:name="_Toc468808812"/>
            <w:bookmarkStart w:id="161" w:name="_Toc227057966"/>
            <w:bookmarkStart w:id="162" w:name="_Toc226969360"/>
            <w:bookmarkStart w:id="163" w:name="_Toc488655907"/>
            <w:bookmarkStart w:id="164" w:name="_Toc107822558"/>
            <w:r>
              <w:rPr>
                <w:rFonts w:hint="default" w:ascii="Times New Roman" w:hAnsi="Times New Roman" w:eastAsia="仿宋_GB2312" w:cs="Times New Roman"/>
                <w:color w:val="auto"/>
                <w:sz w:val="28"/>
                <w:szCs w:val="28"/>
                <w:highlight w:val="none"/>
              </w:rPr>
              <w:t>序号</w:t>
            </w:r>
          </w:p>
        </w:tc>
        <w:tc>
          <w:tcPr>
            <w:tcW w:w="1183" w:type="dxa"/>
            <w:vAlign w:val="center"/>
          </w:tcPr>
          <w:p w14:paraId="1E0A702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评分因素及权重</w:t>
            </w:r>
          </w:p>
        </w:tc>
        <w:tc>
          <w:tcPr>
            <w:tcW w:w="992" w:type="dxa"/>
            <w:vAlign w:val="center"/>
          </w:tcPr>
          <w:p w14:paraId="117CBCA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分值</w:t>
            </w:r>
          </w:p>
        </w:tc>
        <w:tc>
          <w:tcPr>
            <w:tcW w:w="6226" w:type="dxa"/>
            <w:vAlign w:val="center"/>
          </w:tcPr>
          <w:p w14:paraId="795DB5D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评分标准</w:t>
            </w:r>
          </w:p>
        </w:tc>
        <w:tc>
          <w:tcPr>
            <w:tcW w:w="1152" w:type="dxa"/>
            <w:vAlign w:val="center"/>
          </w:tcPr>
          <w:p w14:paraId="1B1515C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评分因素类别</w:t>
            </w:r>
          </w:p>
        </w:tc>
      </w:tr>
      <w:tr w14:paraId="06B6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26C528B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183" w:type="dxa"/>
            <w:vAlign w:val="center"/>
          </w:tcPr>
          <w:p w14:paraId="74B72E1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报价</w:t>
            </w:r>
          </w:p>
        </w:tc>
        <w:tc>
          <w:tcPr>
            <w:tcW w:w="992" w:type="dxa"/>
            <w:vAlign w:val="center"/>
          </w:tcPr>
          <w:p w14:paraId="3E95BB0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26" w:type="dxa"/>
            <w:vAlign w:val="center"/>
          </w:tcPr>
          <w:p w14:paraId="113481B1">
            <w:pPr>
              <w:keepNext w:val="0"/>
              <w:keepLines w:val="0"/>
              <w:pageBreakBefore w:val="0"/>
              <w:kinsoku/>
              <w:overflowPunct/>
              <w:autoSpaceDE/>
              <w:autoSpaceDN/>
              <w:bidi w:val="0"/>
              <w:adjustRightInd w:val="0"/>
              <w:snapToGrid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满足</w:t>
            </w:r>
            <w:r>
              <w:rPr>
                <w:rFonts w:hint="default" w:ascii="Times New Roman" w:hAnsi="Times New Roman" w:eastAsia="仿宋_GB2312" w:cs="Times New Roman"/>
                <w:bCs/>
                <w:color w:val="auto"/>
                <w:sz w:val="28"/>
                <w:szCs w:val="28"/>
                <w:highlight w:val="none"/>
                <w:lang w:val="en-US" w:eastAsia="zh-CN"/>
              </w:rPr>
              <w:t>比选</w:t>
            </w:r>
            <w:r>
              <w:rPr>
                <w:rFonts w:hint="default" w:ascii="Times New Roman" w:hAnsi="Times New Roman" w:eastAsia="仿宋_GB2312" w:cs="Times New Roman"/>
                <w:bCs/>
                <w:color w:val="auto"/>
                <w:sz w:val="28"/>
                <w:szCs w:val="28"/>
                <w:highlight w:val="none"/>
              </w:rPr>
              <w:t>文件要求且最后报价最低的投标人的价格为投标基准价，其价格分为满分。其他投标人的价格分统一按照下列公式计算：</w:t>
            </w:r>
          </w:p>
          <w:p w14:paraId="266012BB">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投标报价得分=（投标基准价/最后投标报价）×10</w:t>
            </w:r>
          </w:p>
        </w:tc>
        <w:tc>
          <w:tcPr>
            <w:tcW w:w="1152" w:type="dxa"/>
            <w:vAlign w:val="center"/>
          </w:tcPr>
          <w:p w14:paraId="4EBB68F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4705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0FC53A8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183" w:type="dxa"/>
            <w:vAlign w:val="center"/>
          </w:tcPr>
          <w:p w14:paraId="1C638A3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技术方案</w:t>
            </w:r>
          </w:p>
        </w:tc>
        <w:tc>
          <w:tcPr>
            <w:tcW w:w="992" w:type="dxa"/>
            <w:vAlign w:val="center"/>
          </w:tcPr>
          <w:p w14:paraId="70B96956">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25分</w:t>
            </w:r>
          </w:p>
        </w:tc>
        <w:tc>
          <w:tcPr>
            <w:tcW w:w="6226" w:type="dxa"/>
            <w:vAlign w:val="center"/>
          </w:tcPr>
          <w:p w14:paraId="140AFAE3">
            <w:pPr>
              <w:pStyle w:val="260"/>
              <w:keepNext w:val="0"/>
              <w:keepLines w:val="0"/>
              <w:pageBreakBefore w:val="0"/>
              <w:kinsoku/>
              <w:overflowPunct/>
              <w:autoSpaceDE/>
              <w:autoSpaceDN/>
              <w:bidi w:val="0"/>
              <w:spacing w:line="440" w:lineRule="exact"/>
              <w:ind w:left="21" w:leftChars="1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投标人针对本项目的技术方案进行综合评分：①项目实施流程、②项目管理、③测评风险控制、④项目实施时间计划、⑤项目组织架构，上述内容均符合实际情况、内容完善详细、描述准确、分析内容齐全、条理结构清晰、层次细化完善完全响应项目要求的得25分；每有一项缺项的扣5分，每有一处内容存在内容不足的扣2.5分，扣完为止。</w:t>
            </w:r>
          </w:p>
        </w:tc>
        <w:tc>
          <w:tcPr>
            <w:tcW w:w="1152" w:type="dxa"/>
            <w:vAlign w:val="center"/>
          </w:tcPr>
          <w:p w14:paraId="044786A6">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技术类评分因素</w:t>
            </w:r>
          </w:p>
        </w:tc>
      </w:tr>
      <w:tr w14:paraId="2816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2E8B94E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183" w:type="dxa"/>
            <w:vAlign w:val="center"/>
          </w:tcPr>
          <w:p w14:paraId="3BDC6C6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92" w:type="dxa"/>
            <w:vAlign w:val="center"/>
          </w:tcPr>
          <w:p w14:paraId="5E1E253C">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12分</w:t>
            </w:r>
          </w:p>
        </w:tc>
        <w:tc>
          <w:tcPr>
            <w:tcW w:w="6226" w:type="dxa"/>
            <w:vAlign w:val="center"/>
          </w:tcPr>
          <w:p w14:paraId="458749FC">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拟派项目经理1名：</w:t>
            </w:r>
          </w:p>
          <w:p w14:paraId="722E248E">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1、信息（网络）安全等级评测师（高级）证书；</w:t>
            </w:r>
          </w:p>
          <w:p w14:paraId="6F3D5DE2">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2、注册信息安全专业人员（CISP）证书；</w:t>
            </w:r>
          </w:p>
          <w:p w14:paraId="2047A283">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3、注册信息系统审计师（CISA）证书；</w:t>
            </w:r>
          </w:p>
          <w:p w14:paraId="7732355B">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4、重要信息系统安全等级保护培训证书（CIIP-T）；</w:t>
            </w:r>
          </w:p>
          <w:p w14:paraId="5C35E5FC">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5、软件性能测试高级工程师；</w:t>
            </w:r>
          </w:p>
          <w:p w14:paraId="1AC4CD31">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6、信息系统安全专业认证（CISSP）证书。</w:t>
            </w:r>
          </w:p>
          <w:p w14:paraId="0B007FB6">
            <w:pPr>
              <w:keepNext w:val="0"/>
              <w:keepLines w:val="0"/>
              <w:pageBreakBefore w:val="0"/>
              <w:kinsoku/>
              <w:wordWrap w:val="0"/>
              <w:overflowPunct/>
              <w:autoSpaceDE/>
              <w:autoSpaceDN/>
              <w:bidi w:val="0"/>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以上证书每提供一个得2分，最多得12分，未提供不得分</w:t>
            </w:r>
            <w:r>
              <w:rPr>
                <w:rFonts w:hint="eastAsia" w:ascii="Times New Roman" w:hAnsi="Times New Roman" w:eastAsia="仿宋_GB2312" w:cs="Times New Roman"/>
                <w:color w:val="auto"/>
                <w:sz w:val="28"/>
                <w:szCs w:val="28"/>
                <w:highlight w:val="none"/>
                <w:lang w:eastAsia="zh-CN"/>
              </w:rPr>
              <w:t>。</w:t>
            </w:r>
          </w:p>
          <w:p w14:paraId="2036E0E4">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olor w:val="auto"/>
                <w:highlight w:val="none"/>
                <w:lang w:eastAsia="zh-CN"/>
              </w:rPr>
            </w:pPr>
            <w:r>
              <w:rPr>
                <w:rFonts w:hint="eastAsia" w:ascii="Times New Roman" w:hAnsi="Times New Roman" w:eastAsia="仿宋_GB2312" w:cs="Times New Roman"/>
                <w:color w:val="auto"/>
                <w:kern w:val="2"/>
                <w:sz w:val="28"/>
                <w:szCs w:val="28"/>
                <w:highlight w:val="none"/>
                <w:lang w:val="en-US" w:eastAsia="zh-CN" w:bidi="ar-SA"/>
              </w:rPr>
              <w:t>注：提供人员证书复印件和在投标单位就职的证明材料，并加盖供应商公章。</w:t>
            </w:r>
          </w:p>
        </w:tc>
        <w:tc>
          <w:tcPr>
            <w:tcW w:w="1152" w:type="dxa"/>
            <w:vAlign w:val="center"/>
          </w:tcPr>
          <w:p w14:paraId="2D30115B">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25AB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05DD2C9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183" w:type="dxa"/>
            <w:vAlign w:val="center"/>
          </w:tcPr>
          <w:p w14:paraId="11058C2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92" w:type="dxa"/>
            <w:vAlign w:val="center"/>
          </w:tcPr>
          <w:p w14:paraId="234AD9C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16分</w:t>
            </w:r>
          </w:p>
        </w:tc>
        <w:tc>
          <w:tcPr>
            <w:tcW w:w="6226" w:type="dxa"/>
            <w:vAlign w:val="center"/>
          </w:tcPr>
          <w:p w14:paraId="0990BBE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拟派技术负责人1名：</w:t>
            </w:r>
          </w:p>
          <w:p w14:paraId="10861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1、信息（网络）安全等级测评师（高级）证书；</w:t>
            </w:r>
          </w:p>
          <w:p w14:paraId="03D65A5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2、商用密码应用安全性评估从业人员考核合格证书；</w:t>
            </w:r>
          </w:p>
          <w:p w14:paraId="5154BB9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3、注册信息安全专业人员（CISP）证书；</w:t>
            </w:r>
          </w:p>
          <w:p w14:paraId="3AAD264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4、注册网络安全渗透评估专业人员（NSATP-A）证书；</w:t>
            </w:r>
          </w:p>
          <w:p w14:paraId="1FA197B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5、信息安全保障人员认证证书（CISAW）；</w:t>
            </w:r>
          </w:p>
          <w:p w14:paraId="1546AE0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6、工业和信息化部教育与考试中心颁发的网络信息安全工程师证书；</w:t>
            </w:r>
          </w:p>
          <w:p w14:paraId="538F659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7、信息技术应用创新考试评价证书--信息安全工程师；</w:t>
            </w:r>
          </w:p>
          <w:p w14:paraId="3F390EE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8、软件性能测试高级工程师。</w:t>
            </w:r>
          </w:p>
          <w:p w14:paraId="0AFE4F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以上证书每提供一个得2分，最多得16分，未提供不得分</w:t>
            </w:r>
            <w:r>
              <w:rPr>
                <w:rFonts w:hint="eastAsia" w:ascii="Times New Roman" w:hAnsi="Times New Roman" w:eastAsia="仿宋_GB2312" w:cs="Times New Roman"/>
                <w:color w:val="auto"/>
                <w:sz w:val="28"/>
                <w:szCs w:val="28"/>
                <w:highlight w:val="none"/>
                <w:lang w:eastAsia="zh-CN"/>
              </w:rPr>
              <w:t>。</w:t>
            </w:r>
          </w:p>
          <w:p w14:paraId="0C64FC63">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olor w:val="auto"/>
                <w:highlight w:val="none"/>
                <w:lang w:eastAsia="zh-CN"/>
              </w:rPr>
            </w:pPr>
            <w:r>
              <w:rPr>
                <w:rFonts w:hint="eastAsia" w:ascii="Times New Roman" w:hAnsi="Times New Roman" w:eastAsia="仿宋_GB2312" w:cs="Times New Roman"/>
                <w:color w:val="auto"/>
                <w:sz w:val="28"/>
                <w:szCs w:val="28"/>
                <w:highlight w:val="none"/>
                <w:lang w:val="en-US" w:eastAsia="zh-CN"/>
              </w:rPr>
              <w:t>注：提供人员证书复印件和在投标单位就职的证明材料，并加盖供应商公章。</w:t>
            </w:r>
          </w:p>
        </w:tc>
        <w:tc>
          <w:tcPr>
            <w:tcW w:w="1152" w:type="dxa"/>
            <w:vAlign w:val="center"/>
          </w:tcPr>
          <w:p w14:paraId="59296F9E">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425B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4C928B5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183" w:type="dxa"/>
            <w:vAlign w:val="center"/>
          </w:tcPr>
          <w:p w14:paraId="2CF7C4B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投标人项目人员配置情况</w:t>
            </w:r>
          </w:p>
        </w:tc>
        <w:tc>
          <w:tcPr>
            <w:tcW w:w="992" w:type="dxa"/>
            <w:vAlign w:val="center"/>
          </w:tcPr>
          <w:p w14:paraId="71994E8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16分</w:t>
            </w:r>
          </w:p>
        </w:tc>
        <w:tc>
          <w:tcPr>
            <w:tcW w:w="6226" w:type="dxa"/>
            <w:vAlign w:val="center"/>
          </w:tcPr>
          <w:p w14:paraId="2166BD0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拟派项目团队</w:t>
            </w:r>
            <w:r>
              <w:rPr>
                <w:rFonts w:hint="default" w:ascii="Times New Roman" w:hAnsi="Times New Roman" w:eastAsia="仿宋_GB2312" w:cs="Times New Roman"/>
                <w:color w:val="auto"/>
                <w:sz w:val="28"/>
                <w:szCs w:val="28"/>
                <w:highlight w:val="none"/>
              </w:rPr>
              <w:t>：</w:t>
            </w:r>
          </w:p>
          <w:p w14:paraId="7D6DA41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所有人员具有信息安全等级测评师证书或网络安全等级测评师证书且获得该证书，满足要求后以下证书每提供一个得2分，最多得16分，此项一人多证可重复得分，未提供不得分。</w:t>
            </w:r>
          </w:p>
          <w:p w14:paraId="723D8A5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1、注册信息安全专业人员（CISP）证书；</w:t>
            </w:r>
          </w:p>
          <w:p w14:paraId="3DF1AA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2、信息技术应用创新考试评价证书--信息安全工程师；</w:t>
            </w:r>
          </w:p>
          <w:p w14:paraId="7B1E9BA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3、信息安全保障人员认证(CISAW)证书；</w:t>
            </w:r>
          </w:p>
          <w:p w14:paraId="6045DCB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4、网络安全能力认证（CCSC）证书；</w:t>
            </w:r>
          </w:p>
          <w:p w14:paraId="73310EF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5、软件测试工程师。</w:t>
            </w:r>
          </w:p>
          <w:p w14:paraId="3C1782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rPr>
              <w:t>注：①项目经理、技术负责人应分别由不同人员构成，不得计入项目组成员</w:t>
            </w:r>
            <w:r>
              <w:rPr>
                <w:rFonts w:hint="eastAsia" w:ascii="Times New Roman" w:hAnsi="Times New Roman" w:eastAsia="仿宋_GB2312" w:cs="Times New Roman"/>
                <w:b w:val="0"/>
                <w:bCs w:val="0"/>
                <w:color w:val="auto"/>
                <w:sz w:val="28"/>
                <w:szCs w:val="28"/>
                <w:highlight w:val="none"/>
                <w:lang w:eastAsia="zh-CN"/>
              </w:rPr>
              <w:t>。</w:t>
            </w:r>
            <w:r>
              <w:rPr>
                <w:rFonts w:hint="eastAsia" w:ascii="Times New Roman" w:hAnsi="Times New Roman" w:eastAsia="仿宋_GB2312" w:cs="Times New Roman"/>
                <w:b w:val="0"/>
                <w:bCs w:val="0"/>
                <w:color w:val="auto"/>
                <w:sz w:val="28"/>
                <w:szCs w:val="28"/>
                <w:highlight w:val="none"/>
                <w:lang w:val="en-US" w:eastAsia="zh-CN"/>
              </w:rPr>
              <w:t>②提供人员证书复印件和</w:t>
            </w:r>
            <w:r>
              <w:rPr>
                <w:rFonts w:hint="eastAsia" w:ascii="Times New Roman" w:hAnsi="Times New Roman" w:eastAsia="仿宋_GB2312" w:cs="Times New Roman"/>
                <w:color w:val="auto"/>
                <w:sz w:val="28"/>
                <w:szCs w:val="28"/>
                <w:highlight w:val="none"/>
                <w:lang w:val="en-US" w:eastAsia="zh-CN"/>
              </w:rPr>
              <w:t>在投标单位就职的证明材料，并加盖供应商公章。</w:t>
            </w:r>
          </w:p>
        </w:tc>
        <w:tc>
          <w:tcPr>
            <w:tcW w:w="1152" w:type="dxa"/>
            <w:vAlign w:val="center"/>
          </w:tcPr>
          <w:p w14:paraId="6CF65D0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5ECD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3DFD1F6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183" w:type="dxa"/>
            <w:vAlign w:val="center"/>
          </w:tcPr>
          <w:p w14:paraId="32AAC73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投标人机构情况</w:t>
            </w:r>
          </w:p>
        </w:tc>
        <w:tc>
          <w:tcPr>
            <w:tcW w:w="992" w:type="dxa"/>
            <w:vAlign w:val="center"/>
          </w:tcPr>
          <w:p w14:paraId="78FEEEA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11分</w:t>
            </w:r>
          </w:p>
        </w:tc>
        <w:tc>
          <w:tcPr>
            <w:tcW w:w="6226" w:type="dxa"/>
            <w:vAlign w:val="center"/>
          </w:tcPr>
          <w:p w14:paraId="67161877">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投标人具有检验检测机构资质认定证书(CMA)，检验检测能力范围具有①网络安全等级保护测评、②信息系统风险评估③软件产品，具有一项得2分，全部满足得6分。(提供证书复印件和检测能力附表复印件加盖公章)。</w:t>
            </w:r>
          </w:p>
          <w:p w14:paraId="55B5760E">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2、投标人具有信息安全服务资质证书(风险评估)的得1分(提供证书复印件加盖公章)</w:t>
            </w:r>
          </w:p>
          <w:p w14:paraId="2D7ED559">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3、投标人具有信息安全风险评估辅助分析软件具有软件著作权得2分，最多得2分。（需提供著作权证书复印件加盖公章）；</w:t>
            </w:r>
          </w:p>
          <w:p w14:paraId="75CB7E2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4、投标人具信息安全风险评估系统具有软件著作权得2分，最多得2分。（需提供著作权证书复印件加盖公章）</w:t>
            </w:r>
          </w:p>
        </w:tc>
        <w:tc>
          <w:tcPr>
            <w:tcW w:w="1152" w:type="dxa"/>
            <w:vAlign w:val="center"/>
          </w:tcPr>
          <w:p w14:paraId="1AB2F78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54CE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1E1DDDF6">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183" w:type="dxa"/>
            <w:vAlign w:val="center"/>
          </w:tcPr>
          <w:p w14:paraId="7AD8D7E4">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业绩</w:t>
            </w:r>
          </w:p>
        </w:tc>
        <w:tc>
          <w:tcPr>
            <w:tcW w:w="992" w:type="dxa"/>
            <w:vAlign w:val="center"/>
          </w:tcPr>
          <w:p w14:paraId="6FED4E4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26" w:type="dxa"/>
            <w:vAlign w:val="center"/>
          </w:tcPr>
          <w:p w14:paraId="7DE2179E">
            <w:pPr>
              <w:keepNext w:val="0"/>
              <w:keepLines w:val="0"/>
              <w:pageBreakBefore w:val="0"/>
              <w:widowControl/>
              <w:kinsoku/>
              <w:overflowPunct/>
              <w:autoSpaceDE/>
              <w:autoSpaceDN/>
              <w:bidi w:val="0"/>
              <w:spacing w:line="440" w:lineRule="exact"/>
              <w:ind w:firstLine="560" w:firstLineChars="20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2022年1月1日以来，具有信息安全测评项目案例，每具有一个案例得2分，最多得10分，不提供不得分；（需提供证明材料，以合同签订时间或中标（成交）通知书发放时间为准；提供合同或中标（成交）通知书复印件并加盖供应商公章（鲜章））</w:t>
            </w:r>
          </w:p>
        </w:tc>
        <w:tc>
          <w:tcPr>
            <w:tcW w:w="1152" w:type="dxa"/>
            <w:vAlign w:val="center"/>
          </w:tcPr>
          <w:p w14:paraId="65B11064">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bookmarkEnd w:id="158"/>
      <w:bookmarkEnd w:id="159"/>
    </w:tbl>
    <w:p w14:paraId="3129943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注：评分的取值按四舍五入法，保留小数点后两位。</w:t>
      </w:r>
    </w:p>
    <w:p w14:paraId="4522CEB5">
      <w:pPr>
        <w:pStyle w:val="2"/>
        <w:ind w:left="0" w:leftChars="0" w:firstLine="0" w:firstLineChars="0"/>
        <w:rPr>
          <w:rFonts w:hint="default" w:ascii="Times New Roman" w:hAnsi="Times New Roman" w:eastAsia="仿宋_GB2312" w:cs="Times New Roman"/>
          <w:color w:val="auto"/>
          <w:sz w:val="32"/>
          <w:szCs w:val="32"/>
          <w:highlight w:val="none"/>
          <w:lang w:val="en-US" w:eastAsia="zh-CN"/>
        </w:rPr>
      </w:pPr>
    </w:p>
    <w:p w14:paraId="29193B20">
      <w:pPr>
        <w:pStyle w:val="2"/>
        <w:ind w:left="0" w:leftChars="0" w:firstLine="640" w:firstLineChars="20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采购包2：</w:t>
      </w:r>
    </w:p>
    <w:tbl>
      <w:tblPr>
        <w:tblStyle w:val="55"/>
        <w:tblpPr w:leftFromText="180" w:rightFromText="180" w:vertAnchor="text" w:horzAnchor="page" w:tblpX="1044" w:tblpY="558"/>
        <w:tblOverlap w:val="never"/>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200"/>
        <w:gridCol w:w="982"/>
        <w:gridCol w:w="6205"/>
        <w:gridCol w:w="1173"/>
      </w:tblGrid>
      <w:tr w14:paraId="3242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27BAF7AA">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200" w:type="dxa"/>
            <w:vAlign w:val="center"/>
          </w:tcPr>
          <w:p w14:paraId="49F3AE30">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评分因素及权重</w:t>
            </w:r>
          </w:p>
        </w:tc>
        <w:tc>
          <w:tcPr>
            <w:tcW w:w="982" w:type="dxa"/>
            <w:vAlign w:val="center"/>
          </w:tcPr>
          <w:p w14:paraId="24F8C7D4">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分值</w:t>
            </w:r>
          </w:p>
        </w:tc>
        <w:tc>
          <w:tcPr>
            <w:tcW w:w="6205" w:type="dxa"/>
            <w:vAlign w:val="center"/>
          </w:tcPr>
          <w:p w14:paraId="1036FB9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评分标准</w:t>
            </w:r>
          </w:p>
        </w:tc>
        <w:tc>
          <w:tcPr>
            <w:tcW w:w="1173" w:type="dxa"/>
            <w:vAlign w:val="center"/>
          </w:tcPr>
          <w:p w14:paraId="6B1F489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评分因素类别</w:t>
            </w:r>
          </w:p>
        </w:tc>
      </w:tr>
      <w:tr w14:paraId="2E32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4C9627B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200" w:type="dxa"/>
            <w:vAlign w:val="center"/>
          </w:tcPr>
          <w:p w14:paraId="373E86B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报价</w:t>
            </w:r>
          </w:p>
        </w:tc>
        <w:tc>
          <w:tcPr>
            <w:tcW w:w="982" w:type="dxa"/>
            <w:vAlign w:val="center"/>
          </w:tcPr>
          <w:p w14:paraId="233819AB">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05" w:type="dxa"/>
            <w:vAlign w:val="center"/>
          </w:tcPr>
          <w:p w14:paraId="3CF394BD">
            <w:pPr>
              <w:keepNext w:val="0"/>
              <w:keepLines w:val="0"/>
              <w:pageBreakBefore w:val="0"/>
              <w:kinsoku/>
              <w:overflowPunct/>
              <w:autoSpaceDE/>
              <w:autoSpaceDN/>
              <w:bidi w:val="0"/>
              <w:adjustRightInd w:val="0"/>
              <w:snapToGrid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满足</w:t>
            </w:r>
            <w:r>
              <w:rPr>
                <w:rFonts w:hint="default" w:ascii="Times New Roman" w:hAnsi="Times New Roman" w:eastAsia="仿宋_GB2312" w:cs="Times New Roman"/>
                <w:bCs/>
                <w:color w:val="auto"/>
                <w:sz w:val="28"/>
                <w:szCs w:val="28"/>
                <w:highlight w:val="none"/>
                <w:lang w:val="en-US" w:eastAsia="zh-CN"/>
              </w:rPr>
              <w:t>比选</w:t>
            </w:r>
            <w:r>
              <w:rPr>
                <w:rFonts w:hint="default" w:ascii="Times New Roman" w:hAnsi="Times New Roman" w:eastAsia="仿宋_GB2312" w:cs="Times New Roman"/>
                <w:bCs/>
                <w:color w:val="auto"/>
                <w:sz w:val="28"/>
                <w:szCs w:val="28"/>
                <w:highlight w:val="none"/>
              </w:rPr>
              <w:t>文件要求且最后报价最低的投标人的价格为投标基准价，其价格分为满分。其他投标人的价格分统一按照下列公式计算：</w:t>
            </w:r>
          </w:p>
          <w:p w14:paraId="4552163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投标报价得分=（投标基准价/最后投标报价）×10</w:t>
            </w:r>
          </w:p>
        </w:tc>
        <w:tc>
          <w:tcPr>
            <w:tcW w:w="1173" w:type="dxa"/>
            <w:vAlign w:val="center"/>
          </w:tcPr>
          <w:p w14:paraId="61191C1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5815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067281A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200" w:type="dxa"/>
            <w:vAlign w:val="center"/>
          </w:tcPr>
          <w:p w14:paraId="57208F2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技术方案</w:t>
            </w:r>
          </w:p>
        </w:tc>
        <w:tc>
          <w:tcPr>
            <w:tcW w:w="982" w:type="dxa"/>
            <w:vAlign w:val="center"/>
          </w:tcPr>
          <w:p w14:paraId="5141407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25分</w:t>
            </w:r>
          </w:p>
        </w:tc>
        <w:tc>
          <w:tcPr>
            <w:tcW w:w="6205" w:type="dxa"/>
            <w:vAlign w:val="center"/>
          </w:tcPr>
          <w:p w14:paraId="2F74AD91">
            <w:pPr>
              <w:pStyle w:val="260"/>
              <w:keepNext w:val="0"/>
              <w:keepLines w:val="0"/>
              <w:pageBreakBefore w:val="0"/>
              <w:kinsoku/>
              <w:overflowPunct/>
              <w:autoSpaceDE/>
              <w:autoSpaceDN/>
              <w:bidi w:val="0"/>
              <w:spacing w:line="440" w:lineRule="exact"/>
              <w:ind w:left="21" w:leftChars="1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投标人针对本项目的技术方案进行综合评分：①项目实施流程、②项目管理、③测评风险控制、④项目实施时间计划、⑤项目组织架构，上述内容均符合实际情况、内容完善详细、描述准确、分析内容齐全、条理结构清晰、层次细化完善完全响应项目要求的得25分；每有一项缺项的扣5分，每有一处内容存在内容不足的扣2.5分，扣完为止。</w:t>
            </w:r>
          </w:p>
        </w:tc>
        <w:tc>
          <w:tcPr>
            <w:tcW w:w="1173" w:type="dxa"/>
            <w:vAlign w:val="center"/>
          </w:tcPr>
          <w:p w14:paraId="5333354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技术类评分因素</w:t>
            </w:r>
          </w:p>
        </w:tc>
      </w:tr>
      <w:tr w14:paraId="17B6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55386BF0">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200" w:type="dxa"/>
            <w:vAlign w:val="center"/>
          </w:tcPr>
          <w:p w14:paraId="1EB9416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82" w:type="dxa"/>
            <w:vAlign w:val="center"/>
          </w:tcPr>
          <w:p w14:paraId="183EBC5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12分</w:t>
            </w:r>
          </w:p>
        </w:tc>
        <w:tc>
          <w:tcPr>
            <w:tcW w:w="6205" w:type="dxa"/>
            <w:vAlign w:val="center"/>
          </w:tcPr>
          <w:p w14:paraId="385687DE">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拟派项目经理1名：</w:t>
            </w:r>
          </w:p>
          <w:p w14:paraId="3C746E2D">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1、信息（网络）安全等级评测师（高级）证书；</w:t>
            </w:r>
          </w:p>
          <w:p w14:paraId="14E33582">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2、注册信息安全专业人员（CISP）证书；</w:t>
            </w:r>
          </w:p>
          <w:p w14:paraId="3DBEE43C">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3、注册信息系统审计师（CISA）证书；</w:t>
            </w:r>
          </w:p>
          <w:p w14:paraId="716BA25A">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4、重要信息系统安全等级保护培训证书（CIIP-T）；</w:t>
            </w:r>
          </w:p>
          <w:p w14:paraId="10D9B61D">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5、软件性能测试高级工程师；</w:t>
            </w:r>
          </w:p>
          <w:p w14:paraId="30BB0BA0">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6、信息系统安全专业认证（CISSP）证书。</w:t>
            </w:r>
          </w:p>
          <w:p w14:paraId="1D786BDE">
            <w:pPr>
              <w:keepNext w:val="0"/>
              <w:keepLines w:val="0"/>
              <w:pageBreakBefore w:val="0"/>
              <w:kinsoku/>
              <w:wordWrap w:val="0"/>
              <w:overflowPunct/>
              <w:autoSpaceDE/>
              <w:autoSpaceDN/>
              <w:bidi w:val="0"/>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以上证书每提供一个得2分，最多得12分，未提供不得分</w:t>
            </w:r>
            <w:r>
              <w:rPr>
                <w:rFonts w:hint="eastAsia" w:ascii="Times New Roman" w:hAnsi="Times New Roman" w:eastAsia="仿宋_GB2312" w:cs="Times New Roman"/>
                <w:color w:val="auto"/>
                <w:sz w:val="28"/>
                <w:szCs w:val="28"/>
                <w:highlight w:val="none"/>
                <w:lang w:eastAsia="zh-CN"/>
              </w:rPr>
              <w:t>。</w:t>
            </w:r>
          </w:p>
          <w:p w14:paraId="3AD270B2">
            <w:pPr>
              <w:pStyle w:val="2"/>
              <w:keepNext w:val="0"/>
              <w:keepLines w:val="0"/>
              <w:pageBreakBefore w:val="0"/>
              <w:kinsoku/>
              <w:overflowPunct/>
              <w:autoSpaceDE/>
              <w:autoSpaceDN/>
              <w:bidi w:val="0"/>
              <w:spacing w:line="440" w:lineRule="exact"/>
              <w:ind w:left="0" w:leftChars="0" w:firstLine="0" w:firstLineChars="0"/>
              <w:textAlignment w:val="auto"/>
              <w:rPr>
                <w:rFonts w:hint="default"/>
                <w:color w:val="auto"/>
                <w:highlight w:val="none"/>
                <w:lang w:val="en-US" w:eastAsia="zh-CN"/>
              </w:rPr>
            </w:pPr>
            <w:r>
              <w:rPr>
                <w:rFonts w:hint="eastAsia" w:ascii="Times New Roman" w:hAnsi="Times New Roman" w:eastAsia="仿宋_GB2312" w:cs="Times New Roman"/>
                <w:color w:val="auto"/>
                <w:sz w:val="28"/>
                <w:szCs w:val="28"/>
                <w:highlight w:val="none"/>
                <w:lang w:val="en-US" w:eastAsia="zh-CN"/>
              </w:rPr>
              <w:t>注：提供人员证书复印件和在投标单位就职的证明材料，并加盖供应商公章。</w:t>
            </w:r>
          </w:p>
        </w:tc>
        <w:tc>
          <w:tcPr>
            <w:tcW w:w="1173" w:type="dxa"/>
            <w:vAlign w:val="center"/>
          </w:tcPr>
          <w:p w14:paraId="2AF9466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3D61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519ACE2B">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200" w:type="dxa"/>
            <w:vAlign w:val="center"/>
          </w:tcPr>
          <w:p w14:paraId="18BBA35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82" w:type="dxa"/>
            <w:vAlign w:val="center"/>
          </w:tcPr>
          <w:p w14:paraId="713AA49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16分</w:t>
            </w:r>
          </w:p>
        </w:tc>
        <w:tc>
          <w:tcPr>
            <w:tcW w:w="6205" w:type="dxa"/>
            <w:vAlign w:val="center"/>
          </w:tcPr>
          <w:p w14:paraId="194E8880">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拟派技术负责人1名：</w:t>
            </w:r>
          </w:p>
          <w:p w14:paraId="1A296F64">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1、信息（网络）安全等级测评师（高级）证书；</w:t>
            </w:r>
          </w:p>
          <w:p w14:paraId="12CB9640">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2、商用密码应用安全性评估从业人员考核合格证书；</w:t>
            </w:r>
          </w:p>
          <w:p w14:paraId="2D712C11">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3、注册信息安全专业人员（CISP）证书；</w:t>
            </w:r>
          </w:p>
          <w:p w14:paraId="6524BF1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4、注册网络安全渗透评估专业人员（NSATP-A）证书；</w:t>
            </w:r>
          </w:p>
          <w:p w14:paraId="2C6C593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5、信息安全保障人员认证证书（CISAW）；</w:t>
            </w:r>
          </w:p>
          <w:p w14:paraId="05FC1CFE">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6、工业和信息化部教育与考试中心颁发的网络信息安全工程师证书；</w:t>
            </w:r>
          </w:p>
          <w:p w14:paraId="26A053E6">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7、信息技术应用创新考试评价证书--信息安全工程师；</w:t>
            </w:r>
          </w:p>
          <w:p w14:paraId="220548B4">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8、软件性能测试高级工程师。</w:t>
            </w:r>
          </w:p>
          <w:p w14:paraId="734A6E22">
            <w:pPr>
              <w:keepNext w:val="0"/>
              <w:keepLines w:val="0"/>
              <w:pageBreakBefore w:val="0"/>
              <w:kinsoku/>
              <w:overflowPunct/>
              <w:autoSpaceDE/>
              <w:autoSpaceDN/>
              <w:bidi w:val="0"/>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以上证书每提供一个得2分，最多得16分，未提供不得分</w:t>
            </w:r>
            <w:r>
              <w:rPr>
                <w:rFonts w:hint="eastAsia" w:ascii="Times New Roman" w:hAnsi="Times New Roman" w:eastAsia="仿宋_GB2312" w:cs="Times New Roman"/>
                <w:color w:val="auto"/>
                <w:sz w:val="28"/>
                <w:szCs w:val="28"/>
                <w:highlight w:val="none"/>
                <w:lang w:eastAsia="zh-CN"/>
              </w:rPr>
              <w:t>。</w:t>
            </w:r>
          </w:p>
          <w:p w14:paraId="538AFD91">
            <w:pPr>
              <w:pStyle w:val="2"/>
              <w:keepNext w:val="0"/>
              <w:keepLines w:val="0"/>
              <w:pageBreakBefore w:val="0"/>
              <w:kinsoku/>
              <w:overflowPunct/>
              <w:autoSpaceDE/>
              <w:autoSpaceDN/>
              <w:bidi w:val="0"/>
              <w:spacing w:line="440" w:lineRule="exact"/>
              <w:ind w:left="0" w:leftChars="0" w:firstLine="0" w:firstLineChars="0"/>
              <w:textAlignment w:val="auto"/>
              <w:rPr>
                <w:rFonts w:hint="eastAsia"/>
                <w:color w:val="auto"/>
                <w:highlight w:val="none"/>
                <w:lang w:eastAsia="zh-CN"/>
              </w:rPr>
            </w:pPr>
            <w:r>
              <w:rPr>
                <w:rFonts w:hint="eastAsia" w:ascii="Times New Roman" w:hAnsi="Times New Roman" w:eastAsia="仿宋_GB2312" w:cs="Times New Roman"/>
                <w:color w:val="auto"/>
                <w:sz w:val="28"/>
                <w:szCs w:val="28"/>
                <w:highlight w:val="none"/>
                <w:lang w:val="en-US" w:eastAsia="zh-CN"/>
              </w:rPr>
              <w:t>注：提供人员证书复印件和在投标单位就职的证明材料，并加盖供应商公章。</w:t>
            </w:r>
          </w:p>
        </w:tc>
        <w:tc>
          <w:tcPr>
            <w:tcW w:w="1173" w:type="dxa"/>
            <w:vAlign w:val="center"/>
          </w:tcPr>
          <w:p w14:paraId="52A120BC">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34ED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191AC880">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200" w:type="dxa"/>
            <w:vAlign w:val="center"/>
          </w:tcPr>
          <w:p w14:paraId="2F33164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投标人项目人员配置情况</w:t>
            </w:r>
          </w:p>
        </w:tc>
        <w:tc>
          <w:tcPr>
            <w:tcW w:w="982" w:type="dxa"/>
            <w:vAlign w:val="center"/>
          </w:tcPr>
          <w:p w14:paraId="0733F0A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16分</w:t>
            </w:r>
          </w:p>
        </w:tc>
        <w:tc>
          <w:tcPr>
            <w:tcW w:w="6205" w:type="dxa"/>
            <w:vAlign w:val="center"/>
          </w:tcPr>
          <w:p w14:paraId="7319B74D">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拟派项目团队</w:t>
            </w:r>
            <w:r>
              <w:rPr>
                <w:rFonts w:hint="default" w:ascii="Times New Roman" w:hAnsi="Times New Roman" w:eastAsia="仿宋_GB2312" w:cs="Times New Roman"/>
                <w:color w:val="auto"/>
                <w:sz w:val="28"/>
                <w:szCs w:val="28"/>
                <w:highlight w:val="none"/>
              </w:rPr>
              <w:t>：</w:t>
            </w:r>
          </w:p>
          <w:p w14:paraId="0DE10C21">
            <w:pPr>
              <w:keepNext w:val="0"/>
              <w:keepLines w:val="0"/>
              <w:pageBreakBefore w:val="0"/>
              <w:kinsoku/>
              <w:overflowPunct/>
              <w:autoSpaceDE/>
              <w:autoSpaceDN/>
              <w:bidi w:val="0"/>
              <w:spacing w:line="44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所有人员具有信息安全等级测评师证书或网络安全等级测评师证书且获得该证书，满足要求后以下证书每提供一个得2分，最多得16分，此项一人多证可重复得分，未提供不得分。</w:t>
            </w:r>
          </w:p>
          <w:p w14:paraId="7139B41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1、注册信息安全专业人员（CISP）证书；</w:t>
            </w:r>
          </w:p>
          <w:p w14:paraId="45CF5A99">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2、信息技术应用创新考试评价证书--信息安全工程师；</w:t>
            </w:r>
          </w:p>
          <w:p w14:paraId="4E68733F">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3、信息安全保障人员认证(CISAW)证书；</w:t>
            </w:r>
          </w:p>
          <w:p w14:paraId="6A46C7F2">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4、网络安全能力认证（CCSC）证书；</w:t>
            </w:r>
          </w:p>
          <w:p w14:paraId="6CD4AADD">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5、软件测试工程师。</w:t>
            </w:r>
          </w:p>
          <w:p w14:paraId="1B8014CB">
            <w:pPr>
              <w:keepNext w:val="0"/>
              <w:keepLines w:val="0"/>
              <w:pageBreakBefore w:val="0"/>
              <w:kinsoku/>
              <w:overflowPunct/>
              <w:autoSpaceDE/>
              <w:autoSpaceDN/>
              <w:bidi w:val="0"/>
              <w:spacing w:line="440" w:lineRule="exact"/>
              <w:textAlignment w:val="auto"/>
              <w:rPr>
                <w:rFonts w:hint="eastAsia"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rPr>
              <w:t>注：①项目经理、技术负责人应分别由不同人员构成，不得计入项目组成员</w:t>
            </w:r>
            <w:r>
              <w:rPr>
                <w:rFonts w:hint="eastAsia" w:ascii="Times New Roman" w:hAnsi="Times New Roman" w:eastAsia="仿宋_GB2312" w:cs="Times New Roman"/>
                <w:b w:val="0"/>
                <w:bCs w:val="0"/>
                <w:color w:val="auto"/>
                <w:sz w:val="28"/>
                <w:szCs w:val="28"/>
                <w:highlight w:val="none"/>
                <w:lang w:eastAsia="zh-CN"/>
              </w:rPr>
              <w:t>。</w:t>
            </w:r>
            <w:r>
              <w:rPr>
                <w:rFonts w:hint="eastAsia" w:ascii="Times New Roman" w:hAnsi="Times New Roman" w:eastAsia="仿宋_GB2312" w:cs="Times New Roman"/>
                <w:b w:val="0"/>
                <w:bCs w:val="0"/>
                <w:color w:val="auto"/>
                <w:sz w:val="28"/>
                <w:szCs w:val="28"/>
                <w:highlight w:val="none"/>
                <w:lang w:val="en-US" w:eastAsia="zh-CN"/>
              </w:rPr>
              <w:t>②提供人员证书复印件和</w:t>
            </w:r>
            <w:r>
              <w:rPr>
                <w:rFonts w:hint="eastAsia" w:ascii="Times New Roman" w:hAnsi="Times New Roman" w:eastAsia="仿宋_GB2312" w:cs="Times New Roman"/>
                <w:color w:val="auto"/>
                <w:sz w:val="28"/>
                <w:szCs w:val="28"/>
                <w:highlight w:val="none"/>
                <w:lang w:val="en-US" w:eastAsia="zh-CN"/>
              </w:rPr>
              <w:t>在投标单位就职的证明材料，并加盖供应商公章。</w:t>
            </w:r>
          </w:p>
        </w:tc>
        <w:tc>
          <w:tcPr>
            <w:tcW w:w="1173" w:type="dxa"/>
            <w:vAlign w:val="center"/>
          </w:tcPr>
          <w:p w14:paraId="5586D6BC">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3EE1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3344B01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200" w:type="dxa"/>
            <w:vAlign w:val="center"/>
          </w:tcPr>
          <w:p w14:paraId="59CC533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投标人机构情况</w:t>
            </w:r>
          </w:p>
        </w:tc>
        <w:tc>
          <w:tcPr>
            <w:tcW w:w="982" w:type="dxa"/>
            <w:vAlign w:val="center"/>
          </w:tcPr>
          <w:p w14:paraId="68DB556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11分</w:t>
            </w:r>
          </w:p>
        </w:tc>
        <w:tc>
          <w:tcPr>
            <w:tcW w:w="6205" w:type="dxa"/>
            <w:vAlign w:val="center"/>
          </w:tcPr>
          <w:p w14:paraId="61B2BDA8">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投标人具有检验检测机构资质认定证书(CMA)，检验检测能力范围具有①网络安全等级保护测评、②信息系统风险评估③软件产品，具有一项得2分，全部满足得6分。(提供证书复印件和检测能力附表复印件加盖公章)。</w:t>
            </w:r>
          </w:p>
          <w:p w14:paraId="33342497">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2、投标人具有信息安全服务资质证书(风险评估)的得1分(提供证书复印件加盖公章)</w:t>
            </w:r>
          </w:p>
          <w:p w14:paraId="712BD42F">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3、投标人具有信息安全风险评估辅助分析软件具有软件著作权得2分，最多得2分。（需提供著作权证书复印件加盖公章）；</w:t>
            </w:r>
          </w:p>
          <w:p w14:paraId="73F66F1D">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4、投标人具信息安全风险评估系统具有软件著作权得2分，最多得2分。（需提供著作权证书复印件加盖公章）</w:t>
            </w:r>
          </w:p>
        </w:tc>
        <w:tc>
          <w:tcPr>
            <w:tcW w:w="1173" w:type="dxa"/>
            <w:vAlign w:val="center"/>
          </w:tcPr>
          <w:p w14:paraId="4E5239B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7DCF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05993D6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200" w:type="dxa"/>
            <w:vAlign w:val="center"/>
          </w:tcPr>
          <w:p w14:paraId="293C3C6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业绩</w:t>
            </w:r>
          </w:p>
        </w:tc>
        <w:tc>
          <w:tcPr>
            <w:tcW w:w="982" w:type="dxa"/>
            <w:vAlign w:val="center"/>
          </w:tcPr>
          <w:p w14:paraId="7FD5E8F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05" w:type="dxa"/>
            <w:vAlign w:val="center"/>
          </w:tcPr>
          <w:p w14:paraId="61312379">
            <w:pPr>
              <w:keepNext w:val="0"/>
              <w:keepLines w:val="0"/>
              <w:pageBreakBefore w:val="0"/>
              <w:widowControl/>
              <w:kinsoku/>
              <w:overflowPunct/>
              <w:autoSpaceDE/>
              <w:autoSpaceDN/>
              <w:bidi w:val="0"/>
              <w:spacing w:line="440" w:lineRule="exact"/>
              <w:ind w:firstLine="560" w:firstLineChars="20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2022年1月1日以来，具有信息安全测评项目案例，每具有一个案例得2分，最多得10分，不提供不得分；（需提供证明材料，以合同签订时间或中标（成交）通知书发放时间为准；提供合同或中标（成交）通知书复印件并加盖供应商公章（鲜章））</w:t>
            </w:r>
          </w:p>
        </w:tc>
        <w:tc>
          <w:tcPr>
            <w:tcW w:w="1173" w:type="dxa"/>
            <w:vAlign w:val="center"/>
          </w:tcPr>
          <w:p w14:paraId="0331A04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bl>
    <w:p w14:paraId="1B8F9CA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注：评分的取值按四舍五入法，保留小数点后两位。</w:t>
      </w:r>
    </w:p>
    <w:p w14:paraId="5DF60AB8">
      <w:pPr>
        <w:pStyle w:val="7"/>
        <w:pageBreakBefore w:val="0"/>
        <w:kinsoku/>
        <w:wordWrap/>
        <w:overflowPunct/>
        <w:topLinePunct w:val="0"/>
        <w:bidi w:val="0"/>
        <w:spacing w:line="580" w:lineRule="exact"/>
        <w:textAlignment w:val="auto"/>
        <w:rPr>
          <w:rFonts w:hint="default" w:ascii="Times New Roman" w:hAnsi="Times New Roman" w:cs="Times New Roman"/>
          <w:b/>
          <w:bCs/>
          <w:color w:val="auto"/>
          <w:highlight w:val="none"/>
          <w:lang w:eastAsia="zh-CN"/>
        </w:rPr>
      </w:pPr>
    </w:p>
    <w:p w14:paraId="33304032">
      <w:pPr>
        <w:pageBreakBefore w:val="0"/>
        <w:kinsoku/>
        <w:wordWrap/>
        <w:overflowPunct/>
        <w:topLinePunct w:val="0"/>
        <w:bidi w:val="0"/>
        <w:spacing w:line="580" w:lineRule="exact"/>
        <w:textAlignment w:val="auto"/>
        <w:rPr>
          <w:rFonts w:hint="default" w:ascii="Times New Roman" w:hAnsi="Times New Roman" w:eastAsia="华文细黑" w:cs="Times New Roman"/>
          <w:b/>
          <w:bCs/>
          <w:color w:val="auto"/>
          <w:sz w:val="24"/>
          <w:highlight w:val="none"/>
        </w:rPr>
      </w:pPr>
      <w:r>
        <w:rPr>
          <w:rFonts w:hint="default" w:ascii="Times New Roman" w:hAnsi="Times New Roman" w:eastAsia="华文细黑" w:cs="Times New Roman"/>
          <w:b/>
          <w:bCs/>
          <w:color w:val="auto"/>
          <w:sz w:val="24"/>
          <w:highlight w:val="none"/>
        </w:rPr>
        <w:br w:type="page"/>
      </w:r>
    </w:p>
    <w:p w14:paraId="30C3EF20">
      <w:pPr>
        <w:pStyle w:val="4"/>
        <w:pageBreakBefore w:val="0"/>
        <w:kinsoku/>
        <w:wordWrap/>
        <w:overflowPunct/>
        <w:topLinePunct w:val="0"/>
        <w:bidi w:val="0"/>
        <w:spacing w:before="0" w:after="0" w:line="580" w:lineRule="exact"/>
        <w:ind w:right="0"/>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3.</w:t>
      </w:r>
      <w:r>
        <w:rPr>
          <w:rFonts w:hint="default" w:ascii="Times New Roman" w:hAnsi="Times New Roman" w:eastAsia="仿宋_GB2312" w:cs="Times New Roman"/>
          <w:b/>
          <w:color w:val="auto"/>
          <w:sz w:val="32"/>
          <w:highlight w:val="none"/>
          <w:lang w:val="en-US" w:eastAsia="zh-CN"/>
        </w:rPr>
        <w:t>3</w:t>
      </w:r>
      <w:r>
        <w:rPr>
          <w:rFonts w:hint="default" w:ascii="Times New Roman" w:hAnsi="Times New Roman" w:eastAsia="仿宋_GB2312" w:cs="Times New Roman"/>
          <w:b/>
          <w:color w:val="auto"/>
          <w:sz w:val="32"/>
          <w:highlight w:val="none"/>
        </w:rPr>
        <w:t xml:space="preserve">  </w:t>
      </w:r>
      <w:bookmarkStart w:id="165" w:name="_Toc107822560"/>
      <w:bookmarkStart w:id="166" w:name="_Toc226969362"/>
      <w:bookmarkStart w:id="167" w:name="_Toc227057968"/>
      <w:bookmarkStart w:id="168" w:name="_Toc488655909"/>
      <w:r>
        <w:rPr>
          <w:rFonts w:hint="default" w:ascii="Times New Roman" w:hAnsi="Times New Roman" w:eastAsia="仿宋_GB2312" w:cs="Times New Roman"/>
          <w:b/>
          <w:color w:val="auto"/>
          <w:sz w:val="32"/>
          <w:highlight w:val="none"/>
        </w:rPr>
        <w:t>报价表（格式）</w:t>
      </w:r>
      <w:bookmarkEnd w:id="160"/>
    </w:p>
    <w:bookmarkEnd w:id="161"/>
    <w:bookmarkEnd w:id="162"/>
    <w:bookmarkEnd w:id="163"/>
    <w:bookmarkEnd w:id="164"/>
    <w:bookmarkEnd w:id="165"/>
    <w:bookmarkEnd w:id="166"/>
    <w:bookmarkEnd w:id="167"/>
    <w:bookmarkEnd w:id="168"/>
    <w:p w14:paraId="6EEF024B">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lang w:val="en-US" w:eastAsia="zh-CN"/>
        </w:rPr>
      </w:pPr>
      <w:bookmarkStart w:id="169" w:name="_Toc527444256"/>
      <w:bookmarkStart w:id="170" w:name="_Toc516487564"/>
    </w:p>
    <w:p w14:paraId="40D8D6BF">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val="en-US" w:eastAsia="zh-CN"/>
        </w:rPr>
        <w:t>报</w:t>
      </w:r>
      <w:r>
        <w:rPr>
          <w:rFonts w:hint="default" w:ascii="Times New Roman" w:hAnsi="Times New Roman" w:cs="Times New Roman"/>
          <w:b/>
          <w:color w:val="auto"/>
          <w:sz w:val="32"/>
          <w:szCs w:val="32"/>
          <w:highlight w:val="none"/>
        </w:rPr>
        <w:t>价表</w:t>
      </w:r>
    </w:p>
    <w:p w14:paraId="4EAD7CF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28"/>
          <w:szCs w:val="28"/>
          <w:highlight w:val="none"/>
        </w:rPr>
      </w:pPr>
    </w:p>
    <w:p w14:paraId="2833D7B0">
      <w:pPr>
        <w:pageBreakBefore w:val="0"/>
        <w:kinsoku/>
        <w:wordWrap/>
        <w:overflowPunct/>
        <w:topLinePunct w:val="0"/>
        <w:bidi w:val="0"/>
        <w:spacing w:line="580" w:lineRule="exact"/>
        <w:ind w:left="0" w:leftChars="0" w:right="0" w:firstLine="452" w:firstLineChars="150"/>
        <w:textAlignment w:val="auto"/>
        <w:rPr>
          <w:rFonts w:hint="default" w:ascii="Times New Roman" w:hAnsi="Times New Roman" w:cs="Times New Roman"/>
          <w:b/>
          <w:color w:val="auto"/>
          <w:sz w:val="30"/>
          <w:szCs w:val="30"/>
          <w:highlight w:val="none"/>
          <w:u w:val="single"/>
          <w:lang w:val="en-US" w:eastAsia="zh-CN"/>
        </w:rPr>
      </w:pPr>
      <w:r>
        <w:rPr>
          <w:rFonts w:hint="default" w:ascii="Times New Roman" w:hAnsi="Times New Roman" w:cs="Times New Roman"/>
          <w:b/>
          <w:color w:val="auto"/>
          <w:sz w:val="30"/>
          <w:szCs w:val="30"/>
          <w:highlight w:val="none"/>
          <w:lang w:val="en-US" w:eastAsia="zh-CN"/>
        </w:rPr>
        <w:t>项</w:t>
      </w:r>
      <w:r>
        <w:rPr>
          <w:rFonts w:hint="default" w:ascii="Times New Roman" w:hAnsi="Times New Roman" w:cs="Times New Roman"/>
          <w:b/>
          <w:color w:val="auto"/>
          <w:spacing w:val="-20"/>
          <w:sz w:val="30"/>
          <w:szCs w:val="30"/>
          <w:highlight w:val="none"/>
        </w:rPr>
        <w:t>目</w:t>
      </w:r>
      <w:r>
        <w:rPr>
          <w:rFonts w:hint="default" w:ascii="Times New Roman" w:hAnsi="Times New Roman" w:cs="Times New Roman"/>
          <w:b/>
          <w:color w:val="auto"/>
          <w:spacing w:val="-20"/>
          <w:sz w:val="30"/>
          <w:szCs w:val="30"/>
          <w:highlight w:val="none"/>
          <w:lang w:val="en-US" w:eastAsia="zh-CN"/>
        </w:rPr>
        <w:t>名称</w:t>
      </w:r>
      <w:r>
        <w:rPr>
          <w:rFonts w:hint="default" w:ascii="Times New Roman" w:hAnsi="Times New Roman" w:cs="Times New Roman"/>
          <w:b/>
          <w:color w:val="auto"/>
          <w:sz w:val="30"/>
          <w:szCs w:val="30"/>
          <w:highlight w:val="none"/>
        </w:rPr>
        <w:t>：</w:t>
      </w:r>
      <w:r>
        <w:rPr>
          <w:rFonts w:hint="default" w:ascii="Times New Roman" w:hAnsi="Times New Roman" w:eastAsia="仿宋_GB2312" w:cs="Times New Roman"/>
          <w:color w:val="auto"/>
          <w:sz w:val="32"/>
          <w:szCs w:val="32"/>
          <w:highlight w:val="none"/>
          <w:u w:val="single"/>
        </w:rPr>
        <w:t>四川省政府政务服务和公共资源交易服务中心系统安全等级保护测评</w:t>
      </w:r>
      <w:r>
        <w:rPr>
          <w:rFonts w:hint="default" w:ascii="Times New Roman" w:hAnsi="Times New Roman" w:eastAsia="仿宋_GB2312" w:cs="Times New Roman"/>
          <w:color w:val="auto"/>
          <w:sz w:val="32"/>
          <w:szCs w:val="32"/>
          <w:highlight w:val="none"/>
          <w:u w:val="single"/>
          <w:lang w:val="en-US" w:eastAsia="zh-CN"/>
        </w:rPr>
        <w:t>和</w:t>
      </w:r>
      <w:r>
        <w:rPr>
          <w:rFonts w:hint="default" w:ascii="Times New Roman" w:hAnsi="Times New Roman" w:eastAsia="仿宋_GB2312" w:cs="Times New Roman"/>
          <w:color w:val="auto"/>
          <w:sz w:val="32"/>
          <w:szCs w:val="32"/>
          <w:highlight w:val="none"/>
          <w:u w:val="single"/>
        </w:rPr>
        <w:t>12345政务服务热线及网络理政平台等级保护</w:t>
      </w:r>
      <w:r>
        <w:rPr>
          <w:rFonts w:hint="default" w:ascii="Times New Roman" w:hAnsi="Times New Roman" w:eastAsia="仿宋_GB2312" w:cs="Times New Roman"/>
          <w:color w:val="auto"/>
          <w:sz w:val="32"/>
          <w:szCs w:val="32"/>
          <w:highlight w:val="none"/>
          <w:u w:val="single"/>
          <w:lang w:val="en-US" w:eastAsia="zh-CN"/>
        </w:rPr>
        <w:t>项目</w:t>
      </w:r>
    </w:p>
    <w:p w14:paraId="1C74DB13">
      <w:pPr>
        <w:pStyle w:val="7"/>
        <w:pageBreakBefore w:val="0"/>
        <w:kinsoku/>
        <w:wordWrap/>
        <w:overflowPunct/>
        <w:topLinePunct w:val="0"/>
        <w:bidi w:val="0"/>
        <w:spacing w:line="580" w:lineRule="exact"/>
        <w:ind w:firstLine="301" w:firstLineChars="1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color w:val="auto"/>
          <w:sz w:val="30"/>
          <w:szCs w:val="30"/>
          <w:highlight w:val="none"/>
          <w:u w:val="single"/>
          <w:lang w:val="en-US" w:eastAsia="zh-CN"/>
        </w:rPr>
        <w:t>采购包1：</w:t>
      </w:r>
    </w:p>
    <w:p w14:paraId="3D349FF1">
      <w:pPr>
        <w:pStyle w:val="35"/>
        <w:pageBreakBefore w:val="0"/>
        <w:kinsoku/>
        <w:wordWrap/>
        <w:overflowPunct/>
        <w:topLinePunct w:val="0"/>
        <w:bidi w:val="0"/>
        <w:spacing w:before="0" w:after="0" w:line="580" w:lineRule="exact"/>
        <w:ind w:left="0" w:leftChars="0" w:right="0"/>
        <w:textAlignment w:val="auto"/>
        <w:rPr>
          <w:rFonts w:hint="default" w:ascii="Times New Roman" w:hAnsi="Times New Roman" w:eastAsia="宋体" w:cs="Times New Roman"/>
          <w:color w:val="auto"/>
          <w:sz w:val="30"/>
          <w:szCs w:val="30"/>
          <w:highlight w:val="none"/>
        </w:rPr>
      </w:pPr>
    </w:p>
    <w:tbl>
      <w:tblPr>
        <w:tblStyle w:val="5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7DC1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4A39BC7B">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color w:val="auto"/>
                <w:sz w:val="30"/>
                <w:szCs w:val="30"/>
                <w:highlight w:val="none"/>
              </w:rPr>
              <w:t>序</w:t>
            </w:r>
            <w:r>
              <w:rPr>
                <w:rFonts w:hint="default" w:ascii="Times New Roman" w:hAnsi="Times New Roman" w:cs="Times New Roman"/>
                <w:b/>
                <w:color w:val="auto"/>
                <w:sz w:val="30"/>
                <w:szCs w:val="30"/>
                <w:highlight w:val="none"/>
                <w:lang w:val="en-US" w:eastAsia="zh-CN"/>
              </w:rPr>
              <w:t>号</w:t>
            </w:r>
          </w:p>
        </w:tc>
        <w:tc>
          <w:tcPr>
            <w:tcW w:w="5244" w:type="dxa"/>
            <w:vAlign w:val="center"/>
          </w:tcPr>
          <w:p w14:paraId="7D0B0E9C">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服</w:t>
            </w:r>
            <w:r>
              <w:rPr>
                <w:rFonts w:hint="default" w:ascii="Times New Roman" w:hAnsi="Times New Roman" w:cs="Times New Roman"/>
                <w:b/>
                <w:color w:val="auto"/>
                <w:sz w:val="30"/>
                <w:szCs w:val="30"/>
                <w:highlight w:val="none"/>
                <w:lang w:val="en-US" w:eastAsia="zh-CN"/>
              </w:rPr>
              <w:t>务内</w:t>
            </w:r>
            <w:r>
              <w:rPr>
                <w:rFonts w:hint="default" w:ascii="Times New Roman" w:hAnsi="Times New Roman" w:cs="Times New Roman"/>
                <w:b/>
                <w:color w:val="auto"/>
                <w:sz w:val="30"/>
                <w:szCs w:val="30"/>
                <w:highlight w:val="none"/>
              </w:rPr>
              <w:t>容</w:t>
            </w:r>
          </w:p>
        </w:tc>
        <w:tc>
          <w:tcPr>
            <w:tcW w:w="3348" w:type="dxa"/>
            <w:vAlign w:val="center"/>
          </w:tcPr>
          <w:p w14:paraId="29DDF3F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lang w:val="en-US" w:eastAsia="zh-CN"/>
              </w:rPr>
              <w:t>报</w:t>
            </w:r>
            <w:r>
              <w:rPr>
                <w:rFonts w:hint="default" w:ascii="Times New Roman" w:hAnsi="Times New Roman" w:cs="Times New Roman"/>
                <w:b/>
                <w:color w:val="auto"/>
                <w:sz w:val="30"/>
                <w:szCs w:val="30"/>
                <w:highlight w:val="none"/>
              </w:rPr>
              <w:t>价（元）</w:t>
            </w:r>
          </w:p>
        </w:tc>
      </w:tr>
      <w:tr w14:paraId="0FB7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593A40C8">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1</w:t>
            </w:r>
          </w:p>
        </w:tc>
        <w:tc>
          <w:tcPr>
            <w:tcW w:w="5244" w:type="dxa"/>
            <w:vAlign w:val="center"/>
          </w:tcPr>
          <w:p w14:paraId="2F6EE73F">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0D1E3E28">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4234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85448D4">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2</w:t>
            </w:r>
          </w:p>
        </w:tc>
        <w:tc>
          <w:tcPr>
            <w:tcW w:w="5244" w:type="dxa"/>
            <w:vAlign w:val="center"/>
          </w:tcPr>
          <w:p w14:paraId="3AA26A37">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3A07919B">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5BD9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44BCDFE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w:t>
            </w:r>
          </w:p>
        </w:tc>
        <w:tc>
          <w:tcPr>
            <w:tcW w:w="5244" w:type="dxa"/>
            <w:vAlign w:val="center"/>
          </w:tcPr>
          <w:p w14:paraId="4C1BB68B">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3741BBE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151B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063B7A89">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合</w:t>
            </w:r>
            <w:r>
              <w:rPr>
                <w:rFonts w:hint="default" w:ascii="Times New Roman" w:hAnsi="Times New Roman" w:cs="Times New Roman"/>
                <w:color w:val="auto"/>
                <w:sz w:val="30"/>
                <w:szCs w:val="30"/>
                <w:highlight w:val="none"/>
                <w:lang w:eastAsia="zh-CN"/>
              </w:rPr>
              <w:t>计</w:t>
            </w:r>
          </w:p>
        </w:tc>
        <w:tc>
          <w:tcPr>
            <w:tcW w:w="8592" w:type="dxa"/>
            <w:gridSpan w:val="2"/>
            <w:vAlign w:val="center"/>
          </w:tcPr>
          <w:p w14:paraId="242D0BA8">
            <w:pPr>
              <w:pageBreakBefore w:val="0"/>
              <w:kinsoku/>
              <w:wordWrap/>
              <w:overflowPunct/>
              <w:topLinePunct w:val="0"/>
              <w:bidi w:val="0"/>
              <w:spacing w:line="580" w:lineRule="exact"/>
              <w:ind w:left="0" w:leftChars="0" w:right="0"/>
              <w:jc w:val="left"/>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小</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                  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w:t>
            </w:r>
          </w:p>
        </w:tc>
      </w:tr>
    </w:tbl>
    <w:p w14:paraId="6CC86FA4">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p>
    <w:p w14:paraId="5A8C971C">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val="en-US" w:eastAsia="zh-CN"/>
        </w:rPr>
        <w:t>报</w:t>
      </w:r>
      <w:r>
        <w:rPr>
          <w:rFonts w:hint="default" w:ascii="Times New Roman" w:hAnsi="Times New Roman" w:cs="Times New Roman"/>
          <w:color w:val="auto"/>
          <w:sz w:val="30"/>
          <w:szCs w:val="30"/>
          <w:highlight w:val="none"/>
        </w:rPr>
        <w:t>价（大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人民</w:t>
      </w:r>
      <w:r>
        <w:rPr>
          <w:rFonts w:hint="default" w:ascii="Times New Roman" w:hAnsi="Times New Roman" w:cs="Times New Roman"/>
          <w:color w:val="auto"/>
          <w:sz w:val="30"/>
          <w:szCs w:val="30"/>
          <w:highlight w:val="none"/>
          <w:lang w:val="en-US" w:eastAsia="zh-CN"/>
        </w:rPr>
        <w:t>币</w:t>
      </w:r>
      <w:r>
        <w:rPr>
          <w:rFonts w:hint="default" w:ascii="Times New Roman" w:hAnsi="Times New Roman" w:cs="Times New Roman"/>
          <w:color w:val="auto"/>
          <w:sz w:val="30"/>
          <w:szCs w:val="30"/>
          <w:highlight w:val="none"/>
        </w:rPr>
        <w:t>）：</w:t>
      </w:r>
    </w:p>
    <w:p w14:paraId="139F81F0">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供</w:t>
      </w:r>
      <w:r>
        <w:rPr>
          <w:rFonts w:hint="default" w:ascii="Times New Roman" w:hAnsi="Times New Roman" w:cs="Times New Roman"/>
          <w:color w:val="auto"/>
          <w:sz w:val="30"/>
          <w:szCs w:val="30"/>
          <w:highlight w:val="none"/>
          <w:lang w:val="en-US" w:eastAsia="zh-CN"/>
        </w:rPr>
        <w:t>应</w:t>
      </w:r>
      <w:r>
        <w:rPr>
          <w:rFonts w:hint="default" w:ascii="Times New Roman" w:hAnsi="Times New Roman" w:cs="Times New Roman"/>
          <w:color w:val="auto"/>
          <w:sz w:val="30"/>
          <w:szCs w:val="30"/>
          <w:highlight w:val="none"/>
        </w:rPr>
        <w:t>商名</w:t>
      </w:r>
      <w:r>
        <w:rPr>
          <w:rFonts w:hint="default" w:ascii="Times New Roman" w:hAnsi="Times New Roman" w:cs="Times New Roman"/>
          <w:color w:val="auto"/>
          <w:sz w:val="30"/>
          <w:szCs w:val="30"/>
          <w:highlight w:val="none"/>
          <w:lang w:val="en-US" w:eastAsia="zh-CN"/>
        </w:rPr>
        <w:t>称</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pacing w:val="6"/>
          <w:sz w:val="30"/>
          <w:szCs w:val="30"/>
          <w:highlight w:val="none"/>
        </w:rPr>
        <w:t>(加</w:t>
      </w:r>
      <w:r>
        <w:rPr>
          <w:rFonts w:hint="default" w:ascii="Times New Roman" w:hAnsi="Times New Roman" w:cs="Times New Roman"/>
          <w:color w:val="auto"/>
          <w:spacing w:val="6"/>
          <w:sz w:val="30"/>
          <w:szCs w:val="30"/>
          <w:highlight w:val="none"/>
          <w:lang w:val="en-US" w:eastAsia="zh-CN"/>
        </w:rPr>
        <w:t>盖</w:t>
      </w:r>
      <w:r>
        <w:rPr>
          <w:rFonts w:hint="default" w:ascii="Times New Roman" w:hAnsi="Times New Roman" w:cs="Times New Roman"/>
          <w:color w:val="auto"/>
          <w:spacing w:val="6"/>
          <w:sz w:val="30"/>
          <w:szCs w:val="30"/>
          <w:highlight w:val="none"/>
        </w:rPr>
        <w:t>公章)</w:t>
      </w:r>
    </w:p>
    <w:p w14:paraId="5DB85B56">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法定代表人或代理人：</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lang w:val="en-US" w:eastAsia="zh-CN"/>
        </w:rPr>
        <w:t>签</w:t>
      </w:r>
      <w:r>
        <w:rPr>
          <w:rFonts w:hint="default" w:ascii="Times New Roman" w:hAnsi="Times New Roman" w:cs="Times New Roman"/>
          <w:color w:val="auto"/>
          <w:sz w:val="30"/>
          <w:szCs w:val="30"/>
          <w:highlight w:val="none"/>
        </w:rPr>
        <w:t>字）</w:t>
      </w:r>
    </w:p>
    <w:p w14:paraId="0CA6699D">
      <w:pPr>
        <w:pageBreakBefore w:val="0"/>
        <w:kinsoku/>
        <w:wordWrap/>
        <w:overflowPunct/>
        <w:topLinePunct w:val="0"/>
        <w:bidi w:val="0"/>
        <w:spacing w:line="580" w:lineRule="exact"/>
        <w:ind w:left="0" w:leftChars="0" w:right="0"/>
        <w:textAlignment w:val="auto"/>
        <w:rPr>
          <w:rFonts w:hint="default" w:ascii="Times New Roman" w:hAnsi="Times New Roman" w:eastAsia="宋体" w:cs="Times New Roman"/>
          <w:color w:val="auto"/>
          <w:sz w:val="30"/>
          <w:szCs w:val="30"/>
          <w:highlight w:val="none"/>
        </w:rPr>
      </w:pPr>
      <w:r>
        <w:rPr>
          <w:rFonts w:hint="default" w:ascii="Times New Roman" w:hAnsi="Times New Roman" w:cs="Times New Roman"/>
          <w:color w:val="auto"/>
          <w:sz w:val="30"/>
          <w:szCs w:val="30"/>
          <w:highlight w:val="none"/>
        </w:rPr>
        <w:t>日期：</w:t>
      </w:r>
    </w:p>
    <w:p w14:paraId="04B3D1EA">
      <w:pPr>
        <w:pStyle w:val="27"/>
        <w:pageBreakBefore w:val="0"/>
        <w:kinsoku/>
        <w:wordWrap/>
        <w:overflowPunct/>
        <w:topLinePunct w:val="0"/>
        <w:bidi w:val="0"/>
        <w:adjustRightInd w:val="0"/>
        <w:snapToGrid w:val="0"/>
        <w:spacing w:line="580" w:lineRule="exact"/>
        <w:ind w:left="602" w:leftChars="0" w:right="0" w:hanging="602" w:hangingChars="200"/>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cs="Times New Roman" w:eastAsiaTheme="minorEastAsia"/>
          <w:b/>
          <w:color w:val="auto"/>
          <w:sz w:val="30"/>
          <w:szCs w:val="30"/>
          <w:highlight w:val="none"/>
        </w:rPr>
        <w:t>说明：报价应是包括</w:t>
      </w:r>
      <w:r>
        <w:rPr>
          <w:rFonts w:hint="default" w:ascii="Times New Roman" w:hAnsi="Times New Roman" w:cs="Times New Roman" w:eastAsiaTheme="minorEastAsia"/>
          <w:b/>
          <w:color w:val="auto"/>
          <w:sz w:val="30"/>
          <w:szCs w:val="30"/>
          <w:highlight w:val="none"/>
          <w:lang w:val="en-US" w:eastAsia="zh-CN"/>
        </w:rPr>
        <w:t>邀请文件中</w:t>
      </w:r>
      <w:r>
        <w:rPr>
          <w:rFonts w:hint="default" w:ascii="Times New Roman" w:hAnsi="Times New Roman" w:cs="Times New Roman" w:eastAsiaTheme="minorEastAsia"/>
          <w:b/>
          <w:color w:val="auto"/>
          <w:sz w:val="30"/>
          <w:szCs w:val="30"/>
          <w:highlight w:val="none"/>
        </w:rPr>
        <w:t>规定的全部响应内容的报价（包含中标供应商应承担的物耗、人工、税费等）。</w:t>
      </w:r>
      <w:bookmarkEnd w:id="169"/>
      <w:bookmarkEnd w:id="170"/>
    </w:p>
    <w:p w14:paraId="30059B9D">
      <w:pPr>
        <w:pageBreakBefore w:val="0"/>
        <w:kinsoku/>
        <w:wordWrap/>
        <w:overflowPunct/>
        <w:topLinePunct w:val="0"/>
        <w:bidi w:val="0"/>
        <w:spacing w:line="580" w:lineRule="exact"/>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eastAsia="华文细黑" w:cs="Times New Roman"/>
          <w:b/>
          <w:bCs/>
          <w:color w:val="auto"/>
          <w:sz w:val="24"/>
          <w:highlight w:val="none"/>
          <w:lang w:val="en-US" w:eastAsia="zh-CN"/>
        </w:rPr>
        <w:br w:type="page"/>
      </w:r>
    </w:p>
    <w:p w14:paraId="7912F88C">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lang w:val="en-US" w:eastAsia="zh-CN"/>
        </w:rPr>
      </w:pPr>
    </w:p>
    <w:p w14:paraId="0CCE236F">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val="en-US" w:eastAsia="zh-CN"/>
        </w:rPr>
        <w:t>报</w:t>
      </w:r>
      <w:r>
        <w:rPr>
          <w:rFonts w:hint="default" w:ascii="Times New Roman" w:hAnsi="Times New Roman" w:cs="Times New Roman"/>
          <w:b/>
          <w:color w:val="auto"/>
          <w:sz w:val="32"/>
          <w:szCs w:val="32"/>
          <w:highlight w:val="none"/>
        </w:rPr>
        <w:t>价表</w:t>
      </w:r>
    </w:p>
    <w:p w14:paraId="1C59534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28"/>
          <w:szCs w:val="28"/>
          <w:highlight w:val="none"/>
        </w:rPr>
      </w:pPr>
    </w:p>
    <w:p w14:paraId="50882B40">
      <w:pPr>
        <w:pageBreakBefore w:val="0"/>
        <w:kinsoku/>
        <w:wordWrap/>
        <w:overflowPunct/>
        <w:topLinePunct w:val="0"/>
        <w:bidi w:val="0"/>
        <w:spacing w:line="580" w:lineRule="exact"/>
        <w:ind w:left="0" w:leftChars="0" w:right="0" w:firstLine="452" w:firstLineChars="150"/>
        <w:textAlignment w:val="auto"/>
        <w:rPr>
          <w:rFonts w:hint="default" w:ascii="Times New Roman" w:hAnsi="Times New Roman" w:cs="Times New Roman"/>
          <w:b/>
          <w:color w:val="auto"/>
          <w:sz w:val="30"/>
          <w:szCs w:val="30"/>
          <w:highlight w:val="none"/>
          <w:u w:val="single"/>
          <w:lang w:val="en-US" w:eastAsia="zh-CN"/>
        </w:rPr>
      </w:pPr>
      <w:r>
        <w:rPr>
          <w:rFonts w:hint="default" w:ascii="Times New Roman" w:hAnsi="Times New Roman" w:cs="Times New Roman"/>
          <w:b/>
          <w:color w:val="auto"/>
          <w:sz w:val="30"/>
          <w:szCs w:val="30"/>
          <w:highlight w:val="none"/>
          <w:lang w:val="en-US" w:eastAsia="zh-CN"/>
        </w:rPr>
        <w:t>项</w:t>
      </w:r>
      <w:r>
        <w:rPr>
          <w:rFonts w:hint="default" w:ascii="Times New Roman" w:hAnsi="Times New Roman" w:cs="Times New Roman"/>
          <w:b/>
          <w:color w:val="auto"/>
          <w:spacing w:val="-20"/>
          <w:sz w:val="30"/>
          <w:szCs w:val="30"/>
          <w:highlight w:val="none"/>
        </w:rPr>
        <w:t>目</w:t>
      </w:r>
      <w:r>
        <w:rPr>
          <w:rFonts w:hint="default" w:ascii="Times New Roman" w:hAnsi="Times New Roman" w:cs="Times New Roman"/>
          <w:b/>
          <w:color w:val="auto"/>
          <w:spacing w:val="-20"/>
          <w:sz w:val="30"/>
          <w:szCs w:val="30"/>
          <w:highlight w:val="none"/>
          <w:lang w:val="en-US" w:eastAsia="zh-CN"/>
        </w:rPr>
        <w:t>名称</w:t>
      </w:r>
      <w:r>
        <w:rPr>
          <w:rFonts w:hint="default" w:ascii="Times New Roman" w:hAnsi="Times New Roman" w:cs="Times New Roman"/>
          <w:b/>
          <w:color w:val="auto"/>
          <w:sz w:val="30"/>
          <w:szCs w:val="30"/>
          <w:highlight w:val="none"/>
        </w:rPr>
        <w:t>：</w:t>
      </w:r>
      <w:r>
        <w:rPr>
          <w:rFonts w:hint="default" w:ascii="Times New Roman" w:hAnsi="Times New Roman" w:eastAsia="仿宋_GB2312" w:cs="Times New Roman"/>
          <w:color w:val="auto"/>
          <w:sz w:val="32"/>
          <w:szCs w:val="32"/>
          <w:highlight w:val="none"/>
          <w:u w:val="single"/>
        </w:rPr>
        <w:t>四川省政府政务服务和公共资源交易服务中心系统安全等级保护测评</w:t>
      </w:r>
      <w:r>
        <w:rPr>
          <w:rFonts w:hint="default" w:ascii="Times New Roman" w:hAnsi="Times New Roman" w:eastAsia="仿宋_GB2312" w:cs="Times New Roman"/>
          <w:color w:val="auto"/>
          <w:sz w:val="32"/>
          <w:szCs w:val="32"/>
          <w:highlight w:val="none"/>
          <w:u w:val="single"/>
          <w:lang w:val="en-US" w:eastAsia="zh-CN"/>
        </w:rPr>
        <w:t>和</w:t>
      </w:r>
      <w:r>
        <w:rPr>
          <w:rFonts w:hint="default" w:ascii="Times New Roman" w:hAnsi="Times New Roman" w:eastAsia="仿宋_GB2312" w:cs="Times New Roman"/>
          <w:color w:val="auto"/>
          <w:sz w:val="32"/>
          <w:szCs w:val="32"/>
          <w:highlight w:val="none"/>
          <w:u w:val="single"/>
        </w:rPr>
        <w:t>12345政务服务热线及网络理政平台等级保护</w:t>
      </w:r>
      <w:r>
        <w:rPr>
          <w:rFonts w:hint="default" w:ascii="Times New Roman" w:hAnsi="Times New Roman" w:eastAsia="仿宋_GB2312" w:cs="Times New Roman"/>
          <w:color w:val="auto"/>
          <w:sz w:val="32"/>
          <w:szCs w:val="32"/>
          <w:highlight w:val="none"/>
          <w:u w:val="single"/>
          <w:lang w:val="en-US" w:eastAsia="zh-CN"/>
        </w:rPr>
        <w:t>项目</w:t>
      </w:r>
    </w:p>
    <w:p w14:paraId="03EE75C6">
      <w:pPr>
        <w:pStyle w:val="7"/>
        <w:pageBreakBefore w:val="0"/>
        <w:kinsoku/>
        <w:wordWrap/>
        <w:overflowPunct/>
        <w:topLinePunct w:val="0"/>
        <w:bidi w:val="0"/>
        <w:spacing w:line="580" w:lineRule="exact"/>
        <w:ind w:firstLine="301" w:firstLineChars="1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color w:val="auto"/>
          <w:sz w:val="30"/>
          <w:szCs w:val="30"/>
          <w:highlight w:val="none"/>
          <w:u w:val="single"/>
          <w:lang w:val="en-US" w:eastAsia="zh-CN"/>
        </w:rPr>
        <w:t>采购包2：</w:t>
      </w:r>
    </w:p>
    <w:p w14:paraId="799AEBE5">
      <w:pPr>
        <w:pStyle w:val="35"/>
        <w:pageBreakBefore w:val="0"/>
        <w:kinsoku/>
        <w:wordWrap/>
        <w:overflowPunct/>
        <w:topLinePunct w:val="0"/>
        <w:bidi w:val="0"/>
        <w:spacing w:before="0" w:after="0" w:line="580" w:lineRule="exact"/>
        <w:ind w:left="0" w:leftChars="0" w:right="0"/>
        <w:textAlignment w:val="auto"/>
        <w:rPr>
          <w:rFonts w:hint="default" w:ascii="Times New Roman" w:hAnsi="Times New Roman" w:eastAsia="宋体" w:cs="Times New Roman"/>
          <w:color w:val="auto"/>
          <w:sz w:val="30"/>
          <w:szCs w:val="30"/>
          <w:highlight w:val="none"/>
        </w:rPr>
      </w:pPr>
    </w:p>
    <w:tbl>
      <w:tblPr>
        <w:tblStyle w:val="5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45AC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16134F85">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color w:val="auto"/>
                <w:sz w:val="30"/>
                <w:szCs w:val="30"/>
                <w:highlight w:val="none"/>
              </w:rPr>
              <w:t>序</w:t>
            </w:r>
            <w:r>
              <w:rPr>
                <w:rFonts w:hint="default" w:ascii="Times New Roman" w:hAnsi="Times New Roman" w:cs="Times New Roman"/>
                <w:b/>
                <w:color w:val="auto"/>
                <w:sz w:val="30"/>
                <w:szCs w:val="30"/>
                <w:highlight w:val="none"/>
                <w:lang w:val="en-US" w:eastAsia="zh-CN"/>
              </w:rPr>
              <w:t>号</w:t>
            </w:r>
          </w:p>
        </w:tc>
        <w:tc>
          <w:tcPr>
            <w:tcW w:w="5244" w:type="dxa"/>
            <w:vAlign w:val="center"/>
          </w:tcPr>
          <w:p w14:paraId="2FC55D27">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服</w:t>
            </w:r>
            <w:r>
              <w:rPr>
                <w:rFonts w:hint="default" w:ascii="Times New Roman" w:hAnsi="Times New Roman" w:cs="Times New Roman"/>
                <w:b/>
                <w:color w:val="auto"/>
                <w:sz w:val="30"/>
                <w:szCs w:val="30"/>
                <w:highlight w:val="none"/>
                <w:lang w:val="en-US" w:eastAsia="zh-CN"/>
              </w:rPr>
              <w:t>务内</w:t>
            </w:r>
            <w:r>
              <w:rPr>
                <w:rFonts w:hint="default" w:ascii="Times New Roman" w:hAnsi="Times New Roman" w:cs="Times New Roman"/>
                <w:b/>
                <w:color w:val="auto"/>
                <w:sz w:val="30"/>
                <w:szCs w:val="30"/>
                <w:highlight w:val="none"/>
              </w:rPr>
              <w:t>容</w:t>
            </w:r>
          </w:p>
        </w:tc>
        <w:tc>
          <w:tcPr>
            <w:tcW w:w="3348" w:type="dxa"/>
            <w:vAlign w:val="center"/>
          </w:tcPr>
          <w:p w14:paraId="456261FB">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lang w:val="en-US" w:eastAsia="zh-CN"/>
              </w:rPr>
              <w:t>报</w:t>
            </w:r>
            <w:r>
              <w:rPr>
                <w:rFonts w:hint="default" w:ascii="Times New Roman" w:hAnsi="Times New Roman" w:cs="Times New Roman"/>
                <w:b/>
                <w:color w:val="auto"/>
                <w:sz w:val="30"/>
                <w:szCs w:val="30"/>
                <w:highlight w:val="none"/>
              </w:rPr>
              <w:t>价（元）</w:t>
            </w:r>
          </w:p>
        </w:tc>
      </w:tr>
      <w:tr w14:paraId="0DC6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6D8D0B89">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1</w:t>
            </w:r>
          </w:p>
        </w:tc>
        <w:tc>
          <w:tcPr>
            <w:tcW w:w="5244" w:type="dxa"/>
            <w:vAlign w:val="center"/>
          </w:tcPr>
          <w:p w14:paraId="675EF745">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4821C7F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27F1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130CCB51">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2</w:t>
            </w:r>
          </w:p>
        </w:tc>
        <w:tc>
          <w:tcPr>
            <w:tcW w:w="5244" w:type="dxa"/>
            <w:vAlign w:val="center"/>
          </w:tcPr>
          <w:p w14:paraId="1B5C136A">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3F1BF109">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54EC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320BDF3A">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w:t>
            </w:r>
          </w:p>
        </w:tc>
        <w:tc>
          <w:tcPr>
            <w:tcW w:w="5244" w:type="dxa"/>
            <w:vAlign w:val="center"/>
          </w:tcPr>
          <w:p w14:paraId="10CD33F8">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194C8EF6">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2D1D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D4C0D04">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合</w:t>
            </w:r>
            <w:r>
              <w:rPr>
                <w:rFonts w:hint="default" w:ascii="Times New Roman" w:hAnsi="Times New Roman" w:cs="Times New Roman"/>
                <w:color w:val="auto"/>
                <w:sz w:val="30"/>
                <w:szCs w:val="30"/>
                <w:highlight w:val="none"/>
                <w:lang w:eastAsia="zh-CN"/>
              </w:rPr>
              <w:t>计</w:t>
            </w:r>
          </w:p>
        </w:tc>
        <w:tc>
          <w:tcPr>
            <w:tcW w:w="8592" w:type="dxa"/>
            <w:gridSpan w:val="2"/>
            <w:vAlign w:val="center"/>
          </w:tcPr>
          <w:p w14:paraId="604E2EEA">
            <w:pPr>
              <w:pageBreakBefore w:val="0"/>
              <w:kinsoku/>
              <w:wordWrap/>
              <w:overflowPunct/>
              <w:topLinePunct w:val="0"/>
              <w:bidi w:val="0"/>
              <w:spacing w:line="580" w:lineRule="exact"/>
              <w:ind w:left="0" w:leftChars="0" w:right="0"/>
              <w:jc w:val="left"/>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小</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                  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w:t>
            </w:r>
          </w:p>
        </w:tc>
      </w:tr>
    </w:tbl>
    <w:p w14:paraId="2FBE0D21">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p>
    <w:p w14:paraId="216F1380">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val="en-US" w:eastAsia="zh-CN"/>
        </w:rPr>
        <w:t>报</w:t>
      </w:r>
      <w:r>
        <w:rPr>
          <w:rFonts w:hint="default" w:ascii="Times New Roman" w:hAnsi="Times New Roman" w:cs="Times New Roman"/>
          <w:color w:val="auto"/>
          <w:sz w:val="30"/>
          <w:szCs w:val="30"/>
          <w:highlight w:val="none"/>
        </w:rPr>
        <w:t>价（大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人民</w:t>
      </w:r>
      <w:r>
        <w:rPr>
          <w:rFonts w:hint="default" w:ascii="Times New Roman" w:hAnsi="Times New Roman" w:cs="Times New Roman"/>
          <w:color w:val="auto"/>
          <w:sz w:val="30"/>
          <w:szCs w:val="30"/>
          <w:highlight w:val="none"/>
          <w:lang w:val="en-US" w:eastAsia="zh-CN"/>
        </w:rPr>
        <w:t>币</w:t>
      </w:r>
      <w:r>
        <w:rPr>
          <w:rFonts w:hint="default" w:ascii="Times New Roman" w:hAnsi="Times New Roman" w:cs="Times New Roman"/>
          <w:color w:val="auto"/>
          <w:sz w:val="30"/>
          <w:szCs w:val="30"/>
          <w:highlight w:val="none"/>
        </w:rPr>
        <w:t>）：</w:t>
      </w:r>
    </w:p>
    <w:p w14:paraId="1417126E">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供</w:t>
      </w:r>
      <w:r>
        <w:rPr>
          <w:rFonts w:hint="default" w:ascii="Times New Roman" w:hAnsi="Times New Roman" w:cs="Times New Roman"/>
          <w:color w:val="auto"/>
          <w:sz w:val="30"/>
          <w:szCs w:val="30"/>
          <w:highlight w:val="none"/>
          <w:lang w:val="en-US" w:eastAsia="zh-CN"/>
        </w:rPr>
        <w:t>应</w:t>
      </w:r>
      <w:r>
        <w:rPr>
          <w:rFonts w:hint="default" w:ascii="Times New Roman" w:hAnsi="Times New Roman" w:cs="Times New Roman"/>
          <w:color w:val="auto"/>
          <w:sz w:val="30"/>
          <w:szCs w:val="30"/>
          <w:highlight w:val="none"/>
        </w:rPr>
        <w:t>商名</w:t>
      </w:r>
      <w:r>
        <w:rPr>
          <w:rFonts w:hint="default" w:ascii="Times New Roman" w:hAnsi="Times New Roman" w:cs="Times New Roman"/>
          <w:color w:val="auto"/>
          <w:sz w:val="30"/>
          <w:szCs w:val="30"/>
          <w:highlight w:val="none"/>
          <w:lang w:val="en-US" w:eastAsia="zh-CN"/>
        </w:rPr>
        <w:t>称</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pacing w:val="6"/>
          <w:sz w:val="30"/>
          <w:szCs w:val="30"/>
          <w:highlight w:val="none"/>
        </w:rPr>
        <w:t>(加</w:t>
      </w:r>
      <w:r>
        <w:rPr>
          <w:rFonts w:hint="default" w:ascii="Times New Roman" w:hAnsi="Times New Roman" w:cs="Times New Roman"/>
          <w:color w:val="auto"/>
          <w:spacing w:val="6"/>
          <w:sz w:val="30"/>
          <w:szCs w:val="30"/>
          <w:highlight w:val="none"/>
          <w:lang w:val="en-US" w:eastAsia="zh-CN"/>
        </w:rPr>
        <w:t>盖</w:t>
      </w:r>
      <w:r>
        <w:rPr>
          <w:rFonts w:hint="default" w:ascii="Times New Roman" w:hAnsi="Times New Roman" w:cs="Times New Roman"/>
          <w:color w:val="auto"/>
          <w:spacing w:val="6"/>
          <w:sz w:val="30"/>
          <w:szCs w:val="30"/>
          <w:highlight w:val="none"/>
        </w:rPr>
        <w:t>公章)</w:t>
      </w:r>
    </w:p>
    <w:p w14:paraId="6672FB14">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法定代表人或代理人：</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lang w:val="en-US" w:eastAsia="zh-CN"/>
        </w:rPr>
        <w:t>签</w:t>
      </w:r>
      <w:r>
        <w:rPr>
          <w:rFonts w:hint="default" w:ascii="Times New Roman" w:hAnsi="Times New Roman" w:cs="Times New Roman"/>
          <w:color w:val="auto"/>
          <w:sz w:val="30"/>
          <w:szCs w:val="30"/>
          <w:highlight w:val="none"/>
        </w:rPr>
        <w:t>字）</w:t>
      </w:r>
    </w:p>
    <w:p w14:paraId="145E099B">
      <w:pPr>
        <w:pageBreakBefore w:val="0"/>
        <w:kinsoku/>
        <w:wordWrap/>
        <w:overflowPunct/>
        <w:topLinePunct w:val="0"/>
        <w:bidi w:val="0"/>
        <w:spacing w:line="580" w:lineRule="exact"/>
        <w:ind w:left="0" w:leftChars="0" w:right="0"/>
        <w:textAlignment w:val="auto"/>
        <w:rPr>
          <w:rFonts w:hint="default" w:ascii="Times New Roman" w:hAnsi="Times New Roman" w:eastAsia="宋体" w:cs="Times New Roman"/>
          <w:color w:val="auto"/>
          <w:sz w:val="30"/>
          <w:szCs w:val="30"/>
          <w:highlight w:val="none"/>
        </w:rPr>
      </w:pPr>
      <w:r>
        <w:rPr>
          <w:rFonts w:hint="default" w:ascii="Times New Roman" w:hAnsi="Times New Roman" w:cs="Times New Roman"/>
          <w:color w:val="auto"/>
          <w:sz w:val="30"/>
          <w:szCs w:val="30"/>
          <w:highlight w:val="none"/>
        </w:rPr>
        <w:t>日期：</w:t>
      </w:r>
    </w:p>
    <w:p w14:paraId="7BCEA590">
      <w:pPr>
        <w:pStyle w:val="27"/>
        <w:pageBreakBefore w:val="0"/>
        <w:kinsoku/>
        <w:wordWrap/>
        <w:overflowPunct/>
        <w:topLinePunct w:val="0"/>
        <w:bidi w:val="0"/>
        <w:adjustRightInd w:val="0"/>
        <w:snapToGrid w:val="0"/>
        <w:spacing w:line="580" w:lineRule="exact"/>
        <w:ind w:left="602" w:leftChars="0" w:right="0" w:hanging="602" w:hangingChars="200"/>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cs="Times New Roman" w:eastAsiaTheme="minorEastAsia"/>
          <w:b/>
          <w:color w:val="auto"/>
          <w:sz w:val="30"/>
          <w:szCs w:val="30"/>
          <w:highlight w:val="none"/>
        </w:rPr>
        <w:t>说明：报价应是包括</w:t>
      </w:r>
      <w:r>
        <w:rPr>
          <w:rFonts w:hint="default" w:ascii="Times New Roman" w:hAnsi="Times New Roman" w:cs="Times New Roman" w:eastAsiaTheme="minorEastAsia"/>
          <w:b/>
          <w:color w:val="auto"/>
          <w:sz w:val="30"/>
          <w:szCs w:val="30"/>
          <w:highlight w:val="none"/>
          <w:lang w:val="en-US" w:eastAsia="zh-CN"/>
        </w:rPr>
        <w:t>邀请文件中</w:t>
      </w:r>
      <w:r>
        <w:rPr>
          <w:rFonts w:hint="default" w:ascii="Times New Roman" w:hAnsi="Times New Roman" w:cs="Times New Roman" w:eastAsiaTheme="minorEastAsia"/>
          <w:b/>
          <w:color w:val="auto"/>
          <w:sz w:val="30"/>
          <w:szCs w:val="30"/>
          <w:highlight w:val="none"/>
        </w:rPr>
        <w:t>规定的全部响应内容的报价（包含中标供应商应承担的物耗、人工、税费等）。</w:t>
      </w:r>
    </w:p>
    <w:p w14:paraId="009BAF03">
      <w:pPr>
        <w:pageBreakBefore w:val="0"/>
        <w:kinsoku/>
        <w:wordWrap/>
        <w:overflowPunct/>
        <w:topLinePunct w:val="0"/>
        <w:bidi w:val="0"/>
        <w:spacing w:line="580" w:lineRule="exact"/>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eastAsia="华文细黑" w:cs="Times New Roman"/>
          <w:b/>
          <w:bCs/>
          <w:color w:val="auto"/>
          <w:sz w:val="24"/>
          <w:highlight w:val="none"/>
          <w:lang w:val="en-US" w:eastAsia="zh-CN"/>
        </w:rPr>
        <w:br w:type="page"/>
      </w:r>
    </w:p>
    <w:p w14:paraId="26A9E02A">
      <w:pPr>
        <w:pStyle w:val="4"/>
        <w:pageBreakBefore w:val="0"/>
        <w:kinsoku/>
        <w:wordWrap/>
        <w:overflowPunct/>
        <w:topLinePunct w:val="0"/>
        <w:bidi w:val="0"/>
        <w:spacing w:before="0" w:after="0" w:line="580" w:lineRule="exact"/>
        <w:ind w:right="0"/>
        <w:textAlignment w:val="auto"/>
        <w:rPr>
          <w:rFonts w:hint="default" w:ascii="Times New Roman" w:hAnsi="Times New Roman" w:eastAsia="仿宋_GB2312" w:cs="Times New Roman"/>
          <w:b/>
          <w:color w:val="auto"/>
          <w:sz w:val="32"/>
          <w:highlight w:val="none"/>
          <w:lang w:eastAsia="zh-CN"/>
        </w:rPr>
      </w:pPr>
      <w:r>
        <w:rPr>
          <w:rFonts w:hint="default" w:ascii="Times New Roman" w:hAnsi="Times New Roman" w:eastAsia="仿宋_GB2312" w:cs="Times New Roman"/>
          <w:b/>
          <w:color w:val="auto"/>
          <w:sz w:val="32"/>
          <w:highlight w:val="none"/>
          <w:lang w:val="en-US" w:eastAsia="zh-CN"/>
        </w:rPr>
        <w:t>3.4</w:t>
      </w:r>
      <w:r>
        <w:rPr>
          <w:rFonts w:hint="default" w:ascii="Times New Roman" w:hAnsi="Times New Roman" w:eastAsia="仿宋_GB2312" w:cs="Times New Roman"/>
          <w:b/>
          <w:color w:val="auto"/>
          <w:sz w:val="32"/>
          <w:highlight w:val="none"/>
        </w:rPr>
        <w:t>声明</w:t>
      </w:r>
      <w:r>
        <w:rPr>
          <w:rFonts w:hint="default" w:ascii="Times New Roman" w:hAnsi="Times New Roman" w:eastAsia="仿宋_GB2312" w:cs="Times New Roman"/>
          <w:b/>
          <w:color w:val="auto"/>
          <w:sz w:val="32"/>
          <w:highlight w:val="none"/>
          <w:lang w:eastAsia="zh-CN"/>
        </w:rPr>
        <w:t>（格式）</w:t>
      </w:r>
    </w:p>
    <w:p w14:paraId="098611B0">
      <w:pPr>
        <w:pStyle w:val="21"/>
        <w:keepNext w:val="0"/>
        <w:keepLines w:val="0"/>
        <w:pageBreakBefore w:val="0"/>
        <w:widowControl w:val="0"/>
        <w:kinsoku/>
        <w:wordWrap/>
        <w:overflowPunct/>
        <w:topLinePunct w:val="0"/>
        <w:autoSpaceDE/>
        <w:autoSpaceDN/>
        <w:bidi w:val="0"/>
        <w:spacing w:line="580" w:lineRule="exact"/>
        <w:ind w:left="0" w:leftChars="0" w:right="0"/>
        <w:jc w:val="center"/>
        <w:textAlignment w:val="auto"/>
        <w:rPr>
          <w:rFonts w:hint="default" w:ascii="Times New Roman" w:hAnsi="Times New Roman" w:eastAsia="宋体" w:cs="Times New Roman"/>
          <w:b/>
          <w:color w:val="auto"/>
          <w:kern w:val="2"/>
          <w:sz w:val="28"/>
          <w:szCs w:val="28"/>
          <w:highlight w:val="none"/>
          <w:u w:val="single"/>
          <w:lang w:val="en-US" w:eastAsia="zh-CN" w:bidi="ar-SA"/>
        </w:rPr>
      </w:pPr>
      <w:r>
        <w:rPr>
          <w:rFonts w:hint="default" w:ascii="Times New Roman" w:hAnsi="Times New Roman" w:eastAsia="宋体" w:cs="Times New Roman"/>
          <w:b/>
          <w:color w:val="auto"/>
          <w:kern w:val="2"/>
          <w:sz w:val="36"/>
          <w:szCs w:val="36"/>
          <w:highlight w:val="none"/>
          <w:u w:val="none"/>
          <w:lang w:val="en-US" w:eastAsia="zh-CN" w:bidi="ar-SA"/>
        </w:rPr>
        <w:t>声  明</w:t>
      </w:r>
    </w:p>
    <w:p w14:paraId="4A224A4F">
      <w:pPr>
        <w:keepNext w:val="0"/>
        <w:keepLines w:val="0"/>
        <w:pageBreakBefore w:val="0"/>
        <w:widowControl w:val="0"/>
        <w:kinsoku/>
        <w:wordWrap/>
        <w:overflowPunct/>
        <w:topLinePunct w:val="0"/>
        <w:autoSpaceDE/>
        <w:autoSpaceDN/>
        <w:bidi w:val="0"/>
        <w:spacing w:line="580" w:lineRule="exact"/>
        <w:ind w:left="0" w:leftChars="0" w:right="0"/>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致：</w:t>
      </w:r>
      <w:r>
        <w:rPr>
          <w:rFonts w:hint="default" w:ascii="Times New Roman" w:hAnsi="Times New Roman" w:cs="Times New Roman"/>
          <w:b/>
          <w:color w:val="auto"/>
          <w:sz w:val="28"/>
          <w:szCs w:val="28"/>
          <w:highlight w:val="none"/>
          <w:u w:val="single"/>
        </w:rPr>
        <w:t>四川省政府政务服务和公共资源交易服务中心</w:t>
      </w:r>
    </w:p>
    <w:p w14:paraId="11FD7216">
      <w:pPr>
        <w:keepNext w:val="0"/>
        <w:keepLines w:val="0"/>
        <w:pageBreakBefore w:val="0"/>
        <w:widowControl w:val="0"/>
        <w:kinsoku/>
        <w:wordWrap/>
        <w:overflowPunct/>
        <w:topLinePunct w:val="0"/>
        <w:autoSpaceDE/>
        <w:autoSpaceDN/>
        <w:bidi w:val="0"/>
        <w:spacing w:line="580" w:lineRule="exact"/>
        <w:ind w:left="0" w:leftChars="0" w:right="0" w:firstLine="560" w:firstLineChars="200"/>
        <w:jc w:val="lef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我单位作为</w:t>
      </w:r>
      <w:r>
        <w:rPr>
          <w:rFonts w:hint="default" w:ascii="Times New Roman" w:hAnsi="Times New Roman" w:cs="Times New Roman"/>
          <w:color w:val="auto"/>
          <w:sz w:val="28"/>
          <w:szCs w:val="28"/>
          <w:highlight w:val="none"/>
          <w:u w:val="single"/>
          <w:lang w:eastAsia="zh-CN"/>
        </w:rPr>
        <w:t>四川省政府政务服务和公共资源交易服务中心2024年四川省12345政务服务热线及网络理政平台网络安全等级保护</w:t>
      </w:r>
      <w:r>
        <w:rPr>
          <w:rFonts w:hint="default" w:ascii="Times New Roman" w:hAnsi="Times New Roman" w:cs="Times New Roman"/>
          <w:color w:val="auto"/>
          <w:sz w:val="28"/>
          <w:szCs w:val="28"/>
          <w:highlight w:val="none"/>
        </w:rPr>
        <w:t>的供应商，在此郑重声明：</w:t>
      </w:r>
    </w:p>
    <w:p w14:paraId="6B4F9BD1">
      <w:pPr>
        <w:keepNext w:val="0"/>
        <w:keepLines w:val="0"/>
        <w:pageBreakBefore w:val="0"/>
        <w:widowControl w:val="0"/>
        <w:kinsoku/>
        <w:wordWrap/>
        <w:overflowPunct/>
        <w:topLinePunct w:val="0"/>
        <w:autoSpaceDE/>
        <w:autoSpaceDN/>
        <w:bidi w:val="0"/>
        <w:spacing w:line="580" w:lineRule="exact"/>
        <w:ind w:left="0" w:leftChars="0" w:right="0" w:firstLine="560" w:firstLineChars="200"/>
        <w:jc w:val="lef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一、我单位参加采购活动前三年内，在经营活动中</w:t>
      </w:r>
      <w:r>
        <w:rPr>
          <w:rFonts w:hint="default" w:ascii="Times New Roman" w:hAnsi="Times New Roman" w:cs="Times New Roman"/>
          <w:b/>
          <w:color w:val="auto"/>
          <w:sz w:val="28"/>
          <w:szCs w:val="28"/>
          <w:highlight w:val="none"/>
          <w:u w:val="single"/>
        </w:rPr>
        <w:t>（说明：填写“无”或“有”</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重大违法记录。</w:t>
      </w:r>
    </w:p>
    <w:p w14:paraId="10CD2164">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二、我单位</w:t>
      </w:r>
      <w:r>
        <w:rPr>
          <w:rFonts w:hint="default" w:ascii="Times New Roman" w:hAnsi="Times New Roman" w:cs="Times New Roman"/>
          <w:b/>
          <w:color w:val="auto"/>
          <w:sz w:val="28"/>
          <w:szCs w:val="28"/>
          <w:highlight w:val="none"/>
          <w:u w:val="single"/>
        </w:rPr>
        <w:t>（说明：填写“具有”或“不具有”</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良好的商业信誉。</w:t>
      </w:r>
    </w:p>
    <w:p w14:paraId="1823D611">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color w:val="auto"/>
          <w:sz w:val="28"/>
          <w:szCs w:val="28"/>
          <w:highlight w:val="none"/>
        </w:rPr>
        <w:t>三、与我单位存在直接控股、管理关系的相关供应商：</w:t>
      </w:r>
      <w:r>
        <w:rPr>
          <w:rFonts w:hint="default" w:ascii="Times New Roman" w:hAnsi="Times New Roman" w:cs="Times New Roman"/>
          <w:b/>
          <w:color w:val="auto"/>
          <w:sz w:val="28"/>
          <w:szCs w:val="28"/>
          <w:highlight w:val="none"/>
          <w:u w:val="single"/>
        </w:rPr>
        <w:t>（说明：填写“无”或“（一）供应商名称１；（二）供应商名称２ ；（三）……”）</w:t>
      </w:r>
      <w:r>
        <w:rPr>
          <w:rFonts w:hint="default" w:ascii="Times New Roman" w:hAnsi="Times New Roman" w:cs="Times New Roman"/>
          <w:b/>
          <w:color w:val="auto"/>
          <w:sz w:val="28"/>
          <w:szCs w:val="28"/>
          <w:highlight w:val="none"/>
        </w:rPr>
        <w:t>。</w:t>
      </w:r>
    </w:p>
    <w:p w14:paraId="35D78CBC">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四、在行贿犯罪信息查询期限内，我公司及我公司现任法定代表人、主要负责人</w:t>
      </w:r>
      <w:r>
        <w:rPr>
          <w:rFonts w:hint="default" w:ascii="Times New Roman" w:hAnsi="Times New Roman" w:cs="Times New Roman"/>
          <w:b/>
          <w:color w:val="auto"/>
          <w:sz w:val="28"/>
          <w:szCs w:val="28"/>
          <w:highlight w:val="none"/>
          <w:u w:val="single"/>
        </w:rPr>
        <w:t>（说明：填写“没有”或“有”）</w:t>
      </w:r>
      <w:r>
        <w:rPr>
          <w:rFonts w:hint="default" w:ascii="Times New Roman" w:hAnsi="Times New Roman" w:cs="Times New Roman"/>
          <w:color w:val="auto"/>
          <w:sz w:val="28"/>
          <w:szCs w:val="28"/>
          <w:highlight w:val="none"/>
        </w:rPr>
        <w:t>行贿犯罪记录。</w:t>
      </w:r>
    </w:p>
    <w:p w14:paraId="564A2547">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五、我公司</w:t>
      </w:r>
      <w:r>
        <w:rPr>
          <w:rFonts w:hint="default" w:ascii="Times New Roman" w:hAnsi="Times New Roman" w:cs="Times New Roman"/>
          <w:b/>
          <w:color w:val="auto"/>
          <w:sz w:val="28"/>
          <w:szCs w:val="28"/>
          <w:highlight w:val="none"/>
          <w:u w:val="single"/>
        </w:rPr>
        <w:t>（说明：填写“未列入”或“被列入”</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失信被执行人、重大税收违法案件当事人名单。</w:t>
      </w:r>
    </w:p>
    <w:p w14:paraId="4F8C10D8">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我公司</w:t>
      </w:r>
      <w:r>
        <w:rPr>
          <w:rFonts w:hint="default" w:ascii="Times New Roman" w:hAnsi="Times New Roman" w:cs="Times New Roman"/>
          <w:b/>
          <w:color w:val="auto"/>
          <w:sz w:val="28"/>
          <w:szCs w:val="28"/>
          <w:highlight w:val="none"/>
          <w:u w:val="single"/>
        </w:rPr>
        <w:t>（说明：填写“未列入”或“被列入”</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采购严重违法失信行为记录名单。</w:t>
      </w:r>
    </w:p>
    <w:p w14:paraId="67B41FD7">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b/>
          <w:color w:val="auto"/>
          <w:sz w:val="28"/>
          <w:szCs w:val="28"/>
          <w:highlight w:val="none"/>
          <w:u w:val="single"/>
        </w:rPr>
      </w:pPr>
      <w:r>
        <w:rPr>
          <w:rFonts w:hint="default" w:ascii="Times New Roman" w:hAnsi="Times New Roman" w:cs="Times New Roman"/>
          <w:color w:val="auto"/>
          <w:sz w:val="28"/>
          <w:szCs w:val="28"/>
          <w:highlight w:val="none"/>
        </w:rPr>
        <w:t>我公司</w:t>
      </w:r>
      <w:r>
        <w:rPr>
          <w:rFonts w:hint="default" w:ascii="Times New Roman" w:hAnsi="Times New Roman" w:cs="Times New Roman"/>
          <w:b/>
          <w:color w:val="auto"/>
          <w:sz w:val="28"/>
          <w:szCs w:val="28"/>
          <w:highlight w:val="none"/>
          <w:u w:val="single"/>
        </w:rPr>
        <w:t>（说明：填写“没有”或“有”</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未依法缴纳税收和社会保障资金的不良记录。</w:t>
      </w:r>
    </w:p>
    <w:p w14:paraId="35189048">
      <w:pPr>
        <w:keepNext w:val="0"/>
        <w:keepLines w:val="0"/>
        <w:pageBreakBefore w:val="0"/>
        <w:widowControl w:val="0"/>
        <w:kinsoku/>
        <w:wordWrap/>
        <w:overflowPunct/>
        <w:topLinePunct w:val="0"/>
        <w:autoSpaceDE/>
        <w:autoSpaceDN/>
        <w:bidi w:val="0"/>
        <w:spacing w:line="580" w:lineRule="exact"/>
        <w:ind w:left="0" w:leftChars="0" w:right="0" w:firstLine="537" w:firstLineChars="19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特此声明。</w:t>
      </w:r>
    </w:p>
    <w:p w14:paraId="67CC9AB2">
      <w:pPr>
        <w:keepNext w:val="0"/>
        <w:keepLines w:val="0"/>
        <w:pageBreakBefore w:val="0"/>
        <w:widowControl w:val="0"/>
        <w:kinsoku/>
        <w:wordWrap/>
        <w:overflowPunct/>
        <w:topLinePunct w:val="0"/>
        <w:autoSpaceDE/>
        <w:autoSpaceDN/>
        <w:bidi w:val="0"/>
        <w:spacing w:line="580" w:lineRule="exact"/>
        <w:ind w:left="0" w:leftChars="0" w:right="0" w:firstLine="537" w:firstLineChars="19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供应商名称：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(加盖公章)</w:t>
      </w:r>
    </w:p>
    <w:p w14:paraId="2B6A6E89">
      <w:pPr>
        <w:keepNext w:val="0"/>
        <w:keepLines w:val="0"/>
        <w:pageBreakBefore w:val="0"/>
        <w:widowControl w:val="0"/>
        <w:kinsoku/>
        <w:wordWrap/>
        <w:overflowPunct/>
        <w:topLinePunct w:val="0"/>
        <w:autoSpaceDE/>
        <w:autoSpaceDN/>
        <w:bidi w:val="0"/>
        <w:spacing w:line="580" w:lineRule="exact"/>
        <w:ind w:left="0" w:leftChars="0" w:right="0" w:firstLine="525"/>
        <w:textAlignment w:val="auto"/>
        <w:rPr>
          <w:rFonts w:hint="default" w:ascii="Times New Roman" w:hAnsi="Times New Roman" w:cs="Times New Roman"/>
          <w:bCs/>
          <w:color w:val="auto"/>
          <w:sz w:val="28"/>
          <w:szCs w:val="28"/>
          <w:highlight w:val="none"/>
          <w:u w:val="single"/>
        </w:rPr>
      </w:pPr>
      <w:r>
        <w:rPr>
          <w:rFonts w:hint="default" w:ascii="Times New Roman" w:hAnsi="Times New Roman" w:cs="Times New Roman"/>
          <w:bCs/>
          <w:color w:val="auto"/>
          <w:sz w:val="28"/>
          <w:szCs w:val="28"/>
          <w:highlight w:val="none"/>
        </w:rPr>
        <w:t>日      期：</w:t>
      </w:r>
      <w:r>
        <w:rPr>
          <w:rFonts w:hint="default" w:ascii="Times New Roman" w:hAnsi="Times New Roman" w:cs="Times New Roman"/>
          <w:color w:val="auto"/>
          <w:sz w:val="28"/>
          <w:szCs w:val="28"/>
          <w:highlight w:val="none"/>
          <w:u w:val="single"/>
        </w:rPr>
        <w:t>　　</w:t>
      </w:r>
      <w:r>
        <w:rPr>
          <w:rFonts w:hint="default" w:ascii="Times New Roman" w:hAnsi="Times New Roman" w:cs="Times New Roman"/>
          <w:bCs/>
          <w:color w:val="auto"/>
          <w:sz w:val="28"/>
          <w:szCs w:val="28"/>
          <w:highlight w:val="none"/>
        </w:rPr>
        <w:t>年</w:t>
      </w:r>
      <w:r>
        <w:rPr>
          <w:rFonts w:hint="default" w:ascii="Times New Roman" w:hAnsi="Times New Roman" w:cs="Times New Roman"/>
          <w:color w:val="auto"/>
          <w:sz w:val="28"/>
          <w:szCs w:val="28"/>
          <w:highlight w:val="none"/>
          <w:u w:val="single"/>
        </w:rPr>
        <w:t>　　</w:t>
      </w:r>
      <w:r>
        <w:rPr>
          <w:rFonts w:hint="default" w:ascii="Times New Roman" w:hAnsi="Times New Roman" w:cs="Times New Roman"/>
          <w:bCs/>
          <w:color w:val="auto"/>
          <w:sz w:val="28"/>
          <w:szCs w:val="28"/>
          <w:highlight w:val="none"/>
        </w:rPr>
        <w:t>月</w:t>
      </w:r>
      <w:r>
        <w:rPr>
          <w:rFonts w:hint="default" w:ascii="Times New Roman" w:hAnsi="Times New Roman" w:cs="Times New Roman"/>
          <w:color w:val="auto"/>
          <w:sz w:val="28"/>
          <w:szCs w:val="28"/>
          <w:highlight w:val="none"/>
          <w:u w:val="single"/>
        </w:rPr>
        <w:t>　　</w:t>
      </w:r>
      <w:r>
        <w:rPr>
          <w:rFonts w:hint="default" w:ascii="Times New Roman" w:hAnsi="Times New Roman" w:cs="Times New Roman"/>
          <w:bCs/>
          <w:color w:val="auto"/>
          <w:sz w:val="28"/>
          <w:szCs w:val="28"/>
          <w:highlight w:val="none"/>
        </w:rPr>
        <w:t>日</w:t>
      </w:r>
    </w:p>
    <w:sectPr>
      <w:headerReference r:id="rId4" w:type="default"/>
      <w:footerReference r:id="rId5"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楷体_GB2312"/>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AB35">
    <w:pPr>
      <w:pStyle w:val="33"/>
      <w:jc w:val="center"/>
    </w:pPr>
    <w:r>
      <w:rPr>
        <w:rStyle w:val="60"/>
        <w:rFonts w:hint="eastAsia"/>
      </w:rPr>
      <w:t>第</w:t>
    </w:r>
    <w:r>
      <w:rPr>
        <w:rStyle w:val="60"/>
      </w:rPr>
      <w:fldChar w:fldCharType="begin"/>
    </w:r>
    <w:r>
      <w:rPr>
        <w:rStyle w:val="60"/>
      </w:rPr>
      <w:instrText xml:space="preserve"> PAGE </w:instrText>
    </w:r>
    <w:r>
      <w:rPr>
        <w:rStyle w:val="60"/>
      </w:rPr>
      <w:fldChar w:fldCharType="separate"/>
    </w:r>
    <w:r>
      <w:rPr>
        <w:rStyle w:val="60"/>
      </w:rPr>
      <w:t>5</w:t>
    </w:r>
    <w:r>
      <w:rPr>
        <w:rStyle w:val="60"/>
      </w:rPr>
      <w:fldChar w:fldCharType="end"/>
    </w:r>
    <w:r>
      <w:rPr>
        <w:rStyle w:val="60"/>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8DFE">
    <w:pPr>
      <w:pStyle w:val="33"/>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905F">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205F163F"/>
    <w:multiLevelType w:val="multilevel"/>
    <w:tmpl w:val="205F163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6"/>
      <w:lvlText w:val=""/>
      <w:lvlJc w:val="left"/>
      <w:pPr>
        <w:tabs>
          <w:tab w:val="left" w:pos="785"/>
        </w:tabs>
        <w:ind w:firstLine="425"/>
      </w:pPr>
      <w:rPr>
        <w:rFonts w:hint="default" w:ascii="Wingdings" w:hAnsi="Wingdings"/>
      </w:rPr>
    </w:lvl>
  </w:abstractNum>
  <w:abstractNum w:abstractNumId="13">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3"/>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E2AF3"/>
    <w:rsid w:val="00FE2FED"/>
    <w:rsid w:val="00FE3A8C"/>
    <w:rsid w:val="00FE4D14"/>
    <w:rsid w:val="00FE78F5"/>
    <w:rsid w:val="00FF21E2"/>
    <w:rsid w:val="00FF3A83"/>
    <w:rsid w:val="00FF4AC1"/>
    <w:rsid w:val="012E6F69"/>
    <w:rsid w:val="01B67ED6"/>
    <w:rsid w:val="021049CF"/>
    <w:rsid w:val="02784803"/>
    <w:rsid w:val="04283649"/>
    <w:rsid w:val="045F4F0A"/>
    <w:rsid w:val="05C0366A"/>
    <w:rsid w:val="08A05605"/>
    <w:rsid w:val="08BF02C3"/>
    <w:rsid w:val="092E133B"/>
    <w:rsid w:val="0A8D6C31"/>
    <w:rsid w:val="0AB63E4B"/>
    <w:rsid w:val="0B852B9F"/>
    <w:rsid w:val="0B900AF3"/>
    <w:rsid w:val="0C9C06AB"/>
    <w:rsid w:val="0DC52948"/>
    <w:rsid w:val="0EA75D08"/>
    <w:rsid w:val="0ECE62E7"/>
    <w:rsid w:val="0F800E2D"/>
    <w:rsid w:val="0FE64614"/>
    <w:rsid w:val="0FE90B71"/>
    <w:rsid w:val="0FEF29DF"/>
    <w:rsid w:val="108C6F6A"/>
    <w:rsid w:val="10D4446D"/>
    <w:rsid w:val="10D55959"/>
    <w:rsid w:val="11625F1D"/>
    <w:rsid w:val="11CF41D4"/>
    <w:rsid w:val="12A272E2"/>
    <w:rsid w:val="133C2385"/>
    <w:rsid w:val="13873574"/>
    <w:rsid w:val="15AC5C46"/>
    <w:rsid w:val="15F16AB3"/>
    <w:rsid w:val="16A317BF"/>
    <w:rsid w:val="16C91448"/>
    <w:rsid w:val="17543957"/>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9E72AA"/>
    <w:rsid w:val="24AA0277"/>
    <w:rsid w:val="25A3468F"/>
    <w:rsid w:val="27F878C3"/>
    <w:rsid w:val="28DA5524"/>
    <w:rsid w:val="28FC707E"/>
    <w:rsid w:val="2ADB2B70"/>
    <w:rsid w:val="2BEB4E2D"/>
    <w:rsid w:val="2BED280E"/>
    <w:rsid w:val="2F1553AA"/>
    <w:rsid w:val="2F7774D9"/>
    <w:rsid w:val="32412F5E"/>
    <w:rsid w:val="33C0257C"/>
    <w:rsid w:val="35E5474C"/>
    <w:rsid w:val="372F3BCB"/>
    <w:rsid w:val="376A5A8A"/>
    <w:rsid w:val="377B0EC0"/>
    <w:rsid w:val="38266265"/>
    <w:rsid w:val="38B41FE8"/>
    <w:rsid w:val="397322C1"/>
    <w:rsid w:val="3A0B0650"/>
    <w:rsid w:val="3B811858"/>
    <w:rsid w:val="3C460065"/>
    <w:rsid w:val="3C9E1C4F"/>
    <w:rsid w:val="3CD542C9"/>
    <w:rsid w:val="3CD87AC7"/>
    <w:rsid w:val="3D094BC5"/>
    <w:rsid w:val="3E725142"/>
    <w:rsid w:val="3E801FE3"/>
    <w:rsid w:val="3EA843EA"/>
    <w:rsid w:val="3EB169D5"/>
    <w:rsid w:val="3FBD5CCA"/>
    <w:rsid w:val="40116410"/>
    <w:rsid w:val="40891116"/>
    <w:rsid w:val="40E32649"/>
    <w:rsid w:val="41E93183"/>
    <w:rsid w:val="421564CB"/>
    <w:rsid w:val="421C6C36"/>
    <w:rsid w:val="42247626"/>
    <w:rsid w:val="42F425C9"/>
    <w:rsid w:val="43B65AD0"/>
    <w:rsid w:val="45135DAF"/>
    <w:rsid w:val="45154A79"/>
    <w:rsid w:val="4821658E"/>
    <w:rsid w:val="485B60D5"/>
    <w:rsid w:val="4B636AF4"/>
    <w:rsid w:val="4BB548C0"/>
    <w:rsid w:val="4C4A055B"/>
    <w:rsid w:val="4D3A47E0"/>
    <w:rsid w:val="4DED0F2F"/>
    <w:rsid w:val="4E71575B"/>
    <w:rsid w:val="50A9305D"/>
    <w:rsid w:val="50CC6F61"/>
    <w:rsid w:val="51870AAC"/>
    <w:rsid w:val="52AF0AD0"/>
    <w:rsid w:val="538C0638"/>
    <w:rsid w:val="53F17237"/>
    <w:rsid w:val="54672F20"/>
    <w:rsid w:val="550E4668"/>
    <w:rsid w:val="55255EE7"/>
    <w:rsid w:val="55771238"/>
    <w:rsid w:val="57FC2484"/>
    <w:rsid w:val="582C415B"/>
    <w:rsid w:val="58384844"/>
    <w:rsid w:val="58984118"/>
    <w:rsid w:val="591C6EB6"/>
    <w:rsid w:val="5A225521"/>
    <w:rsid w:val="5A3C527B"/>
    <w:rsid w:val="5C822AA8"/>
    <w:rsid w:val="5CB00E85"/>
    <w:rsid w:val="5D50269A"/>
    <w:rsid w:val="5DF0426A"/>
    <w:rsid w:val="5FD76F7D"/>
    <w:rsid w:val="600A2860"/>
    <w:rsid w:val="60255E9C"/>
    <w:rsid w:val="604A08CD"/>
    <w:rsid w:val="60A5053A"/>
    <w:rsid w:val="61241E74"/>
    <w:rsid w:val="61585386"/>
    <w:rsid w:val="61907F8F"/>
    <w:rsid w:val="61E635CD"/>
    <w:rsid w:val="629B6D1C"/>
    <w:rsid w:val="63E4197E"/>
    <w:rsid w:val="63F649C9"/>
    <w:rsid w:val="66652D12"/>
    <w:rsid w:val="666A569F"/>
    <w:rsid w:val="67346B89"/>
    <w:rsid w:val="67717E0E"/>
    <w:rsid w:val="67DD6419"/>
    <w:rsid w:val="68A96E42"/>
    <w:rsid w:val="69874162"/>
    <w:rsid w:val="6996622D"/>
    <w:rsid w:val="6B6A6978"/>
    <w:rsid w:val="6B6C6A03"/>
    <w:rsid w:val="6BB77A32"/>
    <w:rsid w:val="6BBF1867"/>
    <w:rsid w:val="6CB84F1C"/>
    <w:rsid w:val="6D713B9A"/>
    <w:rsid w:val="704824EC"/>
    <w:rsid w:val="704C02B4"/>
    <w:rsid w:val="70D85181"/>
    <w:rsid w:val="720024FB"/>
    <w:rsid w:val="741C227D"/>
    <w:rsid w:val="75B10AE0"/>
    <w:rsid w:val="76C079A2"/>
    <w:rsid w:val="771E6C8B"/>
    <w:rsid w:val="79971A4B"/>
    <w:rsid w:val="7A721A4A"/>
    <w:rsid w:val="7ABB519F"/>
    <w:rsid w:val="7AC76807"/>
    <w:rsid w:val="7BFE17E7"/>
    <w:rsid w:val="7D18116C"/>
    <w:rsid w:val="7DB12889"/>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4">
    <w:name w:val="heading 2"/>
    <w:basedOn w:val="1"/>
    <w:next w:val="5"/>
    <w:link w:val="69"/>
    <w:qFormat/>
    <w:uiPriority w:val="99"/>
    <w:pPr>
      <w:keepNext/>
      <w:keepLines/>
      <w:spacing w:before="260" w:after="260" w:line="416" w:lineRule="auto"/>
      <w:outlineLvl w:val="1"/>
    </w:pPr>
    <w:rPr>
      <w:rFonts w:ascii="Arial" w:hAnsi="Arial" w:eastAsia="黑体"/>
      <w:bCs/>
      <w:sz w:val="28"/>
      <w:szCs w:val="32"/>
    </w:rPr>
  </w:style>
  <w:style w:type="paragraph" w:styleId="6">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71"/>
    <w:qFormat/>
    <w:uiPriority w:val="99"/>
    <w:pPr>
      <w:keepNext/>
      <w:outlineLvl w:val="3"/>
    </w:pPr>
    <w:rPr>
      <w:sz w:val="28"/>
      <w:szCs w:val="20"/>
    </w:rPr>
  </w:style>
  <w:style w:type="paragraph" w:styleId="8">
    <w:name w:val="heading 5"/>
    <w:basedOn w:val="1"/>
    <w:next w:val="1"/>
    <w:link w:val="72"/>
    <w:qFormat/>
    <w:uiPriority w:val="99"/>
    <w:pPr>
      <w:keepNext/>
      <w:keepLines/>
      <w:spacing w:before="280" w:after="290" w:line="376" w:lineRule="auto"/>
      <w:outlineLvl w:val="4"/>
    </w:pPr>
    <w:rPr>
      <w:b/>
      <w:bCs/>
      <w:sz w:val="28"/>
      <w:szCs w:val="28"/>
    </w:rPr>
  </w:style>
  <w:style w:type="paragraph" w:styleId="9">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10">
    <w:name w:val="heading 7"/>
    <w:basedOn w:val="1"/>
    <w:next w:val="1"/>
    <w:link w:val="74"/>
    <w:qFormat/>
    <w:uiPriority w:val="99"/>
    <w:pPr>
      <w:keepNext/>
      <w:keepLines/>
      <w:spacing w:before="240" w:after="64" w:line="320" w:lineRule="auto"/>
      <w:outlineLvl w:val="6"/>
    </w:pPr>
    <w:rPr>
      <w:b/>
      <w:bCs/>
      <w:sz w:val="24"/>
    </w:rPr>
  </w:style>
  <w:style w:type="paragraph" w:styleId="11">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8">
    <w:name w:val="Default Paragraph Font"/>
    <w:semiHidden/>
    <w:qFormat/>
    <w:uiPriority w:val="99"/>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unhideWhenUsed/>
    <w:qFormat/>
    <w:locked/>
    <w:uiPriority w:val="99"/>
    <w:pPr>
      <w:ind w:left="1400" w:leftChars="1400"/>
    </w:pPr>
  </w:style>
  <w:style w:type="paragraph" w:styleId="5">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qFormat/>
    <w:uiPriority w:val="99"/>
    <w:pPr>
      <w:ind w:left="2520" w:leftChars="1200"/>
    </w:pPr>
    <w:rPr>
      <w:rFonts w:ascii="Calibri" w:hAnsi="Calibri"/>
      <w:szCs w:val="22"/>
    </w:rPr>
  </w:style>
  <w:style w:type="paragraph" w:styleId="14">
    <w:name w:val="List Number"/>
    <w:basedOn w:val="1"/>
    <w:qFormat/>
    <w:uiPriority w:val="99"/>
    <w:pPr>
      <w:numPr>
        <w:ilvl w:val="0"/>
        <w:numId w:val="1"/>
      </w:numPr>
      <w:spacing w:line="360" w:lineRule="auto"/>
      <w:ind w:hangingChars="200"/>
    </w:pPr>
    <w:rPr>
      <w:sz w:val="24"/>
    </w:rPr>
  </w:style>
  <w:style w:type="paragraph" w:styleId="15">
    <w:name w:val="caption"/>
    <w:basedOn w:val="1"/>
    <w:next w:val="1"/>
    <w:qFormat/>
    <w:uiPriority w:val="99"/>
    <w:pPr>
      <w:widowControl/>
      <w:spacing w:before="120" w:after="120"/>
      <w:jc w:val="center"/>
    </w:pPr>
    <w:rPr>
      <w:rFonts w:ascii="Calibri" w:hAnsi="Calibri"/>
      <w:b/>
      <w:kern w:val="0"/>
      <w:sz w:val="24"/>
      <w:lang w:eastAsia="en-US"/>
    </w:rPr>
  </w:style>
  <w:style w:type="paragraph" w:styleId="16">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7">
    <w:name w:val="Document Map"/>
    <w:basedOn w:val="1"/>
    <w:link w:val="79"/>
    <w:qFormat/>
    <w:uiPriority w:val="99"/>
    <w:rPr>
      <w:rFonts w:ascii="宋体"/>
      <w:sz w:val="18"/>
      <w:szCs w:val="18"/>
    </w:rPr>
  </w:style>
  <w:style w:type="paragraph" w:styleId="18">
    <w:name w:val="annotation text"/>
    <w:basedOn w:val="1"/>
    <w:link w:val="80"/>
    <w:qFormat/>
    <w:uiPriority w:val="99"/>
    <w:pPr>
      <w:jc w:val="left"/>
    </w:pPr>
    <w:rPr>
      <w:szCs w:val="20"/>
    </w:rPr>
  </w:style>
  <w:style w:type="paragraph" w:styleId="19">
    <w:name w:val="Salutation"/>
    <w:basedOn w:val="1"/>
    <w:next w:val="1"/>
    <w:qFormat/>
    <w:uiPriority w:val="0"/>
    <w:rPr>
      <w:rFonts w:ascii="Times New Roman" w:hAnsi="Times New Roman"/>
    </w:rPr>
  </w:style>
  <w:style w:type="paragraph" w:styleId="20">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1">
    <w:name w:val="Body Text"/>
    <w:basedOn w:val="1"/>
    <w:next w:val="1"/>
    <w:link w:val="77"/>
    <w:qFormat/>
    <w:uiPriority w:val="99"/>
    <w:rPr>
      <w:sz w:val="28"/>
      <w:szCs w:val="20"/>
    </w:rPr>
  </w:style>
  <w:style w:type="paragraph" w:styleId="22">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2"/>
    <w:basedOn w:val="1"/>
    <w:qFormat/>
    <w:uiPriority w:val="99"/>
    <w:pPr>
      <w:ind w:left="100" w:leftChars="200" w:hanging="200" w:hangingChars="200"/>
    </w:pPr>
  </w:style>
  <w:style w:type="paragraph" w:styleId="24">
    <w:name w:val="List Bullet 2"/>
    <w:basedOn w:val="1"/>
    <w:qFormat/>
    <w:uiPriority w:val="99"/>
    <w:pPr>
      <w:spacing w:line="324" w:lineRule="auto"/>
      <w:ind w:left="840" w:hanging="420"/>
    </w:pPr>
  </w:style>
  <w:style w:type="paragraph" w:styleId="25">
    <w:name w:val="toc 5"/>
    <w:basedOn w:val="1"/>
    <w:next w:val="1"/>
    <w:qFormat/>
    <w:uiPriority w:val="99"/>
    <w:pPr>
      <w:ind w:left="1680" w:leftChars="800"/>
    </w:pPr>
    <w:rPr>
      <w:rFonts w:ascii="Calibri" w:hAnsi="Calibri"/>
      <w:szCs w:val="22"/>
    </w:rPr>
  </w:style>
  <w:style w:type="paragraph" w:styleId="26">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7">
    <w:name w:val="Plain Text"/>
    <w:basedOn w:val="1"/>
    <w:link w:val="83"/>
    <w:qFormat/>
    <w:uiPriority w:val="99"/>
    <w:rPr>
      <w:rFonts w:ascii="宋体" w:hAnsi="Courier New"/>
      <w:szCs w:val="20"/>
    </w:rPr>
  </w:style>
  <w:style w:type="paragraph" w:styleId="28">
    <w:name w:val="toc 8"/>
    <w:basedOn w:val="1"/>
    <w:next w:val="1"/>
    <w:qFormat/>
    <w:uiPriority w:val="99"/>
    <w:pPr>
      <w:ind w:left="2940" w:leftChars="1400"/>
    </w:pPr>
    <w:rPr>
      <w:rFonts w:ascii="Calibri" w:hAnsi="Calibri"/>
      <w:szCs w:val="22"/>
    </w:rPr>
  </w:style>
  <w:style w:type="paragraph" w:styleId="29">
    <w:name w:val="Date"/>
    <w:basedOn w:val="1"/>
    <w:next w:val="1"/>
    <w:link w:val="84"/>
    <w:qFormat/>
    <w:uiPriority w:val="99"/>
    <w:pPr>
      <w:ind w:left="100" w:leftChars="2500"/>
    </w:pPr>
    <w:rPr>
      <w:szCs w:val="20"/>
    </w:rPr>
  </w:style>
  <w:style w:type="paragraph" w:styleId="30">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1">
    <w:name w:val="List Continue 5"/>
    <w:basedOn w:val="1"/>
    <w:qFormat/>
    <w:uiPriority w:val="99"/>
    <w:pPr>
      <w:adjustRightInd w:val="0"/>
      <w:spacing w:after="120" w:line="312" w:lineRule="atLeast"/>
      <w:ind w:left="2100"/>
      <w:textAlignment w:val="baseline"/>
    </w:pPr>
    <w:rPr>
      <w:kern w:val="0"/>
      <w:szCs w:val="20"/>
    </w:rPr>
  </w:style>
  <w:style w:type="paragraph" w:styleId="32">
    <w:name w:val="Balloon Text"/>
    <w:basedOn w:val="1"/>
    <w:link w:val="86"/>
    <w:qFormat/>
    <w:uiPriority w:val="99"/>
    <w:rPr>
      <w:sz w:val="18"/>
      <w:szCs w:val="18"/>
    </w:rPr>
  </w:style>
  <w:style w:type="paragraph" w:styleId="33">
    <w:name w:val="footer"/>
    <w:basedOn w:val="1"/>
    <w:link w:val="87"/>
    <w:qFormat/>
    <w:uiPriority w:val="99"/>
    <w:pPr>
      <w:tabs>
        <w:tab w:val="center" w:pos="4153"/>
        <w:tab w:val="right" w:pos="8306"/>
      </w:tabs>
      <w:snapToGrid w:val="0"/>
      <w:jc w:val="left"/>
    </w:pPr>
    <w:rPr>
      <w:sz w:val="18"/>
      <w:szCs w:val="18"/>
    </w:rPr>
  </w:style>
  <w:style w:type="paragraph" w:styleId="34">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6">
    <w:name w:val="toc 4"/>
    <w:basedOn w:val="1"/>
    <w:next w:val="1"/>
    <w:qFormat/>
    <w:uiPriority w:val="99"/>
    <w:pPr>
      <w:ind w:left="1260" w:leftChars="600"/>
    </w:pPr>
    <w:rPr>
      <w:rFonts w:ascii="Calibri" w:hAnsi="Calibri"/>
      <w:szCs w:val="22"/>
    </w:rPr>
  </w:style>
  <w:style w:type="paragraph" w:styleId="37">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38">
    <w:name w:val="List"/>
    <w:basedOn w:val="1"/>
    <w:qFormat/>
    <w:uiPriority w:val="99"/>
    <w:pPr>
      <w:ind w:left="200" w:hanging="200" w:hangingChars="200"/>
    </w:pPr>
  </w:style>
  <w:style w:type="paragraph" w:styleId="39">
    <w:name w:val="footnote text"/>
    <w:basedOn w:val="1"/>
    <w:link w:val="90"/>
    <w:qFormat/>
    <w:uiPriority w:val="99"/>
    <w:pPr>
      <w:snapToGrid w:val="0"/>
      <w:jc w:val="left"/>
    </w:pPr>
    <w:rPr>
      <w:sz w:val="18"/>
      <w:szCs w:val="18"/>
    </w:rPr>
  </w:style>
  <w:style w:type="paragraph" w:styleId="40">
    <w:name w:val="toc 6"/>
    <w:basedOn w:val="1"/>
    <w:next w:val="1"/>
    <w:qFormat/>
    <w:uiPriority w:val="99"/>
    <w:pPr>
      <w:ind w:left="2100" w:leftChars="1000"/>
    </w:pPr>
    <w:rPr>
      <w:rFonts w:ascii="Calibri" w:hAnsi="Calibri"/>
      <w:szCs w:val="22"/>
    </w:rPr>
  </w:style>
  <w:style w:type="paragraph" w:styleId="41">
    <w:name w:val="List 5"/>
    <w:basedOn w:val="1"/>
    <w:qFormat/>
    <w:uiPriority w:val="99"/>
    <w:pPr>
      <w:ind w:left="100" w:leftChars="800" w:hanging="200" w:hangingChars="200"/>
      <w:contextualSpacing/>
    </w:pPr>
  </w:style>
  <w:style w:type="paragraph" w:styleId="42">
    <w:name w:val="Body Text Indent 3"/>
    <w:basedOn w:val="1"/>
    <w:link w:val="91"/>
    <w:qFormat/>
    <w:uiPriority w:val="99"/>
    <w:pPr>
      <w:spacing w:after="120" w:line="360" w:lineRule="atLeast"/>
      <w:ind w:firstLine="720" w:firstLineChars="300"/>
    </w:pPr>
    <w:rPr>
      <w:sz w:val="24"/>
      <w:szCs w:val="20"/>
    </w:rPr>
  </w:style>
  <w:style w:type="paragraph" w:styleId="43">
    <w:name w:val="table of figures"/>
    <w:basedOn w:val="1"/>
    <w:next w:val="1"/>
    <w:qFormat/>
    <w:uiPriority w:val="99"/>
    <w:pPr>
      <w:ind w:left="200" w:leftChars="200" w:hanging="200" w:hangingChars="200"/>
    </w:pPr>
  </w:style>
  <w:style w:type="paragraph" w:styleId="44">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5">
    <w:name w:val="toc 9"/>
    <w:basedOn w:val="1"/>
    <w:next w:val="1"/>
    <w:qFormat/>
    <w:uiPriority w:val="99"/>
    <w:pPr>
      <w:ind w:left="3360" w:leftChars="1600"/>
    </w:pPr>
    <w:rPr>
      <w:rFonts w:ascii="Calibri" w:hAnsi="Calibri"/>
      <w:szCs w:val="22"/>
    </w:rPr>
  </w:style>
  <w:style w:type="paragraph" w:styleId="46">
    <w:name w:val="Body Text 2"/>
    <w:basedOn w:val="1"/>
    <w:link w:val="92"/>
    <w:qFormat/>
    <w:uiPriority w:val="99"/>
    <w:pPr>
      <w:spacing w:after="120" w:line="480" w:lineRule="auto"/>
    </w:pPr>
  </w:style>
  <w:style w:type="paragraph" w:styleId="47">
    <w:name w:val="List 4"/>
    <w:basedOn w:val="1"/>
    <w:qFormat/>
    <w:uiPriority w:val="99"/>
    <w:pPr>
      <w:adjustRightInd w:val="0"/>
      <w:spacing w:line="312" w:lineRule="atLeast"/>
      <w:ind w:left="1680" w:hanging="420"/>
      <w:textAlignment w:val="baseline"/>
    </w:pPr>
    <w:rPr>
      <w:kern w:val="0"/>
      <w:szCs w:val="20"/>
    </w:rPr>
  </w:style>
  <w:style w:type="paragraph" w:styleId="48">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9">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semiHidden/>
    <w:qFormat/>
    <w:uiPriority w:val="99"/>
    <w:pPr>
      <w:widowControl/>
      <w:jc w:val="left"/>
    </w:pPr>
    <w:rPr>
      <w:rFonts w:ascii="Calibri" w:hAnsi="Calibri"/>
      <w:kern w:val="0"/>
      <w:sz w:val="24"/>
      <w:szCs w:val="20"/>
      <w:lang w:eastAsia="en-US"/>
    </w:rPr>
  </w:style>
  <w:style w:type="paragraph" w:styleId="51">
    <w:name w:val="Title"/>
    <w:basedOn w:val="1"/>
    <w:next w:val="1"/>
    <w:link w:val="94"/>
    <w:qFormat/>
    <w:uiPriority w:val="99"/>
    <w:pPr>
      <w:spacing w:before="240" w:after="60"/>
      <w:jc w:val="center"/>
      <w:outlineLvl w:val="0"/>
    </w:pPr>
    <w:rPr>
      <w:rFonts w:ascii="Cambria" w:hAnsi="Cambria"/>
      <w:b/>
      <w:bCs/>
      <w:sz w:val="32"/>
      <w:szCs w:val="32"/>
    </w:rPr>
  </w:style>
  <w:style w:type="paragraph" w:styleId="52">
    <w:name w:val="annotation subject"/>
    <w:basedOn w:val="18"/>
    <w:next w:val="18"/>
    <w:link w:val="95"/>
    <w:qFormat/>
    <w:uiPriority w:val="99"/>
    <w:rPr>
      <w:b/>
      <w:bCs/>
    </w:rPr>
  </w:style>
  <w:style w:type="paragraph" w:styleId="53">
    <w:name w:val="Body Text First Indent"/>
    <w:basedOn w:val="21"/>
    <w:link w:val="78"/>
    <w:qFormat/>
    <w:uiPriority w:val="99"/>
    <w:pPr>
      <w:spacing w:after="120"/>
      <w:ind w:firstLine="420" w:firstLineChars="100"/>
    </w:pPr>
    <w:rPr>
      <w:sz w:val="21"/>
      <w:szCs w:val="24"/>
    </w:rPr>
  </w:style>
  <w:style w:type="paragraph" w:styleId="54">
    <w:name w:val="Body Text First Indent 2"/>
    <w:basedOn w:val="22"/>
    <w:link w:val="96"/>
    <w:qFormat/>
    <w:uiPriority w:val="99"/>
    <w:pPr>
      <w:autoSpaceDE/>
      <w:autoSpaceDN/>
      <w:spacing w:line="312" w:lineRule="atLeast"/>
      <w:ind w:left="0" w:firstLine="210"/>
      <w:textAlignment w:val="baseline"/>
    </w:pPr>
    <w:rPr>
      <w:kern w:val="2"/>
      <w:sz w:val="21"/>
      <w:szCs w:val="24"/>
    </w:rPr>
  </w:style>
  <w:style w:type="table" w:styleId="56">
    <w:name w:val="Table Grid"/>
    <w:basedOn w:val="5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qFormat/>
    <w:uiPriority w:val="99"/>
    <w:rPr>
      <w:rFonts w:cs="Times New Roman"/>
      <w:b/>
    </w:rPr>
  </w:style>
  <w:style w:type="character" w:styleId="60">
    <w:name w:val="page number"/>
    <w:basedOn w:val="58"/>
    <w:qFormat/>
    <w:uiPriority w:val="99"/>
    <w:rPr>
      <w:rFonts w:cs="Times New Roman"/>
    </w:rPr>
  </w:style>
  <w:style w:type="character" w:styleId="61">
    <w:name w:val="FollowedHyperlink"/>
    <w:basedOn w:val="58"/>
    <w:qFormat/>
    <w:uiPriority w:val="99"/>
    <w:rPr>
      <w:rFonts w:cs="Times New Roman"/>
      <w:color w:val="800080"/>
      <w:u w:val="single"/>
    </w:rPr>
  </w:style>
  <w:style w:type="character" w:styleId="62">
    <w:name w:val="Emphasis"/>
    <w:basedOn w:val="58"/>
    <w:qFormat/>
    <w:uiPriority w:val="99"/>
    <w:rPr>
      <w:rFonts w:ascii="Calibri" w:hAnsi="Calibri" w:eastAsia="宋体" w:cs="Times New Roman"/>
      <w:b/>
      <w:i/>
      <w:kern w:val="2"/>
      <w:sz w:val="24"/>
      <w:lang w:val="en-US" w:eastAsia="zh-CN"/>
    </w:rPr>
  </w:style>
  <w:style w:type="character" w:styleId="63">
    <w:name w:val="HTML Typewriter"/>
    <w:basedOn w:val="58"/>
    <w:qFormat/>
    <w:uiPriority w:val="99"/>
    <w:rPr>
      <w:rFonts w:ascii="宋体" w:hAnsi="宋体" w:eastAsia="宋体" w:cs="Times New Roman"/>
      <w:sz w:val="24"/>
    </w:rPr>
  </w:style>
  <w:style w:type="character" w:styleId="64">
    <w:name w:val="Hyperlink"/>
    <w:basedOn w:val="58"/>
    <w:qFormat/>
    <w:uiPriority w:val="99"/>
    <w:rPr>
      <w:rFonts w:cs="Times New Roman"/>
      <w:color w:val="0000FF"/>
      <w:u w:val="single"/>
    </w:rPr>
  </w:style>
  <w:style w:type="character" w:styleId="65">
    <w:name w:val="annotation reference"/>
    <w:basedOn w:val="58"/>
    <w:qFormat/>
    <w:uiPriority w:val="99"/>
    <w:rPr>
      <w:rFonts w:cs="Times New Roman"/>
      <w:sz w:val="21"/>
    </w:rPr>
  </w:style>
  <w:style w:type="character" w:styleId="66">
    <w:name w:val="footnote reference"/>
    <w:basedOn w:val="58"/>
    <w:qFormat/>
    <w:uiPriority w:val="99"/>
    <w:rPr>
      <w:rFonts w:cs="Times New Roman"/>
      <w:vertAlign w:val="superscript"/>
    </w:rPr>
  </w:style>
  <w:style w:type="paragraph" w:customStyle="1" w:styleId="67">
    <w:name w:val="正文-标"/>
    <w:basedOn w:val="1"/>
    <w:qFormat/>
    <w:uiPriority w:val="0"/>
    <w:pPr>
      <w:spacing w:line="360" w:lineRule="auto"/>
      <w:ind w:firstLine="200" w:firstLineChars="200"/>
    </w:pPr>
  </w:style>
  <w:style w:type="character" w:customStyle="1" w:styleId="68">
    <w:name w:val="Heading 1 Char"/>
    <w:basedOn w:val="58"/>
    <w:link w:val="3"/>
    <w:qFormat/>
    <w:uiPriority w:val="9"/>
    <w:rPr>
      <w:b/>
      <w:bCs/>
      <w:kern w:val="44"/>
      <w:sz w:val="44"/>
      <w:szCs w:val="44"/>
    </w:rPr>
  </w:style>
  <w:style w:type="character" w:customStyle="1" w:styleId="69">
    <w:name w:val="Heading 2 Char"/>
    <w:basedOn w:val="58"/>
    <w:link w:val="4"/>
    <w:qFormat/>
    <w:locked/>
    <w:uiPriority w:val="99"/>
    <w:rPr>
      <w:rFonts w:ascii="Arial" w:hAnsi="Arial" w:eastAsia="黑体"/>
      <w:kern w:val="2"/>
      <w:sz w:val="32"/>
    </w:rPr>
  </w:style>
  <w:style w:type="character" w:customStyle="1" w:styleId="70">
    <w:name w:val="Heading 3 Char"/>
    <w:basedOn w:val="58"/>
    <w:link w:val="6"/>
    <w:qFormat/>
    <w:locked/>
    <w:uiPriority w:val="99"/>
    <w:rPr>
      <w:rFonts w:ascii="黑体" w:eastAsia="黑体"/>
      <w:sz w:val="28"/>
    </w:rPr>
  </w:style>
  <w:style w:type="character" w:customStyle="1" w:styleId="71">
    <w:name w:val="Heading 4 Char"/>
    <w:basedOn w:val="58"/>
    <w:link w:val="7"/>
    <w:qFormat/>
    <w:locked/>
    <w:uiPriority w:val="99"/>
    <w:rPr>
      <w:kern w:val="2"/>
      <w:sz w:val="28"/>
    </w:rPr>
  </w:style>
  <w:style w:type="character" w:customStyle="1" w:styleId="72">
    <w:name w:val="Heading 5 Char"/>
    <w:basedOn w:val="58"/>
    <w:link w:val="8"/>
    <w:qFormat/>
    <w:locked/>
    <w:uiPriority w:val="99"/>
    <w:rPr>
      <w:b/>
      <w:kern w:val="2"/>
      <w:sz w:val="28"/>
    </w:rPr>
  </w:style>
  <w:style w:type="character" w:customStyle="1" w:styleId="73">
    <w:name w:val="Heading 6 Char"/>
    <w:basedOn w:val="58"/>
    <w:link w:val="9"/>
    <w:qFormat/>
    <w:locked/>
    <w:uiPriority w:val="99"/>
    <w:rPr>
      <w:rFonts w:ascii="Arial" w:hAnsi="Arial" w:eastAsia="黑体"/>
      <w:b/>
      <w:kern w:val="2"/>
      <w:sz w:val="24"/>
    </w:rPr>
  </w:style>
  <w:style w:type="character" w:customStyle="1" w:styleId="74">
    <w:name w:val="Heading 7 Char"/>
    <w:basedOn w:val="58"/>
    <w:link w:val="10"/>
    <w:qFormat/>
    <w:locked/>
    <w:uiPriority w:val="99"/>
    <w:rPr>
      <w:b/>
      <w:kern w:val="2"/>
      <w:sz w:val="24"/>
    </w:rPr>
  </w:style>
  <w:style w:type="character" w:customStyle="1" w:styleId="75">
    <w:name w:val="Heading 8 Char"/>
    <w:basedOn w:val="58"/>
    <w:link w:val="11"/>
    <w:qFormat/>
    <w:locked/>
    <w:uiPriority w:val="99"/>
    <w:rPr>
      <w:rFonts w:ascii="Arial" w:hAnsi="Arial" w:eastAsia="黑体"/>
      <w:kern w:val="2"/>
      <w:sz w:val="24"/>
    </w:rPr>
  </w:style>
  <w:style w:type="character" w:customStyle="1" w:styleId="76">
    <w:name w:val="Heading 9 Char"/>
    <w:basedOn w:val="58"/>
    <w:link w:val="12"/>
    <w:qFormat/>
    <w:locked/>
    <w:uiPriority w:val="99"/>
    <w:rPr>
      <w:rFonts w:ascii="Arial" w:hAnsi="Arial" w:eastAsia="黑体"/>
      <w:kern w:val="2"/>
      <w:sz w:val="21"/>
    </w:rPr>
  </w:style>
  <w:style w:type="character" w:customStyle="1" w:styleId="77">
    <w:name w:val="Body Text Char"/>
    <w:basedOn w:val="58"/>
    <w:link w:val="21"/>
    <w:qFormat/>
    <w:locked/>
    <w:uiPriority w:val="99"/>
    <w:rPr>
      <w:rFonts w:cs="Times New Roman"/>
      <w:kern w:val="2"/>
      <w:sz w:val="28"/>
    </w:rPr>
  </w:style>
  <w:style w:type="character" w:customStyle="1" w:styleId="78">
    <w:name w:val="Body Text First Indent Char"/>
    <w:basedOn w:val="77"/>
    <w:link w:val="53"/>
    <w:qFormat/>
    <w:locked/>
    <w:uiPriority w:val="99"/>
    <w:rPr>
      <w:sz w:val="24"/>
      <w:szCs w:val="24"/>
    </w:rPr>
  </w:style>
  <w:style w:type="character" w:customStyle="1" w:styleId="79">
    <w:name w:val="Document Map Char"/>
    <w:basedOn w:val="58"/>
    <w:link w:val="17"/>
    <w:qFormat/>
    <w:locked/>
    <w:uiPriority w:val="99"/>
    <w:rPr>
      <w:rFonts w:ascii="宋体"/>
      <w:kern w:val="2"/>
      <w:sz w:val="18"/>
    </w:rPr>
  </w:style>
  <w:style w:type="character" w:customStyle="1" w:styleId="80">
    <w:name w:val="Comment Text Char"/>
    <w:basedOn w:val="58"/>
    <w:link w:val="18"/>
    <w:qFormat/>
    <w:locked/>
    <w:uiPriority w:val="99"/>
    <w:rPr>
      <w:rFonts w:eastAsia="宋体"/>
      <w:kern w:val="2"/>
      <w:sz w:val="21"/>
      <w:lang w:val="en-US" w:eastAsia="zh-CN"/>
    </w:rPr>
  </w:style>
  <w:style w:type="character" w:customStyle="1" w:styleId="81">
    <w:name w:val="Body Text 3 Char"/>
    <w:basedOn w:val="58"/>
    <w:link w:val="20"/>
    <w:qFormat/>
    <w:locked/>
    <w:uiPriority w:val="99"/>
    <w:rPr>
      <w:rFonts w:cs="Times New Roman"/>
      <w:b/>
      <w:bCs/>
      <w:sz w:val="36"/>
    </w:rPr>
  </w:style>
  <w:style w:type="character" w:customStyle="1" w:styleId="82">
    <w:name w:val="Body Text Indent Char"/>
    <w:basedOn w:val="58"/>
    <w:link w:val="22"/>
    <w:qFormat/>
    <w:locked/>
    <w:uiPriority w:val="99"/>
    <w:rPr>
      <w:rFonts w:ascii="楷体_GB2312" w:eastAsia="楷体_GB2312" w:cs="Times New Roman"/>
      <w:sz w:val="28"/>
    </w:rPr>
  </w:style>
  <w:style w:type="character" w:customStyle="1" w:styleId="83">
    <w:name w:val="Plain Text Char"/>
    <w:basedOn w:val="58"/>
    <w:link w:val="27"/>
    <w:qFormat/>
    <w:locked/>
    <w:uiPriority w:val="99"/>
    <w:rPr>
      <w:rFonts w:ascii="宋体" w:hAnsi="Courier New"/>
      <w:kern w:val="2"/>
      <w:sz w:val="21"/>
    </w:rPr>
  </w:style>
  <w:style w:type="character" w:customStyle="1" w:styleId="84">
    <w:name w:val="Date Char"/>
    <w:basedOn w:val="58"/>
    <w:link w:val="29"/>
    <w:qFormat/>
    <w:locked/>
    <w:uiPriority w:val="99"/>
    <w:rPr>
      <w:kern w:val="2"/>
      <w:sz w:val="21"/>
    </w:rPr>
  </w:style>
  <w:style w:type="character" w:customStyle="1" w:styleId="85">
    <w:name w:val="Body Text Indent 2 Char"/>
    <w:basedOn w:val="58"/>
    <w:link w:val="30"/>
    <w:qFormat/>
    <w:locked/>
    <w:uiPriority w:val="99"/>
    <w:rPr>
      <w:rFonts w:ascii="仿宋_GB2312" w:hAnsi="宋体" w:eastAsia="仿宋_GB2312"/>
      <w:kern w:val="2"/>
      <w:sz w:val="24"/>
    </w:rPr>
  </w:style>
  <w:style w:type="character" w:customStyle="1" w:styleId="86">
    <w:name w:val="Balloon Text Char"/>
    <w:basedOn w:val="58"/>
    <w:link w:val="32"/>
    <w:qFormat/>
    <w:locked/>
    <w:uiPriority w:val="99"/>
    <w:rPr>
      <w:kern w:val="2"/>
      <w:sz w:val="18"/>
    </w:rPr>
  </w:style>
  <w:style w:type="character" w:customStyle="1" w:styleId="87">
    <w:name w:val="Footer Char"/>
    <w:basedOn w:val="58"/>
    <w:link w:val="33"/>
    <w:qFormat/>
    <w:locked/>
    <w:uiPriority w:val="99"/>
    <w:rPr>
      <w:kern w:val="2"/>
      <w:sz w:val="18"/>
    </w:rPr>
  </w:style>
  <w:style w:type="character" w:customStyle="1" w:styleId="88">
    <w:name w:val="Header Char"/>
    <w:basedOn w:val="58"/>
    <w:link w:val="34"/>
    <w:qFormat/>
    <w:locked/>
    <w:uiPriority w:val="99"/>
    <w:rPr>
      <w:kern w:val="2"/>
      <w:sz w:val="18"/>
    </w:rPr>
  </w:style>
  <w:style w:type="character" w:customStyle="1" w:styleId="89">
    <w:name w:val="Subtitle Char"/>
    <w:basedOn w:val="58"/>
    <w:link w:val="37"/>
    <w:qFormat/>
    <w:locked/>
    <w:uiPriority w:val="99"/>
    <w:rPr>
      <w:rFonts w:ascii="楷体_GB2312" w:eastAsia="楷体_GB2312"/>
      <w:sz w:val="28"/>
    </w:rPr>
  </w:style>
  <w:style w:type="character" w:customStyle="1" w:styleId="90">
    <w:name w:val="Footnote Text Char"/>
    <w:basedOn w:val="58"/>
    <w:link w:val="39"/>
    <w:qFormat/>
    <w:locked/>
    <w:uiPriority w:val="99"/>
    <w:rPr>
      <w:kern w:val="2"/>
      <w:sz w:val="18"/>
    </w:rPr>
  </w:style>
  <w:style w:type="character" w:customStyle="1" w:styleId="91">
    <w:name w:val="Body Text Indent 3 Char"/>
    <w:basedOn w:val="58"/>
    <w:link w:val="42"/>
    <w:qFormat/>
    <w:locked/>
    <w:uiPriority w:val="99"/>
    <w:rPr>
      <w:kern w:val="2"/>
      <w:sz w:val="24"/>
    </w:rPr>
  </w:style>
  <w:style w:type="character" w:customStyle="1" w:styleId="92">
    <w:name w:val="Body Text 2 Char"/>
    <w:basedOn w:val="58"/>
    <w:link w:val="46"/>
    <w:qFormat/>
    <w:locked/>
    <w:uiPriority w:val="99"/>
    <w:rPr>
      <w:kern w:val="2"/>
      <w:sz w:val="24"/>
    </w:rPr>
  </w:style>
  <w:style w:type="character" w:customStyle="1" w:styleId="93">
    <w:name w:val="HTML Preformatted Char"/>
    <w:basedOn w:val="58"/>
    <w:link w:val="48"/>
    <w:qFormat/>
    <w:locked/>
    <w:uiPriority w:val="99"/>
    <w:rPr>
      <w:rFonts w:ascii="宋体" w:eastAsia="宋体" w:cs="Times New Roman"/>
      <w:sz w:val="24"/>
      <w:szCs w:val="24"/>
    </w:rPr>
  </w:style>
  <w:style w:type="character" w:customStyle="1" w:styleId="94">
    <w:name w:val="Title Char"/>
    <w:basedOn w:val="58"/>
    <w:link w:val="51"/>
    <w:qFormat/>
    <w:locked/>
    <w:uiPriority w:val="99"/>
    <w:rPr>
      <w:rFonts w:ascii="Cambria" w:hAnsi="Cambria"/>
      <w:b/>
      <w:kern w:val="2"/>
      <w:sz w:val="32"/>
    </w:rPr>
  </w:style>
  <w:style w:type="character" w:customStyle="1" w:styleId="95">
    <w:name w:val="Comment Subject Char"/>
    <w:basedOn w:val="80"/>
    <w:link w:val="52"/>
    <w:qFormat/>
    <w:locked/>
    <w:uiPriority w:val="99"/>
    <w:rPr>
      <w:b/>
    </w:rPr>
  </w:style>
  <w:style w:type="character" w:customStyle="1" w:styleId="96">
    <w:name w:val="Body Text First Indent 2 Char"/>
    <w:basedOn w:val="82"/>
    <w:link w:val="54"/>
    <w:qFormat/>
    <w:locked/>
    <w:uiPriority w:val="99"/>
    <w:rPr>
      <w:kern w:val="2"/>
      <w:sz w:val="24"/>
      <w:szCs w:val="24"/>
    </w:rPr>
  </w:style>
  <w:style w:type="paragraph" w:customStyle="1" w:styleId="97">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17"/>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3"/>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4"/>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7">
    <w:name w:val="表格"/>
    <w:basedOn w:val="4"/>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3"/>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Normal Indent Char"/>
    <w:link w:val="5"/>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17"/>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17"/>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17"/>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17"/>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17"/>
    <w:qFormat/>
    <w:uiPriority w:val="99"/>
    <w:pPr>
      <w:shd w:val="clear" w:color="auto" w:fill="000080"/>
    </w:pPr>
    <w:rPr>
      <w:rFonts w:ascii="Tahoma" w:hAnsi="Tahoma"/>
      <w:sz w:val="24"/>
      <w:szCs w:val="24"/>
    </w:rPr>
  </w:style>
  <w:style w:type="paragraph" w:customStyle="1" w:styleId="150">
    <w:name w:val="Char Char Char Char Char Char Char"/>
    <w:basedOn w:val="17"/>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17"/>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6"/>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8"/>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8"/>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8"/>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17"/>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8"/>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3"/>
    <w:qFormat/>
    <w:uiPriority w:val="99"/>
    <w:pPr>
      <w:spacing w:before="120" w:after="120" w:line="400" w:lineRule="exact"/>
    </w:pPr>
    <w:rPr>
      <w:rFonts w:ascii="黑体" w:hAnsi="黑体" w:cs="宋体"/>
      <w:bCs w:val="0"/>
      <w:sz w:val="32"/>
      <w:szCs w:val="20"/>
    </w:rPr>
  </w:style>
  <w:style w:type="paragraph" w:customStyle="1" w:styleId="220">
    <w:name w:val="样式2"/>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6"/>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3"/>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Normal (Web) Char"/>
    <w:link w:val="49"/>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4"/>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rFonts w:ascii="Times New Roman" w:hAnsi="Times New Roman"/>
      <w:kern w:val="2"/>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8"/>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5"/>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47</Pages>
  <Words>6233</Words>
  <Characters>6444</Characters>
  <Lines>0</Lines>
  <Paragraphs>0</Paragraphs>
  <TotalTime>24</TotalTime>
  <ScaleCrop>false</ScaleCrop>
  <LinksUpToDate>false</LinksUpToDate>
  <CharactersWithSpaces>6509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WPS_1050795206</cp:lastModifiedBy>
  <cp:lastPrinted>2025-06-06T02:40:50Z</cp:lastPrinted>
  <dcterms:modified xsi:type="dcterms:W3CDTF">2025-06-06T08:05:04Z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E3FB3D5B8C134BBFB34B5BD644DC74EA_13</vt:lpwstr>
  </property>
  <property fmtid="{D5CDD505-2E9C-101B-9397-08002B2CF9AE}" pid="4" name="KSOTemplateDocerSaveRecord">
    <vt:lpwstr>eyJoZGlkIjoiNzAyMzMxNzY0Y2Y1Y2U4ZjMzZjFjMDMwNGMwMjIyYzYiLCJ1c2VySWQiOiIxMDUwNzk1MjA2In0=</vt:lpwstr>
  </property>
</Properties>
</file>