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pPr>
        <w:widowControl/>
        <w:spacing w:line="480" w:lineRule="exact"/>
        <w:jc w:val="center"/>
        <w:rPr>
          <w:rFonts w:hint="eastAsia"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14:textFill>
            <w14:solidFill>
              <w14:schemeClr w14:val="tx1"/>
            </w14:solidFill>
          </w14:textFill>
        </w:rPr>
        <w:t>网络安全监测服务</w:t>
      </w:r>
      <w:r>
        <w:rPr>
          <w:rFonts w:hint="eastAsia" w:ascii="华文细黑" w:hAnsi="华文细黑" w:eastAsia="华文细黑"/>
          <w:b/>
          <w:bCs/>
          <w:color w:val="000000" w:themeColor="text1"/>
          <w:sz w:val="36"/>
          <w:szCs w:val="36"/>
          <w:lang w:eastAsia="zh-CN"/>
          <w14:textFill>
            <w14:solidFill>
              <w14:schemeClr w14:val="tx1"/>
            </w14:solidFill>
          </w14:textFill>
        </w:rPr>
        <w:t>采购</w:t>
      </w:r>
      <w:r>
        <w:rPr>
          <w:rFonts w:hint="eastAsia" w:ascii="华文细黑" w:hAnsi="华文细黑" w:eastAsia="华文细黑"/>
          <w:b/>
          <w:bCs/>
          <w:color w:val="000000" w:themeColor="text1"/>
          <w:sz w:val="36"/>
          <w:szCs w:val="36"/>
          <w14:textFill>
            <w14:solidFill>
              <w14:schemeClr w14:val="tx1"/>
            </w14:solidFill>
          </w14:textFill>
        </w:rPr>
        <w:t>项目</w:t>
      </w:r>
    </w:p>
    <w:p>
      <w:pPr>
        <w:spacing w:line="480" w:lineRule="exact"/>
        <w:jc w:val="center"/>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pPr>
        <w:spacing w:after="120" w:line="620" w:lineRule="exact"/>
        <w:jc w:val="center"/>
        <w:rPr>
          <w:rFonts w:ascii="华文细黑" w:hAnsi="华文细黑" w:eastAsia="华文细黑"/>
          <w:b/>
          <w:color w:val="000000" w:themeColor="text1"/>
          <w:sz w:val="52"/>
          <w:szCs w:val="36"/>
          <w14:textFill>
            <w14:solidFill>
              <w14:schemeClr w14:val="tx1"/>
            </w14:solidFill>
          </w14:textFill>
        </w:rPr>
      </w:pPr>
    </w:p>
    <w:p>
      <w:pPr>
        <w:spacing w:after="120" w:line="620" w:lineRule="exact"/>
        <w:jc w:val="center"/>
        <w:rPr>
          <w:rFonts w:ascii="华文细黑" w:hAnsi="华文细黑" w:eastAsia="华文细黑"/>
          <w:b/>
          <w:color w:val="000000" w:themeColor="text1"/>
          <w:sz w:val="52"/>
          <w:szCs w:val="36"/>
          <w14:textFill>
            <w14:solidFill>
              <w14:schemeClr w14:val="tx1"/>
            </w14:solidFill>
          </w14:textFill>
        </w:rPr>
      </w:pPr>
    </w:p>
    <w:p>
      <w:pPr>
        <w:spacing w:after="120" w:line="620" w:lineRule="exact"/>
        <w:jc w:val="center"/>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比</w:t>
      </w:r>
    </w:p>
    <w:p>
      <w:pPr>
        <w:pStyle w:val="2"/>
      </w:pPr>
    </w:p>
    <w:p>
      <w:pPr>
        <w:jc w:val="center"/>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选</w:t>
      </w:r>
    </w:p>
    <w:p>
      <w:pPr>
        <w:pStyle w:val="2"/>
        <w:rPr>
          <w:rFonts w:hint="eastAsia"/>
          <w:lang w:eastAsia="zh-CN"/>
        </w:rPr>
      </w:pPr>
    </w:p>
    <w:p>
      <w:pPr>
        <w:spacing w:after="120" w:line="620" w:lineRule="exact"/>
        <w:jc w:val="center"/>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pPr>
        <w:spacing w:after="120" w:line="620" w:lineRule="exact"/>
        <w:jc w:val="center"/>
        <w:rPr>
          <w:rFonts w:ascii="华文细黑" w:hAnsi="华文细黑" w:eastAsia="华文细黑"/>
          <w:b/>
          <w:color w:val="000000" w:themeColor="text1"/>
          <w:sz w:val="52"/>
          <w:szCs w:val="36"/>
          <w14:textFill>
            <w14:solidFill>
              <w14:schemeClr w14:val="tx1"/>
            </w14:solidFill>
          </w14:textFill>
        </w:rPr>
      </w:pPr>
    </w:p>
    <w:p>
      <w:pPr>
        <w:spacing w:after="120" w:line="620" w:lineRule="exact"/>
        <w:jc w:val="center"/>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pPr>
        <w:spacing w:after="120" w:line="480" w:lineRule="exact"/>
        <w:jc w:val="center"/>
        <w:rPr>
          <w:rFonts w:ascii="华文细黑" w:hAnsi="华文细黑" w:eastAsia="华文细黑"/>
          <w:b/>
          <w:color w:val="000000" w:themeColor="text1"/>
          <w:sz w:val="32"/>
          <w:szCs w:val="32"/>
          <w14:textFill>
            <w14:solidFill>
              <w14:schemeClr w14:val="tx1"/>
            </w14:solidFill>
          </w14:textFill>
        </w:rPr>
      </w:pPr>
    </w:p>
    <w:p>
      <w:pPr>
        <w:spacing w:after="120" w:line="480" w:lineRule="exact"/>
        <w:jc w:val="center"/>
        <w:rPr>
          <w:rFonts w:ascii="华文细黑" w:hAnsi="华文细黑" w:eastAsia="华文细黑"/>
          <w:b/>
          <w:color w:val="000000" w:themeColor="text1"/>
          <w:sz w:val="32"/>
          <w:szCs w:val="32"/>
          <w14:textFill>
            <w14:solidFill>
              <w14:schemeClr w14:val="tx1"/>
            </w14:solidFill>
          </w14:textFill>
        </w:rPr>
      </w:pPr>
    </w:p>
    <w:p>
      <w:pPr>
        <w:spacing w:after="120" w:line="480" w:lineRule="exact"/>
        <w:jc w:val="center"/>
        <w:rPr>
          <w:rFonts w:ascii="华文细黑" w:hAnsi="华文细黑" w:eastAsia="华文细黑"/>
          <w:b/>
          <w:color w:val="000000" w:themeColor="text1"/>
          <w:sz w:val="32"/>
          <w:szCs w:val="32"/>
          <w14:textFill>
            <w14:solidFill>
              <w14:schemeClr w14:val="tx1"/>
            </w14:solidFill>
          </w14:textFill>
        </w:rPr>
      </w:pPr>
    </w:p>
    <w:p>
      <w:pPr>
        <w:spacing w:after="120" w:line="480" w:lineRule="exact"/>
        <w:jc w:val="center"/>
        <w:rPr>
          <w:rFonts w:ascii="华文细黑" w:hAnsi="华文细黑" w:eastAsia="华文细黑"/>
          <w:b/>
          <w:color w:val="000000" w:themeColor="text1"/>
          <w:sz w:val="32"/>
          <w:szCs w:val="32"/>
          <w14:textFill>
            <w14:solidFill>
              <w14:schemeClr w14:val="tx1"/>
            </w14:solidFill>
          </w14:textFill>
        </w:rPr>
      </w:pPr>
    </w:p>
    <w:p>
      <w:pPr>
        <w:spacing w:after="120" w:line="480" w:lineRule="exact"/>
        <w:jc w:val="center"/>
        <w:rPr>
          <w:rFonts w:ascii="华文细黑" w:hAnsi="华文细黑" w:eastAsia="华文细黑"/>
          <w:b/>
          <w:color w:val="000000" w:themeColor="text1"/>
          <w:sz w:val="32"/>
          <w:szCs w:val="32"/>
          <w14:textFill>
            <w14:solidFill>
              <w14:schemeClr w14:val="tx1"/>
            </w14:solidFill>
          </w14:textFill>
        </w:rPr>
      </w:pPr>
    </w:p>
    <w:p>
      <w:pPr>
        <w:spacing w:after="120" w:line="480" w:lineRule="exact"/>
        <w:jc w:val="center"/>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w:t>
      </w:r>
      <w:r>
        <w:rPr>
          <w:rFonts w:hint="eastAsia" w:ascii="华文细黑" w:hAnsi="华文细黑" w:eastAsia="华文细黑"/>
          <w:b/>
          <w:bCs/>
          <w:color w:val="000000" w:themeColor="text1"/>
          <w:sz w:val="36"/>
          <w:szCs w:val="36"/>
          <w:lang w:eastAsia="zh-CN"/>
          <w14:textFill>
            <w14:solidFill>
              <w14:schemeClr w14:val="tx1"/>
            </w14:solidFill>
          </w14:textFill>
        </w:rPr>
        <w:t>政府</w:t>
      </w:r>
      <w:r>
        <w:rPr>
          <w:rFonts w:hint="eastAsia" w:ascii="华文细黑" w:hAnsi="华文细黑" w:eastAsia="华文细黑"/>
          <w:b/>
          <w:bCs/>
          <w:color w:val="000000" w:themeColor="text1"/>
          <w:sz w:val="36"/>
          <w:szCs w:val="36"/>
          <w14:textFill>
            <w14:solidFill>
              <w14:schemeClr w14:val="tx1"/>
            </w14:solidFill>
          </w14:textFill>
        </w:rPr>
        <w:t>政务服务和公共资源交易服务中心</w:t>
      </w:r>
    </w:p>
    <w:p>
      <w:pPr>
        <w:spacing w:after="120" w:line="480" w:lineRule="exact"/>
        <w:jc w:val="center"/>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w:t>
      </w:r>
      <w:r>
        <w:rPr>
          <w:rFonts w:hint="eastAsia" w:ascii="华文细黑" w:hAnsi="华文细黑" w:eastAsia="华文细黑"/>
          <w:b/>
          <w:color w:val="000000" w:themeColor="text1"/>
          <w:sz w:val="32"/>
          <w:lang w:val="en-US" w:eastAsia="zh-CN"/>
          <w14:textFill>
            <w14:solidFill>
              <w14:schemeClr w14:val="tx1"/>
            </w14:solidFill>
          </w14:textFill>
        </w:rPr>
        <w:t>3</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3</w:t>
      </w:r>
      <w:r>
        <w:rPr>
          <w:rFonts w:hint="eastAsia" w:ascii="华文细黑" w:hAnsi="华文细黑" w:eastAsia="华文细黑"/>
          <w:b/>
          <w:color w:val="000000" w:themeColor="text1"/>
          <w:sz w:val="32"/>
          <w14:textFill>
            <w14:solidFill>
              <w14:schemeClr w14:val="tx1"/>
            </w14:solidFill>
          </w14:textFill>
        </w:rPr>
        <w:t>月</w:t>
      </w:r>
    </w:p>
    <w:p>
      <w:pPr>
        <w:spacing w:after="120" w:line="480" w:lineRule="exact"/>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pPr>
        <w:pStyle w:val="3"/>
        <w:spacing w:before="0" w:after="0" w:line="480" w:lineRule="exact"/>
        <w:rPr>
          <w:rFonts w:ascii="华文细黑" w:hAnsi="华文细黑" w:eastAsia="华文细黑"/>
          <w:b/>
          <w:color w:val="000000" w:themeColor="text1"/>
          <w:sz w:val="36"/>
          <w:szCs w:val="36"/>
          <w14:textFill>
            <w14:solidFill>
              <w14:schemeClr w14:val="tx1"/>
            </w14:solidFill>
          </w14:textFill>
        </w:rPr>
      </w:pPr>
      <w:bookmarkStart w:id="0" w:name="_Toc227057880"/>
      <w:bookmarkStart w:id="1" w:name="_Toc453691462"/>
      <w:bookmarkStart w:id="2" w:name="_Toc468808805"/>
      <w:bookmarkStart w:id="3" w:name="_Toc107822520"/>
      <w:bookmarkStart w:id="4" w:name="_Toc227057922"/>
      <w:bookmarkStart w:id="5" w:name="_Toc226969316"/>
      <w:r>
        <w:rPr>
          <w:rFonts w:hint="eastAsia" w:ascii="华文细黑" w:hAnsi="华文细黑" w:eastAsia="华文细黑"/>
          <w:b/>
          <w:color w:val="000000" w:themeColor="text1"/>
          <w:sz w:val="36"/>
          <w:szCs w:val="36"/>
          <w14:textFill>
            <w14:solidFill>
              <w14:schemeClr w14:val="tx1"/>
            </w14:solidFill>
          </w14:textFill>
        </w:rPr>
        <w:t>第一章</w:t>
      </w:r>
      <w:r>
        <w:rPr>
          <w:rFonts w:ascii="华文细黑" w:hAnsi="华文细黑" w:eastAsia="华文细黑"/>
          <w:b/>
          <w:color w:val="000000" w:themeColor="text1"/>
          <w:sz w:val="36"/>
          <w:szCs w:val="36"/>
          <w14:textFill>
            <w14:solidFill>
              <w14:schemeClr w14:val="tx1"/>
            </w14:solidFill>
          </w14:textFill>
        </w:rPr>
        <w:t xml:space="preserve">  </w:t>
      </w:r>
      <w:bookmarkEnd w:id="0"/>
      <w:bookmarkEnd w:id="1"/>
      <w:bookmarkEnd w:id="2"/>
      <w:bookmarkStart w:id="6" w:name="_Toc227057881"/>
      <w:bookmarkStart w:id="7" w:name="_Toc226969274"/>
      <w:bookmarkStart w:id="8" w:name="_Toc107822481"/>
      <w:r>
        <w:rPr>
          <w:rFonts w:hint="eastAsia" w:ascii="华文细黑" w:hAnsi="华文细黑" w:eastAsia="华文细黑"/>
          <w:b/>
          <w:color w:val="000000" w:themeColor="text1"/>
          <w:sz w:val="36"/>
          <w:szCs w:val="36"/>
          <w14:textFill>
            <w14:solidFill>
              <w14:schemeClr w14:val="tx1"/>
            </w14:solidFill>
          </w14:textFill>
        </w:rPr>
        <w:t>采购邀请函</w:t>
      </w:r>
    </w:p>
    <w:bookmarkEnd w:id="6"/>
    <w:bookmarkEnd w:id="7"/>
    <w:bookmarkEnd w:id="8"/>
    <w:p>
      <w:pPr>
        <w:widowControl/>
        <w:spacing w:line="540" w:lineRule="exact"/>
        <w:jc w:val="left"/>
        <w:rPr>
          <w:rFonts w:ascii="仿宋" w:hAnsi="仿宋" w:eastAsia="仿宋" w:cs="仿宋"/>
          <w:color w:val="000000" w:themeColor="text1"/>
          <w:sz w:val="32"/>
          <w:szCs w:val="32"/>
          <w14:textFill>
            <w14:solidFill>
              <w14:schemeClr w14:val="tx1"/>
            </w14:solidFill>
          </w14:textFill>
        </w:rPr>
      </w:pPr>
      <w:r>
        <w:rPr>
          <w:rFonts w:ascii="华文细黑" w:hAnsi="华文细黑" w:eastAsia="华文细黑"/>
          <w:color w:val="000000" w:themeColor="text1"/>
          <w:sz w:val="24"/>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p>
    <w:p>
      <w:pPr>
        <w:widowControl/>
        <w:spacing w:line="540" w:lineRule="exact"/>
        <w:ind w:firstLine="640" w:firstLineChars="200"/>
        <w:jc w:val="left"/>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本项目为四川省政府政务服务和公共资源交易服务中心</w:t>
      </w:r>
      <w:r>
        <w:rPr>
          <w:rFonts w:hint="eastAsia" w:ascii="仿宋" w:hAnsi="仿宋" w:eastAsia="仿宋" w:cs="仿宋"/>
          <w:color w:val="000000" w:themeColor="text1"/>
          <w:sz w:val="32"/>
          <w:szCs w:val="32"/>
          <w:lang w:val="en-US" w:eastAsia="zh-CN"/>
          <w14:textFill>
            <w14:solidFill>
              <w14:schemeClr w14:val="tx1"/>
            </w14:solidFill>
          </w14:textFill>
        </w:rPr>
        <w:t>网络安全监测服务采购项目</w:t>
      </w:r>
      <w:r>
        <w:rPr>
          <w:rFonts w:hint="eastAsia" w:ascii="仿宋" w:hAnsi="仿宋" w:eastAsia="仿宋" w:cs="仿宋"/>
          <w:color w:val="000000" w:themeColor="text1"/>
          <w:sz w:val="32"/>
          <w:szCs w:val="32"/>
          <w14:textFill>
            <w14:solidFill>
              <w14:schemeClr w14:val="tx1"/>
            </w14:solidFill>
          </w14:textFill>
        </w:rPr>
        <w:t>，采购单位为四川省政府政务服务和公共资源交易服务中心。本项目采购内容在规定的集中采购目录之外，且在省直部门分散采购限额标准以下，因此我中心拟用</w:t>
      </w:r>
      <w:r>
        <w:rPr>
          <w:rFonts w:hint="eastAsia" w:ascii="仿宋" w:hAnsi="仿宋" w:eastAsia="仿宋" w:cs="仿宋"/>
          <w:color w:val="000000" w:themeColor="text1"/>
          <w:sz w:val="32"/>
          <w:szCs w:val="32"/>
          <w:lang w:eastAsia="zh-CN"/>
          <w14:textFill>
            <w14:solidFill>
              <w14:schemeClr w14:val="tx1"/>
            </w14:solidFill>
          </w14:textFill>
        </w:rPr>
        <w:t>比选</w:t>
      </w:r>
      <w:r>
        <w:rPr>
          <w:rFonts w:hint="eastAsia" w:ascii="仿宋" w:hAnsi="仿宋" w:eastAsia="仿宋" w:cs="仿宋"/>
          <w:color w:val="000000" w:themeColor="text1"/>
          <w:sz w:val="32"/>
          <w:szCs w:val="32"/>
          <w14:textFill>
            <w14:solidFill>
              <w14:schemeClr w14:val="tx1"/>
            </w14:solidFill>
          </w14:textFill>
        </w:rPr>
        <w:t>方式进行自行采购。</w:t>
      </w:r>
    </w:p>
    <w:p>
      <w:pPr>
        <w:spacing w:line="540" w:lineRule="exact"/>
        <w:ind w:firstLine="643" w:firstLineChars="200"/>
        <w:rPr>
          <w:rFonts w:ascii="仿宋" w:hAnsi="仿宋" w:eastAsia="仿宋" w:cs="仿宋"/>
          <w:b/>
          <w:color w:val="000000" w:themeColor="text1"/>
          <w:sz w:val="32"/>
          <w:szCs w:val="32"/>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t>1</w:t>
      </w:r>
      <w:r>
        <w:rPr>
          <w:rFonts w:hint="eastAsia" w:ascii="仿宋" w:hAnsi="仿宋" w:eastAsia="仿宋" w:cs="仿宋"/>
          <w:b/>
          <w:color w:val="000000" w:themeColor="text1"/>
          <w:sz w:val="32"/>
          <w:szCs w:val="32"/>
          <w14:textFill>
            <w14:solidFill>
              <w14:schemeClr w14:val="tx1"/>
            </w14:solidFill>
          </w14:textFill>
        </w:rPr>
        <w:t>、项目概况：</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采购项目：四川省政府政务服务和公共资源交易服务中心</w:t>
      </w:r>
      <w:r>
        <w:rPr>
          <w:rFonts w:hint="eastAsia" w:ascii="仿宋" w:hAnsi="仿宋" w:eastAsia="仿宋" w:cs="仿宋"/>
          <w:color w:val="000000" w:themeColor="text1"/>
          <w:sz w:val="32"/>
          <w:szCs w:val="32"/>
          <w:lang w:val="en-US" w:eastAsia="zh-CN"/>
          <w14:textFill>
            <w14:solidFill>
              <w14:schemeClr w14:val="tx1"/>
            </w14:solidFill>
          </w14:textFill>
        </w:rPr>
        <w:t>网络安全监测服务采购项目</w:t>
      </w:r>
      <w:r>
        <w:rPr>
          <w:rFonts w:hint="eastAsia" w:ascii="仿宋" w:hAnsi="仿宋" w:eastAsia="仿宋" w:cs="仿宋"/>
          <w:color w:val="000000" w:themeColor="text1"/>
          <w:sz w:val="32"/>
          <w:szCs w:val="32"/>
          <w14:textFill>
            <w14:solidFill>
              <w14:schemeClr w14:val="tx1"/>
            </w14:solidFill>
          </w14:textFill>
        </w:rPr>
        <w:t>。</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项目资金：自筹资金。</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项目实施方式：在合同约定时间范围内为四川省政府政务服务和公共资源交易服务中心提供</w:t>
      </w:r>
      <w:r>
        <w:rPr>
          <w:rFonts w:hint="eastAsia" w:ascii="仿宋" w:hAnsi="仿宋" w:eastAsia="仿宋" w:cs="仿宋"/>
          <w:color w:val="000000" w:themeColor="text1"/>
          <w:sz w:val="32"/>
          <w:szCs w:val="32"/>
          <w:lang w:val="en-US" w:eastAsia="zh-CN"/>
          <w14:textFill>
            <w14:solidFill>
              <w14:schemeClr w14:val="tx1"/>
            </w14:solidFill>
          </w14:textFill>
        </w:rPr>
        <w:t>网络安全监测服务</w:t>
      </w:r>
      <w:r>
        <w:rPr>
          <w:rFonts w:hint="eastAsia" w:ascii="仿宋" w:hAnsi="仿宋" w:eastAsia="仿宋" w:cs="仿宋"/>
          <w:color w:val="000000" w:themeColor="text1"/>
          <w:sz w:val="32"/>
          <w:szCs w:val="32"/>
          <w14:textFill>
            <w14:solidFill>
              <w14:schemeClr w14:val="tx1"/>
            </w14:solidFill>
          </w14:textFill>
        </w:rPr>
        <w:t>。</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1.4</w:t>
      </w:r>
      <w:r>
        <w:rPr>
          <w:rFonts w:hint="eastAsia" w:ascii="仿宋" w:hAnsi="仿宋" w:eastAsia="仿宋" w:cs="仿宋"/>
          <w:color w:val="000000" w:themeColor="text1"/>
          <w:sz w:val="32"/>
          <w:szCs w:val="32"/>
          <w14:textFill>
            <w14:solidFill>
              <w14:schemeClr w14:val="tx1"/>
            </w14:solidFill>
          </w14:textFill>
        </w:rPr>
        <w:t>质量效果要求：符合国家相关要求。</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采购内容：四川省政府政务服务和公共资源交易服务中心</w:t>
      </w:r>
      <w:r>
        <w:rPr>
          <w:rFonts w:hint="eastAsia" w:ascii="仿宋" w:hAnsi="仿宋" w:eastAsia="仿宋" w:cs="仿宋"/>
          <w:color w:val="000000" w:themeColor="text1"/>
          <w:sz w:val="32"/>
          <w:szCs w:val="32"/>
          <w:lang w:val="en-US" w:eastAsia="zh-CN"/>
          <w14:textFill>
            <w14:solidFill>
              <w14:schemeClr w14:val="tx1"/>
            </w14:solidFill>
          </w14:textFill>
        </w:rPr>
        <w:t>网络安全监测服务项目</w:t>
      </w:r>
      <w:r>
        <w:rPr>
          <w:rFonts w:hint="eastAsia" w:ascii="仿宋" w:hAnsi="仿宋" w:eastAsia="仿宋" w:cs="仿宋"/>
          <w:color w:val="000000" w:themeColor="text1"/>
          <w:sz w:val="32"/>
          <w:szCs w:val="32"/>
          <w14:textFill>
            <w14:solidFill>
              <w14:schemeClr w14:val="tx1"/>
            </w14:solidFill>
          </w14:textFill>
        </w:rPr>
        <w:t>。</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1.6</w:t>
      </w:r>
      <w:r>
        <w:rPr>
          <w:rFonts w:hint="eastAsia" w:ascii="仿宋" w:hAnsi="仿宋" w:eastAsia="仿宋" w:cs="仿宋"/>
          <w:color w:val="000000" w:themeColor="text1"/>
          <w:sz w:val="32"/>
          <w:szCs w:val="32"/>
          <w14:textFill>
            <w14:solidFill>
              <w14:schemeClr w14:val="tx1"/>
            </w14:solidFill>
          </w14:textFill>
        </w:rPr>
        <w:t>项目总预算：人民币</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45 </w:t>
      </w:r>
      <w:r>
        <w:rPr>
          <w:rFonts w:hint="eastAsia" w:ascii="仿宋" w:hAnsi="仿宋" w:eastAsia="仿宋" w:cs="仿宋"/>
          <w:color w:val="000000" w:themeColor="text1"/>
          <w:sz w:val="32"/>
          <w:szCs w:val="32"/>
          <w14:textFill>
            <w14:solidFill>
              <w14:schemeClr w14:val="tx1"/>
            </w14:solidFill>
          </w14:textFill>
        </w:rPr>
        <w:t>万元整（</w:t>
      </w:r>
      <w:r>
        <w:rPr>
          <w:rFonts w:hint="eastAsia" w:ascii="仿宋" w:hAnsi="仿宋" w:eastAsia="仿宋" w:cs="仿宋"/>
          <w:color w:val="000000" w:themeColor="text1"/>
          <w:sz w:val="32"/>
          <w:szCs w:val="32"/>
          <w:lang w:val="en-US" w:eastAsia="zh-CN"/>
          <w14:textFill>
            <w14:solidFill>
              <w14:schemeClr w14:val="tx1"/>
            </w14:solidFill>
          </w14:textFill>
        </w:rPr>
        <w:t>肆</w:t>
      </w:r>
      <w:r>
        <w:rPr>
          <w:rFonts w:hint="eastAsia" w:ascii="仿宋" w:hAnsi="仿宋" w:eastAsia="仿宋" w:cs="仿宋"/>
          <w:color w:val="000000" w:themeColor="text1"/>
          <w:sz w:val="32"/>
          <w:szCs w:val="32"/>
          <w:lang w:eastAsia="zh-CN"/>
          <w14:textFill>
            <w14:solidFill>
              <w14:schemeClr w14:val="tx1"/>
            </w14:solidFill>
          </w14:textFill>
        </w:rPr>
        <w:t>拾</w:t>
      </w:r>
      <w:r>
        <w:rPr>
          <w:rFonts w:hint="eastAsia" w:ascii="仿宋" w:hAnsi="仿宋" w:eastAsia="仿宋" w:cs="仿宋"/>
          <w:color w:val="000000" w:themeColor="text1"/>
          <w:sz w:val="32"/>
          <w:szCs w:val="32"/>
          <w:lang w:val="en-US" w:eastAsia="zh-CN"/>
          <w14:textFill>
            <w14:solidFill>
              <w14:schemeClr w14:val="tx1"/>
            </w14:solidFill>
          </w14:textFill>
        </w:rPr>
        <w:t>伍</w:t>
      </w:r>
      <w:r>
        <w:rPr>
          <w:rFonts w:hint="eastAsia" w:ascii="仿宋" w:hAnsi="仿宋" w:eastAsia="仿宋" w:cs="仿宋"/>
          <w:color w:val="000000" w:themeColor="text1"/>
          <w:sz w:val="32"/>
          <w:szCs w:val="32"/>
          <w14:textFill>
            <w14:solidFill>
              <w14:schemeClr w14:val="tx1"/>
            </w14:solidFill>
          </w14:textFill>
        </w:rPr>
        <w:t>万元整）</w:t>
      </w:r>
    </w:p>
    <w:p>
      <w:pPr>
        <w:spacing w:line="540" w:lineRule="exact"/>
        <w:ind w:firstLine="640" w:firstLineChars="200"/>
        <w:rPr>
          <w:rFonts w:hint="eastAsia" w:ascii="仿宋" w:hAnsi="仿宋" w:eastAsia="仿宋" w:cs="仿宋"/>
          <w:b/>
          <w:color w:val="000000" w:themeColor="text1"/>
          <w:sz w:val="32"/>
          <w:szCs w:val="32"/>
          <w:lang w:eastAsia="zh-CN"/>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t>中选原则：</w:t>
      </w:r>
      <w:r>
        <w:rPr>
          <w:rFonts w:hint="eastAsia" w:ascii="仿宋" w:hAnsi="仿宋" w:eastAsia="仿宋" w:cs="仿宋"/>
          <w:b/>
          <w:color w:val="000000" w:themeColor="text1"/>
          <w:sz w:val="32"/>
          <w:szCs w:val="32"/>
          <w14:textFill>
            <w14:solidFill>
              <w14:schemeClr w14:val="tx1"/>
            </w14:solidFill>
          </w14:textFill>
        </w:rPr>
        <w:t>根据综合评分法按排名由高到低推荐第一名为中标候选人</w:t>
      </w:r>
      <w:r>
        <w:rPr>
          <w:rFonts w:hint="eastAsia" w:ascii="仿宋" w:hAnsi="仿宋" w:eastAsia="仿宋" w:cs="仿宋"/>
          <w:b/>
          <w:color w:val="000000" w:themeColor="text1"/>
          <w:sz w:val="32"/>
          <w:szCs w:val="32"/>
          <w:lang w:eastAsia="zh-CN"/>
          <w14:textFill>
            <w14:solidFill>
              <w14:schemeClr w14:val="tx1"/>
            </w14:solidFill>
          </w14:textFill>
        </w:rPr>
        <w:t>。</w:t>
      </w:r>
    </w:p>
    <w:p>
      <w:pPr>
        <w:spacing w:line="540" w:lineRule="exact"/>
        <w:ind w:firstLine="643" w:firstLineChars="200"/>
        <w:rPr>
          <w:rFonts w:ascii="仿宋" w:hAnsi="仿宋" w:eastAsia="仿宋" w:cs="仿宋"/>
          <w:b/>
          <w:color w:val="000000" w:themeColor="text1"/>
          <w:sz w:val="32"/>
          <w:szCs w:val="32"/>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t>2</w:t>
      </w:r>
      <w:r>
        <w:rPr>
          <w:rFonts w:hint="eastAsia" w:ascii="仿宋" w:hAnsi="仿宋" w:eastAsia="仿宋" w:cs="仿宋"/>
          <w:b/>
          <w:color w:val="000000" w:themeColor="text1"/>
          <w:sz w:val="32"/>
          <w:szCs w:val="32"/>
          <w14:textFill>
            <w14:solidFill>
              <w14:schemeClr w14:val="tx1"/>
            </w14:solidFill>
          </w14:textFill>
        </w:rPr>
        <w:t>、资格审查方式及</w:t>
      </w:r>
      <w:r>
        <w:rPr>
          <w:rFonts w:hint="eastAsia" w:ascii="仿宋" w:hAnsi="仿宋" w:eastAsia="仿宋" w:cs="仿宋"/>
          <w:b/>
          <w:color w:val="000000" w:themeColor="text1"/>
          <w:sz w:val="32"/>
          <w:szCs w:val="32"/>
          <w:lang w:eastAsia="zh-CN"/>
          <w14:textFill>
            <w14:solidFill>
              <w14:schemeClr w14:val="tx1"/>
            </w14:solidFill>
          </w14:textFill>
        </w:rPr>
        <w:t>供应商</w:t>
      </w:r>
      <w:r>
        <w:rPr>
          <w:rFonts w:hint="eastAsia" w:ascii="仿宋" w:hAnsi="仿宋" w:eastAsia="仿宋" w:cs="仿宋"/>
          <w:b/>
          <w:color w:val="000000" w:themeColor="text1"/>
          <w:sz w:val="32"/>
          <w:szCs w:val="32"/>
          <w14:textFill>
            <w14:solidFill>
              <w14:schemeClr w14:val="tx1"/>
            </w14:solidFill>
          </w14:textFill>
        </w:rPr>
        <w:t>资格要求</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本项目采用资格</w:t>
      </w:r>
      <w:r>
        <w:rPr>
          <w:rFonts w:hint="eastAsia" w:ascii="仿宋" w:hAnsi="仿宋" w:eastAsia="仿宋" w:cs="仿宋"/>
          <w:color w:val="000000" w:themeColor="text1"/>
          <w:sz w:val="32"/>
          <w:szCs w:val="32"/>
          <w:lang w:eastAsia="zh-CN"/>
          <w14:textFill>
            <w14:solidFill>
              <w14:schemeClr w14:val="tx1"/>
            </w14:solidFill>
          </w14:textFill>
        </w:rPr>
        <w:t>预</w:t>
      </w:r>
      <w:r>
        <w:rPr>
          <w:rFonts w:hint="eastAsia" w:ascii="仿宋" w:hAnsi="仿宋" w:eastAsia="仿宋" w:cs="仿宋"/>
          <w:color w:val="000000" w:themeColor="text1"/>
          <w:sz w:val="32"/>
          <w:szCs w:val="32"/>
          <w14:textFill>
            <w14:solidFill>
              <w14:schemeClr w14:val="tx1"/>
            </w14:solidFill>
          </w14:textFill>
        </w:rPr>
        <w:t>审，采购评审小组根据采购文件的规定对</w:t>
      </w:r>
      <w:r>
        <w:rPr>
          <w:rFonts w:hint="eastAsia" w:ascii="仿宋" w:hAnsi="仿宋" w:eastAsia="仿宋" w:cs="仿宋"/>
          <w:color w:val="000000" w:themeColor="text1"/>
          <w:sz w:val="32"/>
          <w:szCs w:val="32"/>
          <w:lang w:eastAsia="zh-CN"/>
          <w14:textFill>
            <w14:solidFill>
              <w14:schemeClr w14:val="tx1"/>
            </w14:solidFill>
          </w14:textFill>
        </w:rPr>
        <w:t>供应商</w:t>
      </w:r>
      <w:r>
        <w:rPr>
          <w:rFonts w:hint="eastAsia" w:ascii="仿宋" w:hAnsi="仿宋" w:eastAsia="仿宋" w:cs="仿宋"/>
          <w:color w:val="000000" w:themeColor="text1"/>
          <w:sz w:val="32"/>
          <w:szCs w:val="32"/>
          <w14:textFill>
            <w14:solidFill>
              <w14:schemeClr w14:val="tx1"/>
            </w14:solidFill>
          </w14:textFill>
        </w:rPr>
        <w:t>进行资格审查，若资格审查不合格其</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将被否决，采购申请人资格要求如下：</w:t>
      </w:r>
    </w:p>
    <w:p>
      <w:pPr>
        <w:spacing w:line="54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具有独立承担民事责任的能力。</w:t>
      </w:r>
    </w:p>
    <w:p>
      <w:pPr>
        <w:spacing w:line="54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2.2</w:t>
      </w:r>
      <w:r>
        <w:rPr>
          <w:rFonts w:hint="eastAsia" w:ascii="仿宋" w:hAnsi="仿宋" w:eastAsia="仿宋" w:cs="仿宋"/>
          <w:color w:val="000000" w:themeColor="text1"/>
          <w:sz w:val="32"/>
          <w:szCs w:val="32"/>
          <w14:textFill>
            <w14:solidFill>
              <w14:schemeClr w14:val="tx1"/>
            </w14:solidFill>
          </w14:textFill>
        </w:rPr>
        <w:t>证明材料：提供营业执照复印件。</w:t>
      </w:r>
    </w:p>
    <w:p>
      <w:pPr>
        <w:spacing w:line="54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具有良好的商业信誉和健全的财务会计制度。</w:t>
      </w:r>
    </w:p>
    <w:p>
      <w:pPr>
        <w:spacing w:line="54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具有履行合同所必需的设备和专业技术能力。</w:t>
      </w:r>
    </w:p>
    <w:p>
      <w:pPr>
        <w:spacing w:line="54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有依法缴纳税收和社会保障资金的良好记录。</w:t>
      </w:r>
    </w:p>
    <w:p>
      <w:pPr>
        <w:spacing w:line="54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2.6</w:t>
      </w:r>
      <w:r>
        <w:rPr>
          <w:rFonts w:hint="eastAsia" w:ascii="仿宋" w:hAnsi="仿宋" w:eastAsia="仿宋" w:cs="仿宋"/>
          <w:color w:val="000000" w:themeColor="text1"/>
          <w:sz w:val="32"/>
          <w:szCs w:val="32"/>
          <w14:textFill>
            <w14:solidFill>
              <w14:schemeClr w14:val="tx1"/>
            </w14:solidFill>
          </w14:textFill>
        </w:rPr>
        <w:t>参加政府采购活动前三年内，在经营活动中没有重大违法记录。</w:t>
      </w:r>
    </w:p>
    <w:p>
      <w:pPr>
        <w:spacing w:line="54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2.7</w:t>
      </w:r>
      <w:r>
        <w:rPr>
          <w:rFonts w:hint="eastAsia" w:ascii="仿宋" w:hAnsi="仿宋" w:eastAsia="仿宋" w:cs="仿宋"/>
          <w:color w:val="000000" w:themeColor="text1"/>
          <w:sz w:val="32"/>
          <w:szCs w:val="32"/>
          <w14:textFill>
            <w14:solidFill>
              <w14:schemeClr w14:val="tx1"/>
            </w14:solidFill>
          </w14:textFill>
        </w:rPr>
        <w:t>法律、行政法规规定的其他条件。</w:t>
      </w:r>
    </w:p>
    <w:p>
      <w:pPr>
        <w:spacing w:line="540" w:lineRule="exact"/>
        <w:ind w:firstLine="643" w:firstLineChars="200"/>
        <w:rPr>
          <w:rFonts w:hint="eastAsia" w:ascii="仿宋" w:hAnsi="仿宋" w:eastAsia="仿宋" w:cs="仿宋"/>
          <w:b/>
          <w:color w:val="000000" w:themeColor="text1"/>
          <w:kern w:val="0"/>
          <w:sz w:val="32"/>
          <w:szCs w:val="32"/>
          <w:lang w:eastAsia="zh-CN"/>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t>3</w:t>
      </w:r>
      <w:r>
        <w:rPr>
          <w:rFonts w:hint="eastAsia" w:ascii="仿宋" w:hAnsi="仿宋" w:eastAsia="仿宋" w:cs="仿宋"/>
          <w:b/>
          <w:color w:val="000000" w:themeColor="text1"/>
          <w:sz w:val="32"/>
          <w:szCs w:val="32"/>
          <w14:textFill>
            <w14:solidFill>
              <w14:schemeClr w14:val="tx1"/>
            </w14:solidFill>
          </w14:textFill>
        </w:rPr>
        <w:t>、报名</w:t>
      </w:r>
      <w:r>
        <w:rPr>
          <w:rFonts w:hint="eastAsia" w:ascii="仿宋" w:hAnsi="仿宋" w:eastAsia="仿宋" w:cs="仿宋"/>
          <w:b/>
          <w:color w:val="000000" w:themeColor="text1"/>
          <w:sz w:val="32"/>
          <w:szCs w:val="32"/>
          <w:lang w:eastAsia="zh-CN"/>
          <w14:textFill>
            <w14:solidFill>
              <w14:schemeClr w14:val="tx1"/>
            </w14:solidFill>
          </w14:textFill>
        </w:rPr>
        <w:t>方式</w:t>
      </w:r>
    </w:p>
    <w:p>
      <w:pPr>
        <w:spacing w:line="54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供应商</w:t>
      </w:r>
      <w:r>
        <w:rPr>
          <w:rFonts w:hint="eastAsia" w:ascii="仿宋" w:hAnsi="仿宋" w:eastAsia="仿宋" w:cs="仿宋"/>
          <w:color w:val="000000" w:themeColor="text1"/>
          <w:kern w:val="0"/>
          <w:sz w:val="32"/>
          <w:szCs w:val="32"/>
          <w14:textFill>
            <w14:solidFill>
              <w14:schemeClr w14:val="tx1"/>
            </w14:solidFill>
          </w14:textFill>
        </w:rPr>
        <w:t>通过</w:t>
      </w:r>
      <w:r>
        <w:rPr>
          <w:rFonts w:hint="eastAsia" w:ascii="仿宋" w:hAnsi="仿宋" w:eastAsia="仿宋" w:cs="仿宋"/>
          <w:color w:val="000000" w:themeColor="text1"/>
          <w:kern w:val="0"/>
          <w:sz w:val="32"/>
          <w:szCs w:val="32"/>
          <w:lang w:val="en-US" w:eastAsia="zh-CN"/>
          <w14:textFill>
            <w14:solidFill>
              <w14:schemeClr w14:val="tx1"/>
            </w14:solidFill>
          </w14:textFill>
        </w:rPr>
        <w:t>省中心门户网站采购公告自行下载比选文件</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获取文件时间为2023年3月24日至3月28日17:00</w:t>
      </w:r>
      <w:r>
        <w:rPr>
          <w:rFonts w:hint="eastAsia" w:ascii="仿宋" w:hAnsi="仿宋" w:eastAsia="仿宋" w:cs="仿宋"/>
          <w:color w:val="000000" w:themeColor="text1"/>
          <w:kern w:val="0"/>
          <w:sz w:val="32"/>
          <w:szCs w:val="32"/>
          <w14:textFill>
            <w14:solidFill>
              <w14:schemeClr w14:val="tx1"/>
            </w14:solidFill>
          </w14:textFill>
        </w:rPr>
        <w:t>（北京时间）。</w:t>
      </w:r>
    </w:p>
    <w:p>
      <w:pPr>
        <w:spacing w:line="540" w:lineRule="exact"/>
        <w:ind w:firstLine="643" w:firstLineChars="200"/>
        <w:rPr>
          <w:rFonts w:ascii="仿宋" w:hAnsi="仿宋" w:eastAsia="仿宋" w:cs="仿宋"/>
          <w:b/>
          <w:color w:val="000000" w:themeColor="text1"/>
          <w:sz w:val="32"/>
          <w:szCs w:val="32"/>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t>4</w:t>
      </w: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color w:val="000000" w:themeColor="text1"/>
          <w:sz w:val="32"/>
          <w:szCs w:val="32"/>
          <w:lang w:eastAsia="zh-CN"/>
          <w14:textFill>
            <w14:solidFill>
              <w14:schemeClr w14:val="tx1"/>
            </w14:solidFill>
          </w14:textFill>
        </w:rPr>
        <w:t>响应文件</w:t>
      </w:r>
      <w:r>
        <w:rPr>
          <w:rFonts w:hint="eastAsia" w:ascii="仿宋" w:hAnsi="仿宋" w:eastAsia="仿宋" w:cs="仿宋"/>
          <w:b/>
          <w:color w:val="000000" w:themeColor="text1"/>
          <w:sz w:val="32"/>
          <w:szCs w:val="32"/>
          <w14:textFill>
            <w14:solidFill>
              <w14:schemeClr w14:val="tx1"/>
            </w14:solidFill>
          </w14:textFill>
        </w:rPr>
        <w:t>的递交</w:t>
      </w:r>
    </w:p>
    <w:p>
      <w:pPr>
        <w:widowControl/>
        <w:spacing w:line="54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比选</w:t>
      </w:r>
      <w:r>
        <w:rPr>
          <w:rFonts w:hint="eastAsia" w:ascii="仿宋" w:hAnsi="仿宋" w:eastAsia="仿宋" w:cs="仿宋"/>
          <w:color w:val="000000" w:themeColor="text1"/>
          <w:sz w:val="32"/>
          <w:szCs w:val="32"/>
          <w14:textFill>
            <w14:solidFill>
              <w14:schemeClr w14:val="tx1"/>
            </w14:solidFill>
          </w14:textFill>
        </w:rPr>
        <w:t>文件提交的截止时间为</w:t>
      </w:r>
      <w:r>
        <w:rPr>
          <w:rFonts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29</w:t>
      </w:r>
      <w:r>
        <w:rPr>
          <w:rFonts w:hint="eastAsia" w:ascii="仿宋" w:hAnsi="仿宋" w:eastAsia="仿宋" w:cs="仿宋"/>
          <w:color w:val="000000" w:themeColor="text1"/>
          <w:sz w:val="32"/>
          <w:szCs w:val="32"/>
          <w14:textFill>
            <w14:solidFill>
              <w14:schemeClr w14:val="tx1"/>
            </w14:solidFill>
          </w14:textFill>
        </w:rPr>
        <w:t>日上午</w:t>
      </w:r>
      <w:r>
        <w:rPr>
          <w:rFonts w:ascii="仿宋" w:hAnsi="仿宋" w:eastAsia="仿宋" w:cs="仿宋"/>
          <w:color w:val="000000" w:themeColor="text1"/>
          <w:sz w:val="32"/>
          <w:szCs w:val="32"/>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00</w:t>
      </w:r>
      <w:r>
        <w:rPr>
          <w:rFonts w:hint="eastAsia" w:ascii="仿宋" w:hAnsi="仿宋" w:eastAsia="仿宋" w:cs="仿宋"/>
          <w:color w:val="000000" w:themeColor="text1"/>
          <w:sz w:val="32"/>
          <w:szCs w:val="32"/>
          <w14:textFill>
            <w14:solidFill>
              <w14:schemeClr w14:val="tx1"/>
            </w14:solidFill>
          </w14:textFill>
        </w:rPr>
        <w:t>（北京时间），提交地点：</w:t>
      </w:r>
      <w:r>
        <w:rPr>
          <w:rFonts w:hint="eastAsia" w:ascii="仿宋" w:hAnsi="仿宋" w:eastAsia="仿宋" w:cs="仿宋"/>
          <w:color w:val="000000" w:themeColor="text1"/>
          <w:kern w:val="0"/>
          <w:sz w:val="32"/>
          <w:szCs w:val="32"/>
          <w14:textFill>
            <w14:solidFill>
              <w14:schemeClr w14:val="tx1"/>
            </w14:solidFill>
          </w14:textFill>
        </w:rPr>
        <w:t>四川省成都市青羊区</w:t>
      </w:r>
      <w:r>
        <w:rPr>
          <w:rFonts w:hint="eastAsia" w:ascii="仿宋" w:hAnsi="仿宋" w:eastAsia="仿宋" w:cs="仿宋"/>
          <w:color w:val="000000" w:themeColor="text1"/>
          <w:kern w:val="0"/>
          <w:sz w:val="32"/>
          <w:szCs w:val="32"/>
          <w:lang w:eastAsia="zh-CN"/>
          <w14:textFill>
            <w14:solidFill>
              <w14:schemeClr w14:val="tx1"/>
            </w14:solidFill>
          </w14:textFill>
        </w:rPr>
        <w:t>鼓楼南街</w:t>
      </w:r>
      <w:r>
        <w:rPr>
          <w:rFonts w:hint="eastAsia" w:ascii="仿宋" w:hAnsi="仿宋" w:eastAsia="仿宋" w:cs="仿宋"/>
          <w:color w:val="000000" w:themeColor="text1"/>
          <w:kern w:val="0"/>
          <w:sz w:val="32"/>
          <w:szCs w:val="32"/>
          <w:lang w:val="en-US" w:eastAsia="zh-CN"/>
          <w14:textFill>
            <w14:solidFill>
              <w14:schemeClr w14:val="tx1"/>
            </w14:solidFill>
          </w14:textFill>
        </w:rPr>
        <w:t>101</w:t>
      </w:r>
      <w:r>
        <w:rPr>
          <w:rFonts w:hint="eastAsia" w:ascii="仿宋" w:hAnsi="仿宋" w:eastAsia="仿宋" w:cs="仿宋"/>
          <w:color w:val="000000" w:themeColor="text1"/>
          <w:kern w:val="0"/>
          <w:sz w:val="32"/>
          <w:szCs w:val="32"/>
          <w14:textFill>
            <w14:solidFill>
              <w14:schemeClr w14:val="tx1"/>
            </w14:solidFill>
          </w14:textFill>
        </w:rPr>
        <w:t>号</w:t>
      </w:r>
      <w:r>
        <w:rPr>
          <w:rFonts w:hint="eastAsia" w:ascii="仿宋" w:hAnsi="仿宋" w:eastAsia="仿宋" w:cs="仿宋"/>
          <w:color w:val="000000" w:themeColor="text1"/>
          <w:kern w:val="0"/>
          <w:sz w:val="32"/>
          <w:szCs w:val="32"/>
          <w:lang w:eastAsia="zh-CN"/>
          <w14:textFill>
            <w14:solidFill>
              <w14:schemeClr w14:val="tx1"/>
            </w14:solidFill>
          </w14:textFill>
        </w:rPr>
        <w:t>丰德成达中心</w:t>
      </w:r>
      <w:r>
        <w:rPr>
          <w:rFonts w:hint="eastAsia" w:ascii="仿宋" w:hAnsi="仿宋" w:eastAsia="仿宋" w:cs="仿宋"/>
          <w:color w:val="000000" w:themeColor="text1"/>
          <w:kern w:val="0"/>
          <w:sz w:val="32"/>
          <w:szCs w:val="32"/>
          <w:lang w:val="en-US" w:eastAsia="zh-CN"/>
          <w14:textFill>
            <w14:solidFill>
              <w14:schemeClr w14:val="tx1"/>
            </w14:solidFill>
          </w14:textFill>
        </w:rPr>
        <w:t>10楼1005</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逾期送达的</w:t>
      </w:r>
      <w:r>
        <w:rPr>
          <w:rFonts w:hint="eastAsia" w:ascii="仿宋" w:hAnsi="仿宋" w:eastAsia="仿宋" w:cs="仿宋"/>
          <w:color w:val="000000" w:themeColor="text1"/>
          <w:sz w:val="32"/>
          <w:szCs w:val="32"/>
          <w:lang w:eastAsia="zh-CN"/>
          <w14:textFill>
            <w14:solidFill>
              <w14:schemeClr w14:val="tx1"/>
            </w14:solidFill>
          </w14:textFill>
        </w:rPr>
        <w:t>比选</w:t>
      </w:r>
      <w:r>
        <w:rPr>
          <w:rFonts w:hint="eastAsia" w:ascii="仿宋" w:hAnsi="仿宋" w:eastAsia="仿宋" w:cs="仿宋"/>
          <w:color w:val="000000" w:themeColor="text1"/>
          <w:sz w:val="32"/>
          <w:szCs w:val="32"/>
          <w14:textFill>
            <w14:solidFill>
              <w14:schemeClr w14:val="tx1"/>
            </w14:solidFill>
          </w14:textFill>
        </w:rPr>
        <w:t>文件将被拒绝。</w:t>
      </w:r>
    </w:p>
    <w:p>
      <w:pPr>
        <w:widowControl/>
        <w:spacing w:line="54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本次采购项目将于</w:t>
      </w:r>
      <w:r>
        <w:rPr>
          <w:rFonts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29</w:t>
      </w:r>
      <w:r>
        <w:rPr>
          <w:rFonts w:hint="eastAsia" w:ascii="仿宋" w:hAnsi="仿宋" w:eastAsia="仿宋" w:cs="仿宋"/>
          <w:color w:val="000000" w:themeColor="text1"/>
          <w:sz w:val="32"/>
          <w:szCs w:val="32"/>
          <w14:textFill>
            <w14:solidFill>
              <w14:schemeClr w14:val="tx1"/>
            </w14:solidFill>
          </w14:textFill>
        </w:rPr>
        <w:t>日在四川省成都市</w:t>
      </w:r>
      <w:r>
        <w:rPr>
          <w:rFonts w:hint="eastAsia" w:ascii="仿宋" w:hAnsi="仿宋" w:eastAsia="仿宋" w:cs="仿宋"/>
          <w:color w:val="000000" w:themeColor="text1"/>
          <w:kern w:val="0"/>
          <w:sz w:val="32"/>
          <w:szCs w:val="32"/>
          <w14:textFill>
            <w14:solidFill>
              <w14:schemeClr w14:val="tx1"/>
            </w14:solidFill>
          </w14:textFill>
        </w:rPr>
        <w:t>青羊区</w:t>
      </w:r>
      <w:r>
        <w:rPr>
          <w:rFonts w:hint="eastAsia" w:ascii="仿宋" w:hAnsi="仿宋" w:eastAsia="仿宋" w:cs="仿宋"/>
          <w:color w:val="000000" w:themeColor="text1"/>
          <w:kern w:val="0"/>
          <w:sz w:val="32"/>
          <w:szCs w:val="32"/>
          <w:lang w:eastAsia="zh-CN"/>
          <w14:textFill>
            <w14:solidFill>
              <w14:schemeClr w14:val="tx1"/>
            </w14:solidFill>
          </w14:textFill>
        </w:rPr>
        <w:t>鼓楼南街</w:t>
      </w:r>
      <w:r>
        <w:rPr>
          <w:rFonts w:hint="eastAsia" w:ascii="仿宋" w:hAnsi="仿宋" w:eastAsia="仿宋" w:cs="仿宋"/>
          <w:color w:val="000000" w:themeColor="text1"/>
          <w:kern w:val="0"/>
          <w:sz w:val="32"/>
          <w:szCs w:val="32"/>
          <w:lang w:val="en-US" w:eastAsia="zh-CN"/>
          <w14:textFill>
            <w14:solidFill>
              <w14:schemeClr w14:val="tx1"/>
            </w14:solidFill>
          </w14:textFill>
        </w:rPr>
        <w:t>101</w:t>
      </w:r>
      <w:r>
        <w:rPr>
          <w:rFonts w:hint="eastAsia" w:ascii="仿宋" w:hAnsi="仿宋" w:eastAsia="仿宋" w:cs="仿宋"/>
          <w:color w:val="000000" w:themeColor="text1"/>
          <w:kern w:val="0"/>
          <w:sz w:val="32"/>
          <w:szCs w:val="32"/>
          <w14:textFill>
            <w14:solidFill>
              <w14:schemeClr w14:val="tx1"/>
            </w14:solidFill>
          </w14:textFill>
        </w:rPr>
        <w:t>号</w:t>
      </w:r>
      <w:r>
        <w:rPr>
          <w:rFonts w:hint="eastAsia" w:ascii="仿宋" w:hAnsi="仿宋" w:eastAsia="仿宋" w:cs="仿宋"/>
          <w:color w:val="000000" w:themeColor="text1"/>
          <w:kern w:val="0"/>
          <w:sz w:val="32"/>
          <w:szCs w:val="32"/>
          <w:lang w:eastAsia="zh-CN"/>
          <w14:textFill>
            <w14:solidFill>
              <w14:schemeClr w14:val="tx1"/>
            </w14:solidFill>
          </w14:textFill>
        </w:rPr>
        <w:t>丰德成达中心</w:t>
      </w:r>
      <w:r>
        <w:rPr>
          <w:rFonts w:hint="eastAsia" w:ascii="仿宋" w:hAnsi="仿宋" w:eastAsia="仿宋" w:cs="仿宋"/>
          <w:color w:val="000000" w:themeColor="text1"/>
          <w:kern w:val="0"/>
          <w:sz w:val="32"/>
          <w:szCs w:val="32"/>
          <w:lang w:val="en-US" w:eastAsia="zh-CN"/>
          <w14:textFill>
            <w14:solidFill>
              <w14:schemeClr w14:val="tx1"/>
            </w14:solidFill>
          </w14:textFill>
        </w:rPr>
        <w:t>10楼</w:t>
      </w:r>
      <w:r>
        <w:rPr>
          <w:rFonts w:hint="eastAsia" w:ascii="仿宋" w:hAnsi="仿宋" w:eastAsia="仿宋" w:cs="仿宋"/>
          <w:color w:val="000000" w:themeColor="text1"/>
          <w:sz w:val="32"/>
          <w:szCs w:val="32"/>
          <w14:textFill>
            <w14:solidFill>
              <w14:schemeClr w14:val="tx1"/>
            </w14:solidFill>
          </w14:textFill>
        </w:rPr>
        <w:t>进行评审。无需采购申请人的法定代表人或其委托的授权代表参加。</w:t>
      </w:r>
    </w:p>
    <w:p>
      <w:pPr>
        <w:spacing w:line="540" w:lineRule="exact"/>
        <w:ind w:firstLine="643" w:firstLineChars="200"/>
        <w:rPr>
          <w:rFonts w:ascii="仿宋" w:hAnsi="仿宋" w:eastAsia="仿宋" w:cs="仿宋"/>
          <w:b/>
          <w:color w:val="000000" w:themeColor="text1"/>
          <w:sz w:val="32"/>
          <w:szCs w:val="32"/>
          <w14:textFill>
            <w14:solidFill>
              <w14:schemeClr w14:val="tx1"/>
            </w14:solidFill>
          </w14:textFill>
        </w:rPr>
      </w:pPr>
      <w:r>
        <w:rPr>
          <w:rFonts w:ascii="仿宋" w:hAnsi="仿宋" w:eastAsia="仿宋" w:cs="仿宋"/>
          <w:b/>
          <w:color w:val="000000" w:themeColor="text1"/>
          <w:sz w:val="32"/>
          <w:szCs w:val="32"/>
          <w14:textFill>
            <w14:solidFill>
              <w14:schemeClr w14:val="tx1"/>
            </w14:solidFill>
          </w14:textFill>
        </w:rPr>
        <w:t>5</w:t>
      </w:r>
      <w:r>
        <w:rPr>
          <w:rFonts w:hint="eastAsia" w:ascii="仿宋" w:hAnsi="仿宋" w:eastAsia="仿宋" w:cs="仿宋"/>
          <w:b/>
          <w:color w:val="000000" w:themeColor="text1"/>
          <w:sz w:val="32"/>
          <w:szCs w:val="32"/>
          <w14:textFill>
            <w14:solidFill>
              <w14:schemeClr w14:val="tx1"/>
            </w14:solidFill>
          </w14:textFill>
        </w:rPr>
        <w:t>、联系方式</w:t>
      </w:r>
    </w:p>
    <w:p>
      <w:pPr>
        <w:widowControl/>
        <w:spacing w:line="540" w:lineRule="exact"/>
        <w:ind w:firstLine="960" w:firstLineChars="30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四川省政府政务服务和公共资源交易服务中心</w:t>
      </w:r>
    </w:p>
    <w:p>
      <w:pPr>
        <w:widowControl/>
        <w:spacing w:line="540" w:lineRule="exact"/>
        <w:ind w:firstLine="960" w:firstLineChars="300"/>
        <w:jc w:val="left"/>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w:t>
      </w:r>
      <w:r>
        <w:rPr>
          <w:rFonts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系</w:t>
      </w:r>
      <w:r>
        <w:rPr>
          <w:rFonts w:ascii="仿宋" w:hAnsi="仿宋" w:eastAsia="仿宋" w:cs="仿宋"/>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人：</w:t>
      </w:r>
      <w:r>
        <w:rPr>
          <w:rFonts w:hint="eastAsia" w:ascii="仿宋" w:hAnsi="仿宋" w:eastAsia="仿宋" w:cs="仿宋"/>
          <w:color w:val="000000" w:themeColor="text1"/>
          <w:kern w:val="0"/>
          <w:sz w:val="32"/>
          <w:szCs w:val="32"/>
          <w:lang w:val="en-US" w:eastAsia="zh-CN"/>
          <w14:textFill>
            <w14:solidFill>
              <w14:schemeClr w14:val="tx1"/>
            </w14:solidFill>
          </w14:textFill>
        </w:rPr>
        <w:t>郭老师</w:t>
      </w:r>
    </w:p>
    <w:p>
      <w:pPr>
        <w:keepNext w:val="0"/>
        <w:keepLines w:val="0"/>
        <w:pageBreakBefore w:val="0"/>
        <w:widowControl/>
        <w:kinsoku/>
        <w:wordWrap/>
        <w:overflowPunct/>
        <w:topLinePunct w:val="0"/>
        <w:autoSpaceDE/>
        <w:autoSpaceDN/>
        <w:bidi w:val="0"/>
        <w:adjustRightInd/>
        <w:snapToGrid/>
        <w:spacing w:line="500" w:lineRule="exact"/>
        <w:ind w:firstLine="960" w:firstLineChars="300"/>
        <w:jc w:val="left"/>
        <w:textAlignment w:val="auto"/>
        <w:rPr>
          <w:rFonts w:hint="default" w:ascii="仿宋" w:hAnsi="仿宋" w:eastAsia="仿宋" w:cs="仿宋"/>
          <w:color w:val="000000" w:themeColor="text1"/>
          <w:kern w:val="0"/>
          <w:sz w:val="32"/>
          <w:szCs w:val="32"/>
          <w:lang w:val="en-US"/>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联系电话：</w:t>
      </w:r>
      <w:r>
        <w:rPr>
          <w:rFonts w:hint="eastAsia" w:ascii="仿宋" w:hAnsi="仿宋" w:eastAsia="仿宋" w:cs="仿宋"/>
          <w:color w:val="000000" w:themeColor="text1"/>
          <w:kern w:val="0"/>
          <w:sz w:val="32"/>
          <w:szCs w:val="32"/>
          <w:lang w:val="en-US" w:eastAsia="zh-CN"/>
          <w14:textFill>
            <w14:solidFill>
              <w14:schemeClr w14:val="tx1"/>
            </w14:solidFill>
          </w14:textFill>
        </w:rPr>
        <w:t>18200305935</w:t>
      </w:r>
    </w:p>
    <w:p>
      <w:pPr>
        <w:keepNext w:val="0"/>
        <w:keepLines w:val="0"/>
        <w:pageBreakBefore w:val="0"/>
        <w:kinsoku/>
        <w:wordWrap/>
        <w:overflowPunct/>
        <w:topLinePunct w:val="0"/>
        <w:autoSpaceDE/>
        <w:autoSpaceDN/>
        <w:bidi w:val="0"/>
        <w:adjustRightInd/>
        <w:snapToGrid/>
        <w:spacing w:afterLines="100" w:line="500" w:lineRule="exact"/>
        <w:ind w:firstLine="960" w:firstLineChars="3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地址：四川省成都市</w:t>
      </w:r>
      <w:r>
        <w:rPr>
          <w:rFonts w:hint="eastAsia" w:ascii="仿宋" w:hAnsi="仿宋" w:eastAsia="仿宋" w:cs="仿宋"/>
          <w:color w:val="000000" w:themeColor="text1"/>
          <w:kern w:val="0"/>
          <w:sz w:val="32"/>
          <w:szCs w:val="32"/>
          <w14:textFill>
            <w14:solidFill>
              <w14:schemeClr w14:val="tx1"/>
            </w14:solidFill>
          </w14:textFill>
        </w:rPr>
        <w:t>青羊区</w:t>
      </w:r>
      <w:r>
        <w:rPr>
          <w:rFonts w:hint="eastAsia" w:ascii="仿宋" w:hAnsi="仿宋" w:eastAsia="仿宋" w:cs="仿宋"/>
          <w:color w:val="000000" w:themeColor="text1"/>
          <w:kern w:val="0"/>
          <w:sz w:val="32"/>
          <w:szCs w:val="32"/>
          <w:lang w:eastAsia="zh-CN"/>
          <w14:textFill>
            <w14:solidFill>
              <w14:schemeClr w14:val="tx1"/>
            </w14:solidFill>
          </w14:textFill>
        </w:rPr>
        <w:t>鼓楼南街</w:t>
      </w:r>
      <w:r>
        <w:rPr>
          <w:rFonts w:hint="eastAsia" w:ascii="仿宋" w:hAnsi="仿宋" w:eastAsia="仿宋" w:cs="仿宋"/>
          <w:color w:val="000000" w:themeColor="text1"/>
          <w:kern w:val="0"/>
          <w:sz w:val="32"/>
          <w:szCs w:val="32"/>
          <w:lang w:val="en-US" w:eastAsia="zh-CN"/>
          <w14:textFill>
            <w14:solidFill>
              <w14:schemeClr w14:val="tx1"/>
            </w14:solidFill>
          </w14:textFill>
        </w:rPr>
        <w:t>101</w:t>
      </w:r>
      <w:r>
        <w:rPr>
          <w:rFonts w:hint="eastAsia" w:ascii="仿宋" w:hAnsi="仿宋" w:eastAsia="仿宋" w:cs="仿宋"/>
          <w:color w:val="000000" w:themeColor="text1"/>
          <w:kern w:val="0"/>
          <w:sz w:val="32"/>
          <w:szCs w:val="32"/>
          <w14:textFill>
            <w14:solidFill>
              <w14:schemeClr w14:val="tx1"/>
            </w14:solidFill>
          </w14:textFill>
        </w:rPr>
        <w:t>号</w:t>
      </w:r>
    </w:p>
    <w:p>
      <w:pPr>
        <w:keepNext w:val="0"/>
        <w:keepLines w:val="0"/>
        <w:pageBreakBefore w:val="0"/>
        <w:kinsoku/>
        <w:wordWrap/>
        <w:overflowPunct/>
        <w:topLinePunct w:val="0"/>
        <w:autoSpaceDE/>
        <w:autoSpaceDN/>
        <w:bidi w:val="0"/>
        <w:adjustRightInd/>
        <w:snapToGrid/>
        <w:spacing w:afterLines="100" w:line="500" w:lineRule="exact"/>
        <w:ind w:firstLine="640" w:firstLineChars="200"/>
        <w:jc w:val="right"/>
        <w:textAlignment w:val="auto"/>
      </w:pPr>
      <w:r>
        <w:rPr>
          <w:rFonts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23</w:t>
      </w:r>
      <w:bookmarkStart w:id="76" w:name="_GoBack"/>
      <w:bookmarkEnd w:id="76"/>
      <w:r>
        <w:rPr>
          <w:rFonts w:hint="eastAsia" w:ascii="仿宋" w:hAnsi="仿宋" w:eastAsia="仿宋" w:cs="仿宋"/>
          <w:color w:val="000000" w:themeColor="text1"/>
          <w:sz w:val="32"/>
          <w:szCs w:val="32"/>
          <w14:textFill>
            <w14:solidFill>
              <w14:schemeClr w14:val="tx1"/>
            </w14:solidFill>
          </w14:textFill>
        </w:rPr>
        <w:t>日</w:t>
      </w:r>
    </w:p>
    <w:bookmarkEnd w:id="3"/>
    <w:bookmarkEnd w:id="4"/>
    <w:bookmarkEnd w:id="5"/>
    <w:p>
      <w:pPr>
        <w:pStyle w:val="3"/>
        <w:pageBreakBefore w:val="0"/>
        <w:widowControl w:val="0"/>
        <w:numPr>
          <w:ilvl w:val="0"/>
          <w:numId w:val="14"/>
        </w:numPr>
        <w:kinsoku/>
        <w:wordWrap/>
        <w:overflowPunct/>
        <w:topLinePunct w:val="0"/>
        <w:autoSpaceDE/>
        <w:autoSpaceDN/>
        <w:bidi w:val="0"/>
        <w:adjustRightInd/>
        <w:snapToGrid/>
        <w:spacing w:before="0" w:after="0" w:line="560" w:lineRule="exact"/>
        <w:textAlignment w:val="auto"/>
        <w:rPr>
          <w:rFonts w:ascii="仿宋" w:hAnsi="仿宋" w:eastAsia="仿宋" w:cs="仿宋"/>
          <w:b/>
          <w:color w:val="000000" w:themeColor="text1"/>
          <w:sz w:val="32"/>
          <w:szCs w:val="32"/>
          <w14:textFill>
            <w14:solidFill>
              <w14:schemeClr w14:val="tx1"/>
            </w14:solidFill>
          </w14:textFill>
        </w:rPr>
      </w:pPr>
      <w:bookmarkStart w:id="9" w:name="_Toc468808806"/>
      <w:bookmarkStart w:id="10" w:name="_Toc227057962"/>
      <w:bookmarkStart w:id="11" w:name="_Toc226969356"/>
      <w:r>
        <w:rPr>
          <w:rFonts w:hint="eastAsia" w:ascii="仿宋" w:hAnsi="仿宋" w:eastAsia="仿宋" w:cs="仿宋"/>
          <w:b/>
          <w:color w:val="000000" w:themeColor="text1"/>
          <w:sz w:val="32"/>
          <w:szCs w:val="32"/>
          <w14:textFill>
            <w14:solidFill>
              <w14:schemeClr w14:val="tx1"/>
            </w14:solidFill>
          </w14:textFill>
        </w:rPr>
        <w:t>技术规范要求</w:t>
      </w:r>
      <w:bookmarkEnd w:id="9"/>
    </w:p>
    <w:p>
      <w:pPr>
        <w:pStyle w:val="3"/>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一、项目主要工作内容及要求</w:t>
      </w:r>
    </w:p>
    <w:p>
      <w:pPr>
        <w:pStyle w:val="255"/>
        <w:keepNext w:val="0"/>
        <w:keepLines w:val="0"/>
        <w:pageBreakBefore w:val="0"/>
        <w:widowControl w:val="0"/>
        <w:kinsoku/>
        <w:wordWrap/>
        <w:overflowPunct/>
        <w:topLinePunct w:val="0"/>
        <w:bidi w:val="0"/>
        <w:snapToGrid/>
        <w:spacing w:line="360" w:lineRule="auto"/>
        <w:ind w:firstLine="560"/>
        <w:textAlignment w:val="auto"/>
        <w:outlineLvl w:val="2"/>
        <w:rPr>
          <w:rFonts w:hint="eastAsia" w:ascii="仿宋" w:hAnsi="仿宋" w:eastAsia="仿宋" w:cs="仿宋"/>
          <w:b/>
          <w:bCs/>
          <w:color w:val="000000"/>
          <w:sz w:val="30"/>
          <w:szCs w:val="30"/>
          <w:lang w:val="en-US" w:eastAsia="zh-CN"/>
        </w:rPr>
      </w:pPr>
      <w:bookmarkStart w:id="12" w:name="_Toc468808807"/>
      <w:r>
        <w:rPr>
          <w:rFonts w:hint="eastAsia" w:ascii="仿宋" w:hAnsi="仿宋" w:eastAsia="仿宋" w:cs="仿宋"/>
          <w:b/>
          <w:bCs/>
          <w:color w:val="000000"/>
          <w:sz w:val="30"/>
          <w:szCs w:val="30"/>
          <w:lang w:val="en-US" w:eastAsia="zh-CN"/>
        </w:rPr>
        <w:t xml:space="preserve"> </w:t>
      </w:r>
      <w:r>
        <w:rPr>
          <w:rFonts w:hint="eastAsia" w:ascii="仿宋" w:hAnsi="仿宋" w:eastAsia="仿宋" w:cs="仿宋"/>
          <w:b/>
          <w:bCs/>
          <w:color w:val="000000"/>
          <w:sz w:val="30"/>
          <w:szCs w:val="30"/>
        </w:rPr>
        <w:t>1．安全建设规划</w:t>
      </w:r>
      <w:r>
        <w:rPr>
          <w:rFonts w:hint="eastAsia" w:ascii="仿宋" w:hAnsi="仿宋" w:eastAsia="仿宋" w:cs="仿宋"/>
          <w:b/>
          <w:bCs/>
          <w:color w:val="000000"/>
          <w:sz w:val="30"/>
          <w:szCs w:val="30"/>
          <w:lang w:val="en-US" w:eastAsia="zh-CN"/>
        </w:rPr>
        <w:t>更新</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为基础信息网络和重要信息系统提供合规性管理咨询服务，从信息安全战略、安全策略规范等角度</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根据省中心网络和数据安全实际，</w:t>
      </w:r>
      <w:r>
        <w:rPr>
          <w:rFonts w:hint="eastAsia" w:ascii="仿宋" w:hAnsi="仿宋" w:eastAsia="仿宋" w:cs="仿宋"/>
          <w:color w:val="000000"/>
          <w:sz w:val="30"/>
          <w:szCs w:val="30"/>
        </w:rPr>
        <w:t>协助省中心开展安全保障的各项指导工作。</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（1）安全技术体系规划：依据国家网络安全相关要求、标准、规范，结合单位现状，分析风险漏洞，以安全策略为指导，从安全物理环境、安全通信网络、安全区域边界、安全计算环境</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数据安全、终端安全</w:t>
      </w:r>
      <w:r>
        <w:rPr>
          <w:rFonts w:hint="eastAsia" w:ascii="仿宋" w:hAnsi="仿宋" w:eastAsia="仿宋" w:cs="仿宋"/>
          <w:color w:val="000000"/>
          <w:sz w:val="30"/>
          <w:szCs w:val="30"/>
        </w:rPr>
        <w:t>、安全管理中心等方面出发，立足于现有成熟的安全技术和安全机制</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根据省中心当前实际</w:t>
      </w:r>
      <w:r>
        <w:rPr>
          <w:rFonts w:hint="eastAsia" w:ascii="仿宋" w:hAnsi="仿宋" w:eastAsia="仿宋" w:cs="仿宋"/>
          <w:color w:val="000000"/>
          <w:sz w:val="30"/>
          <w:szCs w:val="30"/>
        </w:rPr>
        <w:t>，规划</w:t>
      </w:r>
      <w:r>
        <w:rPr>
          <w:rFonts w:hint="eastAsia" w:ascii="仿宋" w:hAnsi="仿宋" w:eastAsia="仿宋" w:cs="仿宋"/>
          <w:color w:val="000000"/>
          <w:sz w:val="30"/>
          <w:szCs w:val="30"/>
          <w:lang w:val="en-US" w:eastAsia="zh-CN"/>
        </w:rPr>
        <w:t>完善</w:t>
      </w:r>
      <w:r>
        <w:rPr>
          <w:rFonts w:hint="eastAsia" w:ascii="仿宋" w:hAnsi="仿宋" w:eastAsia="仿宋" w:cs="仿宋"/>
          <w:color w:val="000000"/>
          <w:sz w:val="30"/>
          <w:szCs w:val="30"/>
        </w:rPr>
        <w:t>网络安全体系。</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（2）安全管理体系规划：依据国家网络安全相关要求、标准、规范，结合</w:t>
      </w:r>
      <w:r>
        <w:rPr>
          <w:rFonts w:hint="eastAsia" w:ascii="仿宋" w:hAnsi="仿宋" w:eastAsia="仿宋" w:cs="仿宋"/>
          <w:color w:val="000000"/>
          <w:sz w:val="30"/>
          <w:szCs w:val="30"/>
          <w:lang w:val="en-US" w:eastAsia="zh-CN"/>
        </w:rPr>
        <w:t>省中心</w:t>
      </w:r>
      <w:r>
        <w:rPr>
          <w:rFonts w:hint="eastAsia" w:ascii="仿宋" w:hAnsi="仿宋" w:eastAsia="仿宋" w:cs="仿宋"/>
          <w:color w:val="000000"/>
          <w:sz w:val="30"/>
          <w:szCs w:val="30"/>
        </w:rPr>
        <w:t>现状，分析</w:t>
      </w:r>
      <w:r>
        <w:rPr>
          <w:rFonts w:hint="eastAsia" w:ascii="仿宋" w:hAnsi="仿宋" w:eastAsia="仿宋" w:cs="仿宋"/>
          <w:color w:val="000000"/>
          <w:sz w:val="30"/>
          <w:szCs w:val="30"/>
          <w:lang w:val="en-US" w:eastAsia="zh-CN"/>
        </w:rPr>
        <w:t>安全</w:t>
      </w:r>
      <w:r>
        <w:rPr>
          <w:rFonts w:hint="eastAsia" w:ascii="仿宋" w:hAnsi="仿宋" w:eastAsia="仿宋" w:cs="仿宋"/>
          <w:color w:val="000000"/>
          <w:sz w:val="30"/>
          <w:szCs w:val="30"/>
        </w:rPr>
        <w:t>风险</w:t>
      </w:r>
      <w:r>
        <w:rPr>
          <w:rFonts w:hint="eastAsia" w:ascii="仿宋" w:hAnsi="仿宋" w:eastAsia="仿宋" w:cs="仿宋"/>
          <w:color w:val="000000"/>
          <w:sz w:val="30"/>
          <w:szCs w:val="30"/>
          <w:lang w:val="en-US" w:eastAsia="zh-CN"/>
        </w:rPr>
        <w:t>和</w:t>
      </w:r>
      <w:r>
        <w:rPr>
          <w:rFonts w:hint="eastAsia" w:ascii="仿宋" w:hAnsi="仿宋" w:eastAsia="仿宋" w:cs="仿宋"/>
          <w:color w:val="000000"/>
          <w:sz w:val="30"/>
          <w:szCs w:val="30"/>
        </w:rPr>
        <w:t>漏洞，从安全管理制度、安全组织机构、安全管理人员、安全建设管理、安全运维管理等方面出发，细化网络安全管理，将每项安全管理类分解为多个安全目标和安全控制进行规划建设，最终达成相应安全目标的管理工作和要求。</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（3）安全运维保障体系规划：</w:t>
      </w:r>
      <w:r>
        <w:rPr>
          <w:rFonts w:hint="eastAsia" w:ascii="仿宋" w:hAnsi="仿宋" w:eastAsia="仿宋" w:cs="仿宋"/>
          <w:color w:val="000000"/>
          <w:sz w:val="30"/>
          <w:szCs w:val="30"/>
          <w:lang w:val="en-US" w:eastAsia="zh-CN"/>
        </w:rPr>
        <w:t>进一步完善当前安全运维保障体系，</w:t>
      </w:r>
      <w:r>
        <w:rPr>
          <w:rFonts w:hint="eastAsia" w:ascii="仿宋" w:hAnsi="仿宋" w:eastAsia="仿宋" w:cs="仿宋"/>
          <w:color w:val="000000"/>
          <w:sz w:val="30"/>
          <w:szCs w:val="30"/>
        </w:rPr>
        <w:t>紧密结合安全技术和安全管理，</w:t>
      </w:r>
      <w:r>
        <w:rPr>
          <w:rFonts w:hint="eastAsia" w:ascii="仿宋" w:hAnsi="仿宋" w:eastAsia="仿宋" w:cs="仿宋"/>
          <w:color w:val="000000"/>
          <w:sz w:val="30"/>
          <w:szCs w:val="30"/>
          <w:lang w:val="en-US" w:eastAsia="zh-CN"/>
        </w:rPr>
        <w:t>优化</w:t>
      </w:r>
      <w:r>
        <w:rPr>
          <w:rFonts w:hint="eastAsia" w:ascii="仿宋" w:hAnsi="仿宋" w:eastAsia="仿宋" w:cs="仿宋"/>
          <w:color w:val="000000"/>
          <w:sz w:val="30"/>
          <w:szCs w:val="30"/>
        </w:rPr>
        <w:t>系统可靠性、系统数据备份</w:t>
      </w:r>
      <w:r>
        <w:rPr>
          <w:rFonts w:hint="eastAsia" w:ascii="仿宋" w:hAnsi="仿宋" w:eastAsia="仿宋" w:cs="仿宋"/>
          <w:color w:val="000000"/>
          <w:sz w:val="30"/>
          <w:szCs w:val="30"/>
          <w:lang w:val="en-US" w:eastAsia="zh-CN"/>
        </w:rPr>
        <w:t>和安全</w:t>
      </w:r>
      <w:r>
        <w:rPr>
          <w:rFonts w:hint="eastAsia" w:ascii="仿宋" w:hAnsi="仿宋" w:eastAsia="仿宋" w:cs="仿宋"/>
          <w:color w:val="000000"/>
          <w:sz w:val="30"/>
          <w:szCs w:val="30"/>
        </w:rPr>
        <w:t>、安全事件的应急响应计划、安全审计、灾难恢复计划等。</w:t>
      </w:r>
    </w:p>
    <w:p>
      <w:pPr>
        <w:pStyle w:val="255"/>
        <w:keepNext w:val="0"/>
        <w:keepLines w:val="0"/>
        <w:pageBreakBefore w:val="0"/>
        <w:widowControl w:val="0"/>
        <w:kinsoku/>
        <w:wordWrap/>
        <w:overflowPunct/>
        <w:topLinePunct w:val="0"/>
        <w:bidi w:val="0"/>
        <w:snapToGrid/>
        <w:spacing w:line="360" w:lineRule="auto"/>
        <w:ind w:firstLine="560"/>
        <w:textAlignment w:val="auto"/>
        <w:outlineLvl w:val="2"/>
        <w:rPr>
          <w:rFonts w:hint="eastAsia" w:ascii="仿宋" w:hAnsi="仿宋" w:eastAsia="仿宋" w:cs="仿宋"/>
          <w:b/>
          <w:bCs/>
          <w:color w:val="000000"/>
          <w:sz w:val="30"/>
          <w:szCs w:val="30"/>
        </w:rPr>
      </w:pPr>
      <w:r>
        <w:rPr>
          <w:rFonts w:hint="eastAsia" w:ascii="仿宋" w:hAnsi="仿宋" w:eastAsia="仿宋" w:cs="仿宋"/>
          <w:b/>
          <w:bCs/>
          <w:color w:val="000000"/>
          <w:sz w:val="30"/>
          <w:szCs w:val="30"/>
        </w:rPr>
        <w:t>2．安全制度建设</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根据省中心实现，协助修订完善</w:t>
      </w:r>
      <w:r>
        <w:rPr>
          <w:rFonts w:hint="eastAsia" w:ascii="仿宋" w:hAnsi="仿宋" w:eastAsia="仿宋" w:cs="仿宋"/>
          <w:color w:val="000000"/>
          <w:sz w:val="30"/>
          <w:szCs w:val="30"/>
        </w:rPr>
        <w:t>网络</w:t>
      </w:r>
      <w:r>
        <w:rPr>
          <w:rFonts w:hint="eastAsia" w:ascii="仿宋" w:hAnsi="仿宋" w:eastAsia="仿宋" w:cs="仿宋"/>
          <w:color w:val="000000"/>
          <w:sz w:val="30"/>
          <w:szCs w:val="30"/>
          <w:lang w:val="en-US" w:eastAsia="zh-CN"/>
        </w:rPr>
        <w:t>和数据</w:t>
      </w:r>
      <w:r>
        <w:rPr>
          <w:rFonts w:hint="eastAsia" w:ascii="仿宋" w:hAnsi="仿宋" w:eastAsia="仿宋" w:cs="仿宋"/>
          <w:color w:val="000000"/>
          <w:sz w:val="30"/>
          <w:szCs w:val="30"/>
        </w:rPr>
        <w:t>安全</w:t>
      </w:r>
      <w:r>
        <w:rPr>
          <w:rFonts w:hint="eastAsia" w:ascii="仿宋" w:hAnsi="仿宋" w:eastAsia="仿宋" w:cs="仿宋"/>
          <w:color w:val="000000"/>
          <w:sz w:val="30"/>
          <w:szCs w:val="30"/>
          <w:lang w:val="en-US" w:eastAsia="zh-CN"/>
        </w:rPr>
        <w:t>相关的</w:t>
      </w:r>
      <w:r>
        <w:rPr>
          <w:rFonts w:hint="eastAsia" w:ascii="仿宋" w:hAnsi="仿宋" w:eastAsia="仿宋" w:cs="仿宋"/>
          <w:color w:val="000000"/>
          <w:sz w:val="30"/>
          <w:szCs w:val="30"/>
        </w:rPr>
        <w:t>制度</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规范</w:t>
      </w:r>
      <w:r>
        <w:rPr>
          <w:rFonts w:hint="eastAsia" w:ascii="仿宋" w:hAnsi="仿宋" w:eastAsia="仿宋" w:cs="仿宋"/>
          <w:color w:val="000000"/>
          <w:sz w:val="30"/>
          <w:szCs w:val="30"/>
        </w:rPr>
        <w:t>、网络安全规程等</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推进省中心</w:t>
      </w:r>
      <w:r>
        <w:rPr>
          <w:rFonts w:hint="eastAsia" w:ascii="仿宋" w:hAnsi="仿宋" w:eastAsia="仿宋" w:cs="仿宋"/>
          <w:color w:val="000000"/>
          <w:sz w:val="30"/>
          <w:szCs w:val="30"/>
        </w:rPr>
        <w:t>网络安全制度体系</w:t>
      </w:r>
      <w:r>
        <w:rPr>
          <w:rFonts w:hint="eastAsia" w:ascii="仿宋" w:hAnsi="仿宋" w:eastAsia="仿宋" w:cs="仿宋"/>
          <w:color w:val="000000"/>
          <w:sz w:val="30"/>
          <w:szCs w:val="30"/>
          <w:lang w:val="en-US" w:eastAsia="zh-CN"/>
        </w:rPr>
        <w:t>和网络数据安全工作机制不断完善，按服务内容配合安全制度落实执行。</w:t>
      </w:r>
    </w:p>
    <w:p>
      <w:pPr>
        <w:pStyle w:val="255"/>
        <w:keepNext w:val="0"/>
        <w:keepLines w:val="0"/>
        <w:pageBreakBefore w:val="0"/>
        <w:widowControl w:val="0"/>
        <w:kinsoku/>
        <w:wordWrap/>
        <w:overflowPunct/>
        <w:topLinePunct w:val="0"/>
        <w:bidi w:val="0"/>
        <w:snapToGrid/>
        <w:spacing w:line="360" w:lineRule="auto"/>
        <w:ind w:firstLine="560"/>
        <w:textAlignment w:val="auto"/>
        <w:outlineLvl w:val="2"/>
        <w:rPr>
          <w:rFonts w:hint="eastAsia" w:ascii="仿宋" w:hAnsi="仿宋" w:eastAsia="仿宋" w:cs="仿宋"/>
          <w:b/>
          <w:bCs/>
          <w:color w:val="000000"/>
          <w:sz w:val="30"/>
          <w:szCs w:val="30"/>
        </w:rPr>
      </w:pPr>
      <w:r>
        <w:rPr>
          <w:rFonts w:hint="eastAsia" w:ascii="仿宋" w:hAnsi="仿宋" w:eastAsia="仿宋" w:cs="仿宋"/>
          <w:b/>
          <w:bCs/>
          <w:color w:val="000000"/>
          <w:sz w:val="30"/>
          <w:szCs w:val="30"/>
        </w:rPr>
        <w:t>3．安全监测审核</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通过人工结合技术手段，对网络、系统</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终端等</w:t>
      </w:r>
      <w:r>
        <w:rPr>
          <w:rFonts w:hint="eastAsia" w:ascii="仿宋" w:hAnsi="仿宋" w:eastAsia="仿宋" w:cs="仿宋"/>
          <w:color w:val="000000"/>
          <w:sz w:val="30"/>
          <w:szCs w:val="30"/>
        </w:rPr>
        <w:t>运行状态进行安全监测，及时发现病毒传播、黑客攻击</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数据泄露</w:t>
      </w:r>
      <w:r>
        <w:rPr>
          <w:rFonts w:hint="eastAsia" w:ascii="仿宋" w:hAnsi="仿宋" w:eastAsia="仿宋" w:cs="仿宋"/>
          <w:color w:val="000000"/>
          <w:sz w:val="30"/>
          <w:szCs w:val="30"/>
        </w:rPr>
        <w:t>等安全事件，对于已经发生的网络安全事件，查找源头，发现问题，举一反三，</w:t>
      </w:r>
      <w:r>
        <w:rPr>
          <w:rFonts w:hint="eastAsia" w:ascii="仿宋" w:hAnsi="仿宋" w:eastAsia="仿宋" w:cs="仿宋"/>
          <w:color w:val="000000"/>
          <w:sz w:val="30"/>
          <w:szCs w:val="30"/>
          <w:lang w:val="en-US" w:eastAsia="zh-CN"/>
        </w:rPr>
        <w:t>落实</w:t>
      </w:r>
      <w:r>
        <w:rPr>
          <w:rFonts w:hint="eastAsia" w:ascii="仿宋" w:hAnsi="仿宋" w:eastAsia="仿宋" w:cs="仿宋"/>
          <w:color w:val="000000"/>
          <w:sz w:val="30"/>
          <w:szCs w:val="30"/>
        </w:rPr>
        <w:t>整改，逐一销号，总结提高。</w:t>
      </w:r>
    </w:p>
    <w:p>
      <w:pPr>
        <w:pStyle w:val="255"/>
        <w:keepNext w:val="0"/>
        <w:keepLines w:val="0"/>
        <w:pageBreakBefore w:val="0"/>
        <w:widowControl w:val="0"/>
        <w:kinsoku/>
        <w:wordWrap/>
        <w:overflowPunct/>
        <w:topLinePunct w:val="0"/>
        <w:bidi w:val="0"/>
        <w:snapToGrid/>
        <w:spacing w:line="360" w:lineRule="auto"/>
        <w:ind w:firstLine="560"/>
        <w:textAlignment w:val="auto"/>
        <w:outlineLvl w:val="2"/>
        <w:rPr>
          <w:rFonts w:hint="eastAsia" w:ascii="仿宋" w:hAnsi="仿宋" w:eastAsia="仿宋" w:cs="仿宋"/>
          <w:b/>
          <w:bCs/>
          <w:color w:val="000000"/>
          <w:sz w:val="30"/>
          <w:szCs w:val="30"/>
        </w:rPr>
      </w:pPr>
      <w:r>
        <w:rPr>
          <w:rFonts w:hint="eastAsia" w:ascii="仿宋" w:hAnsi="仿宋" w:eastAsia="仿宋" w:cs="仿宋"/>
          <w:b/>
          <w:bCs/>
          <w:color w:val="000000"/>
          <w:sz w:val="30"/>
          <w:szCs w:val="30"/>
        </w:rPr>
        <w:t>4．安全咨询服务</w:t>
      </w:r>
    </w:p>
    <w:p>
      <w:pPr>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参考国内外信息安全标准，结合省中心IT业务实际情况，充分考虑行业在信息安全方面的特有属性，调查分析省中心已有的安全策略，从管理、制度、落实情况、物理安全、人员安全、第三方安全等各方面进行评估分析，提供完整的风险处置和控制建议，帮助省中心进行信息安全合规性检查以及标准的贯彻。具体包括：</w:t>
      </w:r>
    </w:p>
    <w:p>
      <w:pPr>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4.1信息安全等级保护建设咨询：遵循国家等级保护要求，协助省中心进行定级、备案、差距评估、整改方案设计、安全加固、整理测评资料和协助通过测评，最终帮助省中心完成信息系统达标建设，高分通过测评机构的测评。</w:t>
      </w:r>
    </w:p>
    <w:p>
      <w:pPr>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4.2信息安全管理体系建设咨询：为基础信息网络和重要信息系统提供合规性管理咨询服务，从信息安全战略、安全策略规范等角度协助省中心开展安全保障的各项指导工作。</w:t>
      </w:r>
    </w:p>
    <w:p>
      <w:pPr>
        <w:keepNext w:val="0"/>
        <w:keepLines w:val="0"/>
        <w:pageBreakBefore w:val="0"/>
        <w:widowControl w:val="0"/>
        <w:kinsoku/>
        <w:wordWrap/>
        <w:overflowPunct/>
        <w:topLinePunct w:val="0"/>
        <w:bidi w:val="0"/>
        <w:snapToGrid/>
        <w:spacing w:line="360"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4.3安防系统规划、建设及运维管理咨询：提供高质量方法建议，协助省中心准确了解本部门的信息安全现状，指导省中心信息安全建设和投入，建立信息安全管理和技术体系。</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lang w:val="en" w:eastAsia="zh-CN"/>
        </w:rPr>
      </w:pPr>
      <w:r>
        <w:rPr>
          <w:rFonts w:hint="eastAsia" w:ascii="仿宋" w:hAnsi="仿宋" w:eastAsia="仿宋" w:cs="仿宋"/>
          <w:color w:val="000000"/>
          <w:sz w:val="30"/>
          <w:szCs w:val="30"/>
          <w:lang w:val="en-US" w:eastAsia="zh-CN"/>
        </w:rPr>
        <w:t>4.4商用密码咨询：按照商用密码管理要求，在系统规划、建设以及运行阶段，对省中心商用密码进行应用安全性评估。针对省中心商密应用，需要提供系统密码应用建设</w:t>
      </w:r>
      <w:r>
        <w:rPr>
          <w:rFonts w:hint="eastAsia" w:ascii="仿宋" w:hAnsi="仿宋" w:eastAsia="仿宋" w:cs="仿宋"/>
          <w:color w:val="000000"/>
          <w:sz w:val="30"/>
          <w:szCs w:val="30"/>
          <w:lang w:val="en" w:eastAsia="zh-CN"/>
        </w:rPr>
        <w:t>、改造规划设计服务，包括信息系统建设初期密码应用设计，密码技术、密码产品、密码服务相关评估，并提供正确有效地密码设备配置策略以及日常系统运维过程中密钥地安全生命周期管理设计。</w:t>
      </w:r>
    </w:p>
    <w:p>
      <w:pPr>
        <w:pStyle w:val="255"/>
        <w:keepNext w:val="0"/>
        <w:keepLines w:val="0"/>
        <w:pageBreakBefore w:val="0"/>
        <w:widowControl w:val="0"/>
        <w:kinsoku/>
        <w:wordWrap/>
        <w:overflowPunct/>
        <w:topLinePunct w:val="0"/>
        <w:bidi w:val="0"/>
        <w:snapToGrid/>
        <w:spacing w:line="360" w:lineRule="auto"/>
        <w:ind w:firstLine="560"/>
        <w:textAlignment w:val="auto"/>
        <w:outlineLvl w:val="2"/>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5</w:t>
      </w:r>
      <w:r>
        <w:rPr>
          <w:rFonts w:hint="eastAsia" w:ascii="仿宋" w:hAnsi="仿宋" w:eastAsia="仿宋" w:cs="仿宋"/>
          <w:b/>
          <w:bCs/>
          <w:color w:val="000000"/>
          <w:sz w:val="30"/>
          <w:szCs w:val="30"/>
          <w:lang w:val="en" w:eastAsia="zh-CN"/>
        </w:rPr>
        <w:t>.</w:t>
      </w:r>
      <w:r>
        <w:rPr>
          <w:rFonts w:hint="eastAsia" w:ascii="仿宋" w:hAnsi="仿宋" w:eastAsia="仿宋" w:cs="仿宋"/>
          <w:b/>
          <w:bCs/>
          <w:color w:val="000000"/>
          <w:sz w:val="30"/>
          <w:szCs w:val="30"/>
          <w:lang w:val="en-US" w:eastAsia="zh-CN"/>
        </w:rPr>
        <w:t>代码审计服务</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为了消除代码中的漏洞，减少不必要的补丁升级，从根源上解决源代码导致的安全问题，对业务核心系统的升级改造及新上线重要系统的源代码和程序进行白盒+黑盒测试。</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通过实施代码安全审计服务，快速发现项目中的代码安全漏洞、快速评估系统代码安全风险、增强系统安全性，抵御黑客恶意攻击，最大程度保护省中心信息系统资产。</w:t>
      </w:r>
    </w:p>
    <w:p>
      <w:pPr>
        <w:pStyle w:val="255"/>
        <w:keepNext w:val="0"/>
        <w:keepLines w:val="0"/>
        <w:pageBreakBefore w:val="0"/>
        <w:widowControl w:val="0"/>
        <w:kinsoku/>
        <w:wordWrap/>
        <w:overflowPunct/>
        <w:topLinePunct w:val="0"/>
        <w:bidi w:val="0"/>
        <w:snapToGrid/>
        <w:spacing w:line="360" w:lineRule="auto"/>
        <w:ind w:firstLine="560"/>
        <w:textAlignment w:val="auto"/>
        <w:outlineLvl w:val="2"/>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6</w:t>
      </w:r>
      <w:r>
        <w:rPr>
          <w:rFonts w:hint="eastAsia" w:ascii="仿宋" w:hAnsi="仿宋" w:eastAsia="仿宋" w:cs="仿宋"/>
          <w:b/>
          <w:bCs/>
          <w:color w:val="000000"/>
          <w:sz w:val="30"/>
          <w:szCs w:val="30"/>
        </w:rPr>
        <w:t>．漏洞扫描</w:t>
      </w:r>
    </w:p>
    <w:p>
      <w:pPr>
        <w:keepNext w:val="0"/>
        <w:keepLines w:val="0"/>
        <w:pageBreakBefore w:val="0"/>
        <w:widowControl w:val="0"/>
        <w:tabs>
          <w:tab w:val="left" w:pos="4111"/>
        </w:tabs>
        <w:kinsoku/>
        <w:wordWrap/>
        <w:overflowPunct/>
        <w:topLinePunct w:val="0"/>
        <w:bidi w:val="0"/>
        <w:snapToGrid/>
        <w:spacing w:line="360"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kern w:val="2"/>
          <w:sz w:val="30"/>
          <w:szCs w:val="30"/>
        </w:rPr>
        <w:t>通过对信息系统定期检测（工具扫描及安全专家人工检测），及时发现信息系统（网络架构、网络设备、服务器主机、操作系统、数据库和用户账号、口令等安全对象）存在的各种安全漏洞、隐患，以及系统运行状态，漏洞扫描完毕后提供检测报告，提出系统加固建议以及相关的处置措施，并在完成整改后进行复扫，直至整改完成。</w:t>
      </w:r>
    </w:p>
    <w:p>
      <w:pPr>
        <w:pStyle w:val="255"/>
        <w:keepNext w:val="0"/>
        <w:keepLines w:val="0"/>
        <w:pageBreakBefore w:val="0"/>
        <w:widowControl w:val="0"/>
        <w:kinsoku/>
        <w:wordWrap/>
        <w:overflowPunct/>
        <w:topLinePunct w:val="0"/>
        <w:bidi w:val="0"/>
        <w:snapToGrid/>
        <w:spacing w:line="360" w:lineRule="auto"/>
        <w:ind w:firstLine="560"/>
        <w:textAlignment w:val="auto"/>
        <w:outlineLvl w:val="2"/>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7</w:t>
      </w:r>
      <w:r>
        <w:rPr>
          <w:rFonts w:hint="eastAsia" w:ascii="仿宋" w:hAnsi="仿宋" w:eastAsia="仿宋" w:cs="仿宋"/>
          <w:b/>
          <w:bCs/>
          <w:color w:val="000000"/>
          <w:sz w:val="30"/>
          <w:szCs w:val="30"/>
        </w:rPr>
        <w:t>．WEB安全扫描</w:t>
      </w:r>
    </w:p>
    <w:p>
      <w:pPr>
        <w:keepNext w:val="0"/>
        <w:keepLines w:val="0"/>
        <w:pageBreakBefore w:val="0"/>
        <w:widowControl w:val="0"/>
        <w:tabs>
          <w:tab w:val="left" w:pos="4111"/>
        </w:tabs>
        <w:kinsoku/>
        <w:wordWrap/>
        <w:overflowPunct/>
        <w:topLinePunct w:val="0"/>
        <w:bidi w:val="0"/>
        <w:snapToGrid/>
        <w:spacing w:line="360"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kern w:val="2"/>
          <w:sz w:val="30"/>
          <w:szCs w:val="30"/>
        </w:rPr>
        <w:t>不定期（每</w:t>
      </w:r>
      <w:r>
        <w:rPr>
          <w:rFonts w:hint="eastAsia" w:ascii="仿宋" w:hAnsi="仿宋" w:eastAsia="仿宋" w:cs="仿宋"/>
          <w:color w:val="000000"/>
          <w:kern w:val="2"/>
          <w:sz w:val="30"/>
          <w:szCs w:val="30"/>
          <w:lang w:eastAsia="zh-CN"/>
        </w:rPr>
        <w:t>月</w:t>
      </w:r>
      <w:r>
        <w:rPr>
          <w:rFonts w:hint="eastAsia" w:ascii="仿宋" w:hAnsi="仿宋" w:eastAsia="仿宋" w:cs="仿宋"/>
          <w:color w:val="000000"/>
          <w:kern w:val="2"/>
          <w:sz w:val="30"/>
          <w:szCs w:val="30"/>
        </w:rPr>
        <w:t>不少于1次），针对WEB应用系统漏洞进行定期检测（工具扫描及安全专家人工检测），及时发现WEB应用层存在的各种安全漏洞、隐患，以及系统运行状态，安全扫描完毕后提供检测报告，提出系统加固建议以及相关的处置措施，并在完成整改后进行复扫，直至整改完成。</w:t>
      </w:r>
    </w:p>
    <w:p>
      <w:pPr>
        <w:pStyle w:val="255"/>
        <w:ind w:firstLine="560"/>
        <w:outlineLvl w:val="2"/>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8.</w:t>
      </w:r>
      <w:r>
        <w:rPr>
          <w:rFonts w:hint="eastAsia" w:ascii="仿宋" w:hAnsi="仿宋" w:eastAsia="仿宋" w:cs="仿宋"/>
          <w:b/>
          <w:bCs/>
          <w:color w:val="000000"/>
          <w:sz w:val="30"/>
          <w:szCs w:val="30"/>
        </w:rPr>
        <w:t>渗透检测</w:t>
      </w:r>
    </w:p>
    <w:p>
      <w:pPr>
        <w:keepNext w:val="0"/>
        <w:keepLines w:val="0"/>
        <w:pageBreakBefore w:val="0"/>
        <w:widowControl w:val="0"/>
        <w:tabs>
          <w:tab w:val="left" w:pos="4111"/>
        </w:tabs>
        <w:kinsoku/>
        <w:wordWrap/>
        <w:overflowPunct/>
        <w:topLinePunct w:val="0"/>
        <w:bidi w:val="0"/>
        <w:snapToGrid/>
        <w:spacing w:line="360" w:lineRule="auto"/>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不定期（每</w:t>
      </w:r>
      <w:r>
        <w:rPr>
          <w:rFonts w:hint="default" w:ascii="仿宋" w:hAnsi="仿宋" w:eastAsia="仿宋" w:cs="仿宋"/>
          <w:color w:val="000000"/>
          <w:sz w:val="30"/>
          <w:szCs w:val="30"/>
        </w:rPr>
        <w:t>年</w:t>
      </w:r>
      <w:r>
        <w:rPr>
          <w:rFonts w:hint="eastAsia" w:ascii="仿宋" w:hAnsi="仿宋" w:eastAsia="仿宋" w:cs="仿宋"/>
          <w:color w:val="000000"/>
          <w:sz w:val="30"/>
          <w:szCs w:val="30"/>
        </w:rPr>
        <w:t>至少</w:t>
      </w:r>
      <w:r>
        <w:rPr>
          <w:rFonts w:hint="default" w:ascii="仿宋" w:hAnsi="仿宋" w:eastAsia="仿宋" w:cs="仿宋"/>
          <w:color w:val="000000"/>
          <w:sz w:val="30"/>
          <w:szCs w:val="30"/>
        </w:rPr>
        <w:t>6</w:t>
      </w:r>
      <w:r>
        <w:rPr>
          <w:rFonts w:hint="eastAsia" w:ascii="仿宋" w:hAnsi="仿宋" w:eastAsia="仿宋" w:cs="仿宋"/>
          <w:color w:val="000000"/>
          <w:sz w:val="30"/>
          <w:szCs w:val="30"/>
        </w:rPr>
        <w:t>次），利用网络安全测试工具，对省中心网络设备和信息系统进行非破坏性模拟黑客攻击，入侵目标系统过程和细节，以书面报告呈现，真实、深入地找出省中心当前信息安全问题和隐患，提出解决和处理方案，并配合省中心进行逐一整改，</w:t>
      </w:r>
      <w:r>
        <w:rPr>
          <w:rFonts w:hint="eastAsia" w:ascii="仿宋" w:hAnsi="仿宋" w:eastAsia="仿宋" w:cs="仿宋"/>
          <w:color w:val="000000"/>
          <w:kern w:val="2"/>
          <w:sz w:val="30"/>
          <w:szCs w:val="30"/>
        </w:rPr>
        <w:t>并在完成整改后进行复扫，直至整改完成。</w:t>
      </w:r>
    </w:p>
    <w:p>
      <w:pPr>
        <w:pStyle w:val="255"/>
        <w:keepNext w:val="0"/>
        <w:keepLines w:val="0"/>
        <w:pageBreakBefore w:val="0"/>
        <w:widowControl w:val="0"/>
        <w:kinsoku/>
        <w:wordWrap/>
        <w:overflowPunct/>
        <w:topLinePunct w:val="0"/>
        <w:bidi w:val="0"/>
        <w:snapToGrid/>
        <w:spacing w:line="360" w:lineRule="auto"/>
        <w:ind w:firstLine="560"/>
        <w:textAlignment w:val="auto"/>
        <w:outlineLvl w:val="2"/>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9</w:t>
      </w:r>
      <w:r>
        <w:rPr>
          <w:rFonts w:hint="eastAsia" w:ascii="仿宋" w:hAnsi="仿宋" w:eastAsia="仿宋" w:cs="仿宋"/>
          <w:b/>
          <w:bCs/>
          <w:color w:val="000000"/>
          <w:sz w:val="30"/>
          <w:szCs w:val="30"/>
        </w:rPr>
        <w:t>．数据流向梳理</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通过工具对网络结构、路由配置、网络数据包进行分析，梳理网络数据通信情况，提出链路调整、路由优化建议，提高网络通信效率。</w:t>
      </w:r>
    </w:p>
    <w:p>
      <w:pPr>
        <w:pStyle w:val="255"/>
        <w:keepNext w:val="0"/>
        <w:keepLines w:val="0"/>
        <w:pageBreakBefore w:val="0"/>
        <w:widowControl w:val="0"/>
        <w:kinsoku/>
        <w:wordWrap/>
        <w:overflowPunct/>
        <w:topLinePunct w:val="0"/>
        <w:bidi w:val="0"/>
        <w:snapToGrid/>
        <w:spacing w:line="360" w:lineRule="auto"/>
        <w:ind w:firstLine="560"/>
        <w:textAlignment w:val="auto"/>
        <w:outlineLvl w:val="2"/>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val="en-US" w:eastAsia="zh-CN"/>
        </w:rPr>
        <w:t>10</w:t>
      </w:r>
      <w:r>
        <w:rPr>
          <w:rFonts w:hint="eastAsia" w:ascii="仿宋" w:hAnsi="仿宋" w:eastAsia="仿宋" w:cs="仿宋"/>
          <w:b/>
          <w:bCs/>
          <w:color w:val="000000"/>
          <w:sz w:val="30"/>
          <w:szCs w:val="30"/>
        </w:rPr>
        <w:t>．安全策略完善</w:t>
      </w:r>
      <w:r>
        <w:rPr>
          <w:rFonts w:hint="eastAsia" w:ascii="仿宋" w:hAnsi="仿宋" w:eastAsia="仿宋" w:cs="仿宋"/>
          <w:b/>
          <w:bCs/>
          <w:color w:val="000000"/>
          <w:sz w:val="30"/>
          <w:szCs w:val="30"/>
          <w:lang w:eastAsia="zh-CN"/>
        </w:rPr>
        <w:t>和安全配置核查</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从管理、技术两个维度完善网络安全策略，并进行定期修订。依据网络安全策略、网络安全预警信息和国家、行业相关标准，核查路由交换设备、网络安全设备、服务器、数据库、用户终端、应用系统等的安全配置，及时发现配置错误、缺失，并进行修正完善。</w:t>
      </w:r>
    </w:p>
    <w:p>
      <w:pPr>
        <w:pStyle w:val="255"/>
        <w:keepNext w:val="0"/>
        <w:keepLines w:val="0"/>
        <w:pageBreakBefore w:val="0"/>
        <w:widowControl w:val="0"/>
        <w:kinsoku/>
        <w:wordWrap/>
        <w:overflowPunct/>
        <w:topLinePunct w:val="0"/>
        <w:bidi w:val="0"/>
        <w:snapToGrid/>
        <w:spacing w:line="360" w:lineRule="auto"/>
        <w:ind w:firstLine="560"/>
        <w:textAlignment w:val="auto"/>
        <w:outlineLvl w:val="2"/>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rPr>
        <w:t>11．安全应急处理</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在省中心发生确切的安全事件时，应急响应实施人员及时采取行动限制事件扩散和影响的范围，限制潜在的损失与破坏，实施人员协助省中心检查所有受影响的系统，在准确判断安全事件原因的基础上，提出基于安全事件整体安全解决方案，排除系统安全风险并协助追查事件来源、提出解决方案、协助后续处置。</w:t>
      </w:r>
    </w:p>
    <w:p>
      <w:pPr>
        <w:pStyle w:val="255"/>
        <w:keepNext w:val="0"/>
        <w:keepLines w:val="0"/>
        <w:pageBreakBefore w:val="0"/>
        <w:widowControl w:val="0"/>
        <w:kinsoku/>
        <w:wordWrap/>
        <w:overflowPunct/>
        <w:topLinePunct w:val="0"/>
        <w:bidi w:val="0"/>
        <w:snapToGrid/>
        <w:spacing w:line="360" w:lineRule="auto"/>
        <w:ind w:firstLine="560"/>
        <w:textAlignment w:val="auto"/>
        <w:outlineLvl w:val="2"/>
        <w:rPr>
          <w:rFonts w:hint="eastAsia" w:ascii="仿宋" w:hAnsi="仿宋" w:eastAsia="仿宋" w:cs="仿宋"/>
          <w:b/>
          <w:bCs/>
          <w:color w:val="000000"/>
          <w:sz w:val="30"/>
          <w:szCs w:val="30"/>
        </w:rPr>
      </w:pPr>
      <w:r>
        <w:rPr>
          <w:rFonts w:hint="eastAsia" w:ascii="仿宋" w:hAnsi="仿宋" w:eastAsia="仿宋" w:cs="仿宋"/>
          <w:b/>
          <w:bCs/>
          <w:color w:val="000000"/>
          <w:sz w:val="30"/>
          <w:szCs w:val="30"/>
        </w:rPr>
        <w:t>12．安全日常管理</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对网络安全保障工作进行日常管理，提高单位网络安全保障水平。</w:t>
      </w:r>
    </w:p>
    <w:p>
      <w:pPr>
        <w:pStyle w:val="255"/>
        <w:keepNext w:val="0"/>
        <w:keepLines w:val="0"/>
        <w:pageBreakBefore w:val="0"/>
        <w:widowControl w:val="0"/>
        <w:numPr>
          <w:ilvl w:val="0"/>
          <w:numId w:val="0"/>
        </w:numPr>
        <w:kinsoku/>
        <w:wordWrap/>
        <w:overflowPunct/>
        <w:topLinePunct w:val="0"/>
        <w:bidi w:val="0"/>
        <w:snapToGrid/>
        <w:spacing w:line="360" w:lineRule="auto"/>
        <w:ind w:firstLine="560"/>
        <w:textAlignment w:val="auto"/>
        <w:outlineLvl w:val="2"/>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13.</w:t>
      </w:r>
      <w:r>
        <w:rPr>
          <w:rFonts w:hint="eastAsia" w:ascii="仿宋" w:hAnsi="仿宋" w:eastAsia="仿宋" w:cs="仿宋"/>
          <w:b/>
          <w:bCs/>
          <w:color w:val="000000"/>
          <w:sz w:val="30"/>
          <w:szCs w:val="30"/>
        </w:rPr>
        <w:t>安全意识教育和培训</w:t>
      </w:r>
    </w:p>
    <w:p>
      <w:pPr>
        <w:pStyle w:val="255"/>
        <w:keepNext w:val="0"/>
        <w:keepLines w:val="0"/>
        <w:pageBreakBefore w:val="0"/>
        <w:widowControl w:val="0"/>
        <w:kinsoku/>
        <w:wordWrap/>
        <w:overflowPunct/>
        <w:topLinePunct w:val="0"/>
        <w:bidi w:val="0"/>
        <w:snapToGrid/>
        <w:spacing w:line="360" w:lineRule="auto"/>
        <w:ind w:firstLine="56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全年至少2次，按照相关要求，针对不同人员，对省中心各类人员进行安全意识教育和岗位技能培训，并告知相关的安全责任和惩戒措施；针对不同岗位制定不同的培训计划，对安全基础知识、岗位操作规程等进行培训；定期对不同岗位的人员进行技能考核。供应商按照省中心邀请的专家进行内容培训，省中心不再支付培训及专家费用。</w:t>
      </w:r>
    </w:p>
    <w:p>
      <w:pPr>
        <w:pStyle w:val="255"/>
        <w:keepNext w:val="0"/>
        <w:keepLines w:val="0"/>
        <w:pageBreakBefore w:val="0"/>
        <w:widowControl w:val="0"/>
        <w:numPr>
          <w:ilvl w:val="0"/>
          <w:numId w:val="0"/>
        </w:numPr>
        <w:kinsoku/>
        <w:wordWrap/>
        <w:overflowPunct/>
        <w:topLinePunct w:val="0"/>
        <w:bidi w:val="0"/>
        <w:snapToGrid/>
        <w:spacing w:line="360" w:lineRule="auto"/>
        <w:ind w:left="0" w:leftChars="0" w:firstLine="560" w:firstLineChars="0"/>
        <w:textAlignment w:val="auto"/>
        <w:outlineLvl w:val="2"/>
        <w:rPr>
          <w:rFonts w:hint="eastAsia" w:ascii="仿宋" w:hAnsi="仿宋" w:eastAsia="仿宋" w:cs="仿宋"/>
          <w:b/>
          <w:bCs/>
          <w:color w:val="000000"/>
          <w:sz w:val="30"/>
          <w:szCs w:val="30"/>
          <w:u w:val="single"/>
          <w:lang w:val="en-US" w:eastAsia="zh-CN"/>
        </w:rPr>
      </w:pPr>
      <w:r>
        <w:rPr>
          <w:rFonts w:hint="eastAsia" w:ascii="仿宋" w:hAnsi="仿宋" w:eastAsia="仿宋" w:cs="仿宋"/>
          <w:b/>
          <w:bCs/>
          <w:color w:val="000000"/>
          <w:sz w:val="30"/>
          <w:szCs w:val="30"/>
          <w:lang w:val="en-US" w:eastAsia="zh-CN"/>
        </w:rPr>
        <w:t>14.参与公共资源交易安全攻防演练</w:t>
      </w:r>
    </w:p>
    <w:p>
      <w:pPr>
        <w:pStyle w:val="48"/>
        <w:keepNext w:val="0"/>
        <w:keepLines w:val="0"/>
        <w:widowControl w:val="0"/>
        <w:suppressLineNumbers w:val="0"/>
        <w:suppressAutoHyphens/>
        <w:spacing w:before="0" w:beforeAutospacing="0" w:after="0" w:afterAutospacing="0"/>
        <w:ind w:left="0" w:right="0" w:firstLine="600"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u w:val="single"/>
          <w:lang w:val="en-US" w:eastAsia="zh-CN" w:bidi="ar"/>
        </w:rPr>
        <w:t>全年1次，</w:t>
      </w:r>
      <w:r>
        <w:rPr>
          <w:rFonts w:hint="eastAsia" w:ascii="仿宋" w:hAnsi="仿宋" w:eastAsia="仿宋" w:cs="仿宋"/>
          <w:color w:val="000000"/>
          <w:kern w:val="2"/>
          <w:sz w:val="30"/>
          <w:szCs w:val="30"/>
          <w:lang w:val="en-US" w:eastAsia="zh-CN" w:bidi="ar"/>
        </w:rPr>
        <w:t>派一支攻击队伍参与配合省中心开展全省公共资源交易体系网络安全攻防演练。在涉及省中心的网络安全攻防演练中做好防守工作。</w:t>
      </w:r>
    </w:p>
    <w:p>
      <w:pPr>
        <w:pStyle w:val="255"/>
        <w:keepNext w:val="0"/>
        <w:keepLines w:val="0"/>
        <w:pageBreakBefore w:val="0"/>
        <w:widowControl w:val="0"/>
        <w:numPr>
          <w:ilvl w:val="0"/>
          <w:numId w:val="0"/>
        </w:numPr>
        <w:kinsoku/>
        <w:wordWrap/>
        <w:overflowPunct/>
        <w:topLinePunct w:val="0"/>
        <w:bidi w:val="0"/>
        <w:snapToGrid/>
        <w:spacing w:line="240" w:lineRule="auto"/>
        <w:ind w:firstLine="0" w:firstLineChars="0"/>
        <w:textAlignment w:val="auto"/>
        <w:outlineLvl w:val="9"/>
        <w:rPr>
          <w:rFonts w:hint="eastAsia" w:ascii="仿宋" w:hAnsi="仿宋" w:eastAsia="仿宋" w:cs="仿宋"/>
          <w:b/>
          <w:bCs/>
          <w:color w:val="000000"/>
          <w:sz w:val="30"/>
          <w:szCs w:val="30"/>
        </w:rPr>
      </w:pPr>
      <w:r>
        <w:rPr>
          <w:rFonts w:hint="eastAsia"/>
          <w:lang w:val="en-US" w:eastAsia="zh-CN"/>
        </w:rPr>
        <w:t xml:space="preserve">    </w:t>
      </w:r>
      <w:r>
        <w:rPr>
          <w:rFonts w:hint="eastAsia" w:ascii="仿宋" w:hAnsi="仿宋" w:eastAsia="仿宋" w:cs="仿宋"/>
          <w:b/>
          <w:bCs/>
          <w:color w:val="000000"/>
          <w:sz w:val="30"/>
          <w:szCs w:val="30"/>
        </w:rPr>
        <w:t>1</w:t>
      </w:r>
      <w:r>
        <w:rPr>
          <w:rFonts w:hint="eastAsia" w:ascii="仿宋" w:hAnsi="仿宋" w:eastAsia="仿宋" w:cs="仿宋"/>
          <w:b/>
          <w:bCs/>
          <w:color w:val="000000"/>
          <w:sz w:val="30"/>
          <w:szCs w:val="30"/>
          <w:lang w:val="en-US" w:eastAsia="zh-CN"/>
        </w:rPr>
        <w:t>5</w:t>
      </w:r>
      <w:r>
        <w:rPr>
          <w:rFonts w:hint="eastAsia" w:ascii="仿宋" w:hAnsi="仿宋" w:eastAsia="仿宋" w:cs="仿宋"/>
          <w:b/>
          <w:bCs/>
          <w:color w:val="000000"/>
          <w:sz w:val="30"/>
          <w:szCs w:val="30"/>
        </w:rPr>
        <w:t>．协助处理其他安全任务</w:t>
      </w:r>
    </w:p>
    <w:p>
      <w:pPr>
        <w:pStyle w:val="3"/>
        <w:pageBreakBefore w:val="0"/>
        <w:kinsoku/>
        <w:wordWrap/>
        <w:overflowPunct/>
        <w:topLinePunct w:val="0"/>
        <w:autoSpaceDE/>
        <w:autoSpaceDN/>
        <w:bidi w:val="0"/>
        <w:adjustRightInd/>
        <w:snapToGrid/>
        <w:spacing w:before="0" w:after="0" w:line="560" w:lineRule="exact"/>
        <w:ind w:firstLine="600" w:firstLineChars="200"/>
        <w:jc w:val="both"/>
        <w:textAlignment w:val="auto"/>
        <w:rPr>
          <w:rFonts w:hint="default" w:ascii="Times New Roman" w:hAnsi="Times New Roman" w:eastAsia="仿宋" w:cs="Times New Roman"/>
          <w:bCs w:val="0"/>
          <w:kern w:val="2"/>
          <w:sz w:val="32"/>
          <w:szCs w:val="32"/>
          <w:lang w:val="en-US" w:eastAsia="zh-CN" w:bidi="ar-SA"/>
        </w:rPr>
      </w:pPr>
      <w:r>
        <w:rPr>
          <w:rFonts w:hint="eastAsia" w:ascii="仿宋" w:hAnsi="仿宋" w:eastAsia="仿宋" w:cs="仿宋"/>
          <w:color w:val="000000"/>
          <w:kern w:val="2"/>
          <w:sz w:val="30"/>
          <w:szCs w:val="30"/>
        </w:rPr>
        <w:t>根据省中心要求，协助处理其他安全任务</w:t>
      </w:r>
      <w:r>
        <w:rPr>
          <w:rFonts w:hint="eastAsia" w:ascii="仿宋" w:hAnsi="仿宋" w:eastAsia="仿宋" w:cs="仿宋"/>
          <w:color w:val="000000"/>
          <w:kern w:val="2"/>
          <w:sz w:val="30"/>
          <w:szCs w:val="30"/>
          <w:lang w:eastAsia="zh-CN"/>
        </w:rPr>
        <w:t>，包括对本系统内市县部门的安全技术支持，完成包括护网以及重大活动期间的保障。需要固定派驻至少一名较强业务素质的工作人员长期在省中心现场</w:t>
      </w:r>
      <w:r>
        <w:rPr>
          <w:rFonts w:hint="eastAsia" w:ascii="仿宋" w:hAnsi="仿宋" w:eastAsia="仿宋" w:cs="仿宋"/>
          <w:color w:val="000000"/>
          <w:kern w:val="2"/>
          <w:sz w:val="30"/>
          <w:szCs w:val="30"/>
        </w:rPr>
        <w:t>。</w:t>
      </w:r>
    </w:p>
    <w:p>
      <w:pPr>
        <w:pStyle w:val="3"/>
        <w:spacing w:before="0" w:after="0" w:line="540" w:lineRule="exact"/>
        <w:rPr>
          <w:rFonts w:hint="eastAsia" w:ascii="仿宋" w:hAnsi="仿宋" w:eastAsia="仿宋" w:cs="仿宋"/>
          <w:b/>
          <w:color w:val="000000" w:themeColor="text1"/>
          <w:sz w:val="32"/>
          <w:szCs w:val="32"/>
          <w14:textFill>
            <w14:solidFill>
              <w14:schemeClr w14:val="tx1"/>
            </w14:solidFill>
          </w14:textFill>
        </w:rPr>
      </w:pPr>
    </w:p>
    <w:p>
      <w:pPr>
        <w:pStyle w:val="3"/>
        <w:spacing w:before="0" w:after="0" w:line="540" w:lineRule="exact"/>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第三章</w:t>
      </w:r>
      <w:r>
        <w:rPr>
          <w:rFonts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b/>
          <w:color w:val="000000" w:themeColor="text1"/>
          <w:sz w:val="32"/>
          <w:szCs w:val="32"/>
          <w14:textFill>
            <w14:solidFill>
              <w14:schemeClr w14:val="tx1"/>
            </w14:solidFill>
          </w14:textFill>
        </w:rPr>
        <w:t>评审办法</w:t>
      </w:r>
      <w:bookmarkEnd w:id="10"/>
      <w:bookmarkEnd w:id="11"/>
      <w:r>
        <w:rPr>
          <w:rFonts w:hint="eastAsia" w:ascii="仿宋" w:hAnsi="仿宋" w:eastAsia="仿宋" w:cs="仿宋"/>
          <w:b/>
          <w:color w:val="000000" w:themeColor="text1"/>
          <w:sz w:val="32"/>
          <w:szCs w:val="32"/>
          <w14:textFill>
            <w14:solidFill>
              <w14:schemeClr w14:val="tx1"/>
            </w14:solidFill>
          </w14:textFill>
        </w:rPr>
        <w:t>（综合评分法）</w:t>
      </w:r>
      <w:bookmarkEnd w:id="12"/>
    </w:p>
    <w:p>
      <w:pPr>
        <w:pStyle w:val="4"/>
        <w:spacing w:before="0" w:after="0" w:line="540" w:lineRule="exact"/>
        <w:rPr>
          <w:rFonts w:hint="eastAsia" w:ascii="仿宋" w:hAnsi="仿宋" w:eastAsia="仿宋" w:cs="仿宋"/>
          <w:b/>
          <w:color w:val="000000" w:themeColor="text1"/>
          <w:sz w:val="32"/>
          <w14:textFill>
            <w14:solidFill>
              <w14:schemeClr w14:val="tx1"/>
            </w14:solidFill>
          </w14:textFill>
        </w:rPr>
      </w:pPr>
      <w:bookmarkStart w:id="13" w:name="_Toc378497710"/>
      <w:bookmarkStart w:id="14" w:name="_Toc396318580"/>
      <w:bookmarkStart w:id="15" w:name="_Toc468808809"/>
      <w:bookmarkStart w:id="16" w:name="_Toc406313792"/>
      <w:bookmarkStart w:id="17" w:name="_Toc406413564"/>
      <w:bookmarkStart w:id="18" w:name="_Toc226969358"/>
      <w:bookmarkStart w:id="19" w:name="_Toc385507152"/>
      <w:bookmarkStart w:id="20" w:name="_Toc227057964"/>
      <w:bookmarkStart w:id="21" w:name="_Toc226969359"/>
      <w:bookmarkStart w:id="22" w:name="_Toc227057965"/>
      <w:bookmarkStart w:id="23" w:name="_Toc107822557"/>
      <w:r>
        <w:rPr>
          <w:rFonts w:ascii="仿宋" w:hAnsi="仿宋" w:eastAsia="仿宋" w:cs="仿宋"/>
          <w:b/>
          <w:color w:val="000000" w:themeColor="text1"/>
          <w:sz w:val="32"/>
          <w14:textFill>
            <w14:solidFill>
              <w14:schemeClr w14:val="tx1"/>
            </w14:solidFill>
          </w14:textFill>
        </w:rPr>
        <w:t>3.</w:t>
      </w:r>
      <w:r>
        <w:rPr>
          <w:rFonts w:hint="eastAsia" w:ascii="仿宋" w:hAnsi="仿宋" w:eastAsia="仿宋" w:cs="仿宋"/>
          <w:b/>
          <w:color w:val="000000" w:themeColor="text1"/>
          <w:sz w:val="32"/>
          <w:lang w:val="en-US" w:eastAsia="zh-CN"/>
          <w14:textFill>
            <w14:solidFill>
              <w14:schemeClr w14:val="tx1"/>
            </w14:solidFill>
          </w14:textFill>
        </w:rPr>
        <w:t>1</w:t>
      </w:r>
      <w:r>
        <w:rPr>
          <w:rFonts w:hint="eastAsia" w:ascii="仿宋" w:hAnsi="仿宋" w:eastAsia="仿宋" w:cs="仿宋"/>
          <w:b/>
          <w:color w:val="000000" w:themeColor="text1"/>
          <w:sz w:val="32"/>
          <w14:textFill>
            <w14:solidFill>
              <w14:schemeClr w14:val="tx1"/>
            </w14:solidFill>
          </w14:textFill>
        </w:rPr>
        <w:t>评审的量化因素及权重比值</w:t>
      </w:r>
      <w:bookmarkEnd w:id="13"/>
      <w:bookmarkEnd w:id="14"/>
      <w:bookmarkEnd w:id="15"/>
      <w:bookmarkEnd w:id="16"/>
      <w:bookmarkEnd w:id="17"/>
      <w:bookmarkEnd w:id="18"/>
      <w:bookmarkEnd w:id="19"/>
      <w:bookmarkEnd w:id="20"/>
    </w:p>
    <w:p>
      <w:pPr>
        <w:pStyle w:val="4"/>
        <w:spacing w:before="0" w:after="0" w:line="540" w:lineRule="exact"/>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详见评分标准</w:t>
      </w:r>
    </w:p>
    <w:p>
      <w:pPr>
        <w:pStyle w:val="4"/>
        <w:spacing w:line="540" w:lineRule="exact"/>
        <w:rPr>
          <w:rFonts w:hint="eastAsia" w:ascii="仿宋" w:hAnsi="仿宋" w:eastAsia="仿宋" w:cs="仿宋"/>
          <w:b/>
          <w:color w:val="000000" w:themeColor="text1"/>
          <w:sz w:val="32"/>
          <w14:textFill>
            <w14:solidFill>
              <w14:schemeClr w14:val="tx1"/>
            </w14:solidFill>
          </w14:textFill>
        </w:rPr>
      </w:pPr>
      <w:bookmarkStart w:id="24" w:name="_Toc468808810"/>
      <w:r>
        <w:rPr>
          <w:rFonts w:ascii="仿宋" w:hAnsi="仿宋" w:eastAsia="仿宋" w:cs="仿宋"/>
          <w:b/>
          <w:bCs w:val="0"/>
          <w:color w:val="000000" w:themeColor="text1"/>
          <w:sz w:val="32"/>
          <w14:textFill>
            <w14:solidFill>
              <w14:schemeClr w14:val="tx1"/>
            </w14:solidFill>
          </w14:textFill>
        </w:rPr>
        <w:t>3.</w:t>
      </w:r>
      <w:r>
        <w:rPr>
          <w:rFonts w:hint="eastAsia" w:ascii="仿宋" w:hAnsi="仿宋" w:eastAsia="仿宋" w:cs="仿宋"/>
          <w:b/>
          <w:bCs w:val="0"/>
          <w:color w:val="000000" w:themeColor="text1"/>
          <w:sz w:val="32"/>
          <w:lang w:val="en-US" w:eastAsia="zh-CN"/>
          <w14:textFill>
            <w14:solidFill>
              <w14:schemeClr w14:val="tx1"/>
            </w14:solidFill>
          </w14:textFill>
        </w:rPr>
        <w:t>2</w:t>
      </w:r>
      <w:r>
        <w:rPr>
          <w:rFonts w:ascii="仿宋" w:hAnsi="仿宋" w:eastAsia="仿宋" w:cs="仿宋"/>
          <w:b/>
          <w:bCs w:val="0"/>
          <w:color w:val="000000" w:themeColor="text1"/>
          <w:sz w:val="32"/>
          <w14:textFill>
            <w14:solidFill>
              <w14:schemeClr w14:val="tx1"/>
            </w14:solidFill>
          </w14:textFill>
        </w:rPr>
        <w:t xml:space="preserve"> </w:t>
      </w:r>
      <w:bookmarkStart w:id="25" w:name="_Toc197247444"/>
      <w:bookmarkStart w:id="26" w:name="_Toc263964579"/>
      <w:bookmarkStart w:id="27" w:name="_Toc196153694"/>
      <w:bookmarkStart w:id="28" w:name="_Toc420655597"/>
      <w:bookmarkStart w:id="29" w:name="_Toc263964481"/>
      <w:bookmarkStart w:id="30" w:name="_Toc196153893"/>
      <w:bookmarkStart w:id="31" w:name="_Toc400970099"/>
      <w:bookmarkStart w:id="32" w:name="_Toc224619345"/>
      <w:bookmarkStart w:id="33" w:name="_Toc196153992"/>
      <w:bookmarkStart w:id="34" w:name="_Toc229558393"/>
      <w:bookmarkStart w:id="35" w:name="_Toc263963173"/>
      <w:bookmarkStart w:id="36" w:name="_Toc408249246"/>
      <w:bookmarkStart w:id="37" w:name="_Toc319905129"/>
      <w:bookmarkStart w:id="38" w:name="_Toc193268467"/>
      <w:bookmarkStart w:id="39" w:name="_Toc192354826"/>
      <w:r>
        <w:rPr>
          <w:rFonts w:hint="eastAsia" w:ascii="仿宋" w:hAnsi="仿宋" w:eastAsia="仿宋" w:cs="仿宋"/>
          <w:b/>
          <w:color w:val="000000" w:themeColor="text1"/>
          <w:sz w:val="32"/>
          <w14:textFill>
            <w14:solidFill>
              <w14:schemeClr w14:val="tx1"/>
            </w14:solidFill>
          </w14:textFill>
        </w:rPr>
        <w:t>评审方法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40" w:name="_Toc196153695"/>
      <w:bookmarkStart w:id="41" w:name="_Toc196153993"/>
      <w:bookmarkStart w:id="42" w:name="_Toc196153894"/>
    </w:p>
    <w:p>
      <w:pPr>
        <w:pStyle w:val="5"/>
        <w:ind w:left="0" w:leftChars="0"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综合评分法</w:t>
      </w:r>
    </w:p>
    <w:p>
      <w:pPr>
        <w:spacing w:line="540" w:lineRule="exact"/>
        <w:rPr>
          <w:rFonts w:ascii="仿宋" w:hAnsi="仿宋" w:eastAsia="仿宋" w:cs="仿宋"/>
          <w:b/>
          <w:color w:val="000000" w:themeColor="text1"/>
          <w:sz w:val="32"/>
          <w:szCs w:val="32"/>
          <w14:textFill>
            <w14:solidFill>
              <w14:schemeClr w14:val="tx1"/>
            </w14:solidFill>
          </w14:textFill>
        </w:rPr>
      </w:pPr>
      <w:bookmarkStart w:id="43" w:name="_Toc263964482"/>
      <w:bookmarkStart w:id="44" w:name="_Toc197247445"/>
      <w:bookmarkStart w:id="45" w:name="_Toc400970100"/>
      <w:bookmarkStart w:id="46" w:name="_Toc408249247"/>
      <w:r>
        <w:rPr>
          <w:rFonts w:ascii="仿宋" w:hAnsi="仿宋" w:eastAsia="仿宋" w:cs="仿宋"/>
          <w:b/>
          <w:color w:val="000000" w:themeColor="text1"/>
          <w:sz w:val="32"/>
          <w:szCs w:val="32"/>
          <w14:textFill>
            <w14:solidFill>
              <w14:schemeClr w14:val="tx1"/>
            </w14:solidFill>
          </w14:textFill>
        </w:rPr>
        <w:t>3.</w:t>
      </w:r>
      <w:r>
        <w:rPr>
          <w:rFonts w:hint="eastAsia" w:ascii="仿宋" w:hAnsi="仿宋" w:eastAsia="仿宋" w:cs="仿宋"/>
          <w:b/>
          <w:color w:val="000000" w:themeColor="text1"/>
          <w:sz w:val="32"/>
          <w:szCs w:val="32"/>
          <w:lang w:val="en-US" w:eastAsia="zh-CN"/>
          <w14:textFill>
            <w14:solidFill>
              <w14:schemeClr w14:val="tx1"/>
            </w14:solidFill>
          </w14:textFill>
        </w:rPr>
        <w:t>2</w:t>
      </w:r>
      <w:r>
        <w:rPr>
          <w:rFonts w:ascii="仿宋" w:hAnsi="仿宋" w:eastAsia="仿宋" w:cs="仿宋"/>
          <w:b/>
          <w:color w:val="000000" w:themeColor="text1"/>
          <w:sz w:val="32"/>
          <w:szCs w:val="32"/>
          <w14:textFill>
            <w14:solidFill>
              <w14:schemeClr w14:val="tx1"/>
            </w14:solidFill>
          </w14:textFill>
        </w:rPr>
        <w:t>.1</w:t>
      </w:r>
      <w:r>
        <w:rPr>
          <w:rFonts w:hint="eastAsia" w:ascii="仿宋" w:hAnsi="仿宋" w:eastAsia="仿宋" w:cs="仿宋"/>
          <w:b/>
          <w:color w:val="000000" w:themeColor="text1"/>
          <w:sz w:val="32"/>
          <w:szCs w:val="32"/>
          <w14:textFill>
            <w14:solidFill>
              <w14:schemeClr w14:val="tx1"/>
            </w14:solidFill>
          </w14:textFill>
        </w:rPr>
        <w:t>谈判申请文件的初步评审</w:t>
      </w:r>
      <w:bookmarkEnd w:id="38"/>
      <w:bookmarkEnd w:id="39"/>
      <w:bookmarkEnd w:id="40"/>
      <w:bookmarkEnd w:id="41"/>
      <w:bookmarkEnd w:id="42"/>
      <w:bookmarkEnd w:id="43"/>
      <w:bookmarkEnd w:id="44"/>
      <w:bookmarkEnd w:id="45"/>
      <w:bookmarkEnd w:id="46"/>
    </w:p>
    <w:p>
      <w:pPr>
        <w:spacing w:line="540" w:lineRule="exact"/>
        <w:ind w:left="425"/>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在初步评审中，评审小组将首先审定每份谈判申请文件是否响应了</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的下述要求。</w:t>
      </w:r>
    </w:p>
    <w:p>
      <w:pPr>
        <w:spacing w:line="540" w:lineRule="exact"/>
        <w:ind w:left="425"/>
        <w:rPr>
          <w:rFonts w:ascii="仿宋" w:hAnsi="仿宋" w:eastAsia="仿宋" w:cs="仿宋"/>
          <w:bCs/>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如发现下列情况之一的，其</w:t>
      </w:r>
      <w:r>
        <w:rPr>
          <w:rFonts w:hint="eastAsia" w:ascii="仿宋" w:hAnsi="仿宋" w:eastAsia="仿宋" w:cs="仿宋"/>
          <w:color w:val="000000" w:themeColor="text1"/>
          <w:sz w:val="32"/>
          <w:szCs w:val="32"/>
          <w14:textFill>
            <w14:solidFill>
              <w14:schemeClr w14:val="tx1"/>
            </w14:solidFill>
          </w14:textFill>
        </w:rPr>
        <w:t>谈判</w:t>
      </w:r>
      <w:r>
        <w:rPr>
          <w:rFonts w:hint="eastAsia" w:ascii="仿宋" w:hAnsi="仿宋" w:eastAsia="仿宋" w:cs="仿宋"/>
          <w:bCs/>
          <w:color w:val="000000" w:themeColor="text1"/>
          <w:sz w:val="32"/>
          <w:szCs w:val="32"/>
          <w14:textFill>
            <w14:solidFill>
              <w14:schemeClr w14:val="tx1"/>
            </w14:solidFill>
          </w14:textFill>
        </w:rPr>
        <w:t>将被</w:t>
      </w:r>
      <w:r>
        <w:rPr>
          <w:rFonts w:hint="eastAsia" w:ascii="仿宋" w:hAnsi="仿宋" w:eastAsia="仿宋" w:cs="仿宋"/>
          <w:color w:val="000000" w:themeColor="text1"/>
          <w:sz w:val="32"/>
          <w:szCs w:val="32"/>
          <w14:textFill>
            <w14:solidFill>
              <w14:schemeClr w14:val="tx1"/>
            </w14:solidFill>
          </w14:textFill>
        </w:rPr>
        <w:t>评审小组</w:t>
      </w:r>
      <w:r>
        <w:rPr>
          <w:rFonts w:hint="eastAsia" w:ascii="仿宋" w:hAnsi="仿宋" w:eastAsia="仿宋" w:cs="仿宋"/>
          <w:bCs/>
          <w:color w:val="000000" w:themeColor="text1"/>
          <w:sz w:val="32"/>
          <w:szCs w:val="32"/>
          <w14:textFill>
            <w14:solidFill>
              <w14:schemeClr w14:val="tx1"/>
            </w14:solidFill>
          </w14:textFill>
        </w:rPr>
        <w:t>否决：</w:t>
      </w:r>
    </w:p>
    <w:p>
      <w:pPr>
        <w:adjustRightInd w:val="0"/>
        <w:snapToGrid w:val="0"/>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响应</w:t>
      </w:r>
      <w:r>
        <w:rPr>
          <w:rFonts w:hint="eastAsia" w:ascii="仿宋" w:hAnsi="仿宋" w:eastAsia="仿宋" w:cs="仿宋"/>
          <w:color w:val="000000" w:themeColor="text1"/>
          <w:sz w:val="32"/>
          <w:szCs w:val="32"/>
          <w14:textFill>
            <w14:solidFill>
              <w14:schemeClr w14:val="tx1"/>
            </w14:solidFill>
          </w14:textFill>
        </w:rPr>
        <w:t>文件未按</w:t>
      </w:r>
      <w:r>
        <w:rPr>
          <w:rFonts w:hint="eastAsia" w:ascii="仿宋" w:hAnsi="仿宋" w:eastAsia="仿宋" w:cs="仿宋"/>
          <w:color w:val="000000" w:themeColor="text1"/>
          <w:sz w:val="32"/>
          <w:szCs w:val="32"/>
          <w:lang w:eastAsia="zh-CN"/>
          <w14:textFill>
            <w14:solidFill>
              <w14:schemeClr w14:val="tx1"/>
            </w14:solidFill>
          </w14:textFill>
        </w:rPr>
        <w:t>比选</w:t>
      </w:r>
      <w:r>
        <w:rPr>
          <w:rFonts w:hint="eastAsia" w:ascii="仿宋" w:hAnsi="仿宋" w:eastAsia="仿宋" w:cs="仿宋"/>
          <w:color w:val="000000" w:themeColor="text1"/>
          <w:sz w:val="32"/>
          <w:szCs w:val="32"/>
          <w14:textFill>
            <w14:solidFill>
              <w14:schemeClr w14:val="tx1"/>
            </w14:solidFill>
          </w14:textFill>
        </w:rPr>
        <w:t>文件要求进行签署、盖章的；</w:t>
      </w:r>
    </w:p>
    <w:p>
      <w:pPr>
        <w:adjustRightInd w:val="0"/>
        <w:snapToGrid w:val="0"/>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）资格证明文件不全的；</w:t>
      </w:r>
    </w:p>
    <w:p>
      <w:pPr>
        <w:adjustRightInd w:val="0"/>
        <w:snapToGrid w:val="0"/>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）同一</w:t>
      </w:r>
      <w:r>
        <w:rPr>
          <w:rFonts w:hint="eastAsia" w:ascii="仿宋" w:hAnsi="仿宋" w:eastAsia="仿宋" w:cs="仿宋"/>
          <w:color w:val="000000" w:themeColor="text1"/>
          <w:sz w:val="32"/>
          <w:szCs w:val="32"/>
          <w:lang w:eastAsia="zh-CN"/>
          <w14:textFill>
            <w14:solidFill>
              <w14:schemeClr w14:val="tx1"/>
            </w14:solidFill>
          </w14:textFill>
        </w:rPr>
        <w:t>供应商</w:t>
      </w:r>
      <w:r>
        <w:rPr>
          <w:rFonts w:hint="eastAsia" w:ascii="仿宋" w:hAnsi="仿宋" w:eastAsia="仿宋" w:cs="仿宋"/>
          <w:color w:val="000000" w:themeColor="text1"/>
          <w:sz w:val="32"/>
          <w:szCs w:val="32"/>
          <w14:textFill>
            <w14:solidFill>
              <w14:schemeClr w14:val="tx1"/>
            </w14:solidFill>
          </w14:textFill>
        </w:rPr>
        <w:t>提交两个以上不同的</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或者报价，以及</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没有提交报价的；</w:t>
      </w:r>
    </w:p>
    <w:p>
      <w:pPr>
        <w:adjustRightInd w:val="0"/>
        <w:snapToGrid w:val="0"/>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载明的招标项目完成期限超过</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规定的期限；</w:t>
      </w:r>
    </w:p>
    <w:p>
      <w:pPr>
        <w:adjustRightInd w:val="0"/>
        <w:snapToGrid w:val="0"/>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）经评审小组认定</w:t>
      </w:r>
      <w:r>
        <w:rPr>
          <w:rFonts w:hint="eastAsia" w:ascii="仿宋" w:hAnsi="仿宋" w:eastAsia="仿宋" w:cs="仿宋"/>
          <w:color w:val="000000" w:themeColor="text1"/>
          <w:sz w:val="32"/>
          <w:szCs w:val="32"/>
          <w:lang w:eastAsia="zh-CN"/>
          <w14:textFill>
            <w14:solidFill>
              <w14:schemeClr w14:val="tx1"/>
            </w14:solidFill>
          </w14:textFill>
        </w:rPr>
        <w:t>供应商</w:t>
      </w:r>
      <w:r>
        <w:rPr>
          <w:rFonts w:hint="eastAsia" w:ascii="仿宋" w:hAnsi="仿宋" w:eastAsia="仿宋" w:cs="仿宋"/>
          <w:color w:val="000000" w:themeColor="text1"/>
          <w:sz w:val="32"/>
          <w:szCs w:val="32"/>
          <w14:textFill>
            <w14:solidFill>
              <w14:schemeClr w14:val="tx1"/>
            </w14:solidFill>
          </w14:textFill>
        </w:rPr>
        <w:t>的报价低于成本价形成恶性竞争的；</w:t>
      </w:r>
    </w:p>
    <w:p>
      <w:pPr>
        <w:adjustRightInd w:val="0"/>
        <w:snapToGrid w:val="0"/>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）明显不符合</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服务标准的要求；</w:t>
      </w:r>
    </w:p>
    <w:p>
      <w:pPr>
        <w:adjustRightInd w:val="0"/>
        <w:snapToGrid w:val="0"/>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附有采购人不能接受的条件；</w:t>
      </w:r>
    </w:p>
    <w:p>
      <w:pPr>
        <w:adjustRightInd w:val="0"/>
        <w:snapToGrid w:val="0"/>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）报价超过</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规定的限价；</w:t>
      </w:r>
    </w:p>
    <w:p>
      <w:pPr>
        <w:adjustRightInd w:val="0"/>
        <w:snapToGrid w:val="0"/>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）其他不符合</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实质性要求及法律、法规规定的其他情形。</w:t>
      </w:r>
    </w:p>
    <w:p>
      <w:pPr>
        <w:spacing w:line="540" w:lineRule="exact"/>
        <w:rPr>
          <w:rFonts w:ascii="仿宋" w:hAnsi="仿宋" w:eastAsia="仿宋" w:cs="仿宋"/>
          <w:b/>
          <w:color w:val="000000" w:themeColor="text1"/>
          <w:sz w:val="32"/>
          <w:szCs w:val="32"/>
          <w14:textFill>
            <w14:solidFill>
              <w14:schemeClr w14:val="tx1"/>
            </w14:solidFill>
          </w14:textFill>
        </w:rPr>
      </w:pPr>
      <w:bookmarkStart w:id="47" w:name="_Toc263964483"/>
      <w:bookmarkStart w:id="48" w:name="_Toc196153994"/>
      <w:bookmarkStart w:id="49" w:name="_Toc196153696"/>
      <w:bookmarkStart w:id="50" w:name="_Toc400970101"/>
      <w:bookmarkStart w:id="51" w:name="_Toc408249248"/>
      <w:bookmarkStart w:id="52" w:name="_Toc197247446"/>
      <w:bookmarkStart w:id="53" w:name="_Toc193268468"/>
      <w:bookmarkStart w:id="54" w:name="_Toc192354827"/>
      <w:bookmarkStart w:id="55" w:name="_Toc196153895"/>
      <w:r>
        <w:rPr>
          <w:rFonts w:ascii="仿宋" w:hAnsi="仿宋" w:eastAsia="仿宋" w:cs="仿宋"/>
          <w:b/>
          <w:color w:val="000000" w:themeColor="text1"/>
          <w:sz w:val="32"/>
          <w:szCs w:val="32"/>
          <w14:textFill>
            <w14:solidFill>
              <w14:schemeClr w14:val="tx1"/>
            </w14:solidFill>
          </w14:textFill>
        </w:rPr>
        <w:t>3.</w:t>
      </w:r>
      <w:r>
        <w:rPr>
          <w:rFonts w:hint="eastAsia" w:ascii="仿宋" w:hAnsi="仿宋" w:eastAsia="仿宋" w:cs="仿宋"/>
          <w:b/>
          <w:color w:val="000000" w:themeColor="text1"/>
          <w:sz w:val="32"/>
          <w:szCs w:val="32"/>
          <w:lang w:val="en-US" w:eastAsia="zh-CN"/>
          <w14:textFill>
            <w14:solidFill>
              <w14:schemeClr w14:val="tx1"/>
            </w14:solidFill>
          </w14:textFill>
        </w:rPr>
        <w:t>2</w:t>
      </w:r>
      <w:r>
        <w:rPr>
          <w:rFonts w:ascii="仿宋" w:hAnsi="仿宋" w:eastAsia="仿宋" w:cs="仿宋"/>
          <w:b/>
          <w:color w:val="000000" w:themeColor="text1"/>
          <w:sz w:val="32"/>
          <w:szCs w:val="32"/>
          <w14:textFill>
            <w14:solidFill>
              <w14:schemeClr w14:val="tx1"/>
            </w14:solidFill>
          </w14:textFill>
        </w:rPr>
        <w:t xml:space="preserve">.2 </w:t>
      </w:r>
      <w:r>
        <w:rPr>
          <w:rFonts w:hint="eastAsia" w:ascii="仿宋" w:hAnsi="仿宋" w:eastAsia="仿宋" w:cs="仿宋"/>
          <w:b/>
          <w:color w:val="000000" w:themeColor="text1"/>
          <w:sz w:val="32"/>
          <w:szCs w:val="32"/>
          <w14:textFill>
            <w14:solidFill>
              <w14:schemeClr w14:val="tx1"/>
            </w14:solidFill>
          </w14:textFill>
        </w:rPr>
        <w:t>报价计算错误的修正原则</w:t>
      </w:r>
      <w:bookmarkEnd w:id="47"/>
      <w:bookmarkEnd w:id="48"/>
      <w:bookmarkEnd w:id="49"/>
      <w:bookmarkEnd w:id="50"/>
      <w:bookmarkEnd w:id="51"/>
      <w:bookmarkEnd w:id="52"/>
      <w:bookmarkEnd w:id="53"/>
      <w:bookmarkEnd w:id="54"/>
      <w:bookmarkEnd w:id="55"/>
    </w:p>
    <w:p>
      <w:pPr>
        <w:adjustRightInd w:val="0"/>
        <w:snapToGrid w:val="0"/>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 xml:space="preserve">.2.1 </w:t>
      </w:r>
      <w:r>
        <w:rPr>
          <w:rFonts w:hint="eastAsia" w:ascii="仿宋" w:hAnsi="仿宋" w:eastAsia="仿宋" w:cs="仿宋"/>
          <w:color w:val="000000" w:themeColor="text1"/>
          <w:sz w:val="32"/>
          <w:szCs w:val="32"/>
          <w14:textFill>
            <w14:solidFill>
              <w14:schemeClr w14:val="tx1"/>
            </w14:solidFill>
          </w14:textFill>
        </w:rPr>
        <w:t>评审小组将对确定为实质上响应</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要求的</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进行校核，看其是否有计算上或汇总上的算术错误，修正错误的原则如下：</w:t>
      </w:r>
    </w:p>
    <w:p>
      <w:pPr>
        <w:adjustRightInd w:val="0"/>
        <w:snapToGrid w:val="0"/>
        <w:spacing w:line="54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中的大写金额与小写金额不一致的，以大写金额为准</w:t>
      </w:r>
      <w:r>
        <w:rPr>
          <w:rFonts w:hint="eastAsia" w:ascii="仿宋" w:hAnsi="仿宋" w:eastAsia="仿宋" w:cs="仿宋"/>
          <w:color w:val="000000" w:themeColor="text1"/>
          <w:sz w:val="32"/>
          <w:szCs w:val="32"/>
          <w:lang w:eastAsia="zh-CN"/>
          <w14:textFill>
            <w14:solidFill>
              <w14:schemeClr w14:val="tx1"/>
            </w14:solidFill>
          </w14:textFill>
        </w:rPr>
        <w:t>。</w:t>
      </w:r>
    </w:p>
    <w:p>
      <w:pPr>
        <w:spacing w:line="540" w:lineRule="exact"/>
        <w:rPr>
          <w:rFonts w:ascii="仿宋" w:hAnsi="仿宋" w:eastAsia="仿宋" w:cs="仿宋"/>
          <w:b/>
          <w:color w:val="000000" w:themeColor="text1"/>
          <w:sz w:val="32"/>
          <w:szCs w:val="32"/>
          <w14:textFill>
            <w14:solidFill>
              <w14:schemeClr w14:val="tx1"/>
            </w14:solidFill>
          </w14:textFill>
        </w:rPr>
      </w:pPr>
      <w:bookmarkStart w:id="56" w:name="_Toc408249249"/>
      <w:bookmarkStart w:id="57" w:name="_Toc192354828"/>
      <w:bookmarkStart w:id="58" w:name="_Toc400970102"/>
      <w:bookmarkStart w:id="59" w:name="_Toc196153995"/>
      <w:bookmarkStart w:id="60" w:name="_Toc197247447"/>
      <w:bookmarkStart w:id="61" w:name="_Toc196153697"/>
      <w:bookmarkStart w:id="62" w:name="_Toc263964484"/>
      <w:bookmarkStart w:id="63" w:name="_Toc196153896"/>
      <w:bookmarkStart w:id="64" w:name="_Toc193268469"/>
      <w:r>
        <w:rPr>
          <w:rFonts w:ascii="仿宋" w:hAnsi="仿宋" w:eastAsia="仿宋" w:cs="仿宋"/>
          <w:b/>
          <w:color w:val="000000" w:themeColor="text1"/>
          <w:sz w:val="32"/>
          <w:szCs w:val="32"/>
          <w14:textFill>
            <w14:solidFill>
              <w14:schemeClr w14:val="tx1"/>
            </w14:solidFill>
          </w14:textFill>
        </w:rPr>
        <w:t>3.</w:t>
      </w:r>
      <w:r>
        <w:rPr>
          <w:rFonts w:hint="eastAsia" w:ascii="仿宋" w:hAnsi="仿宋" w:eastAsia="仿宋" w:cs="仿宋"/>
          <w:b/>
          <w:color w:val="000000" w:themeColor="text1"/>
          <w:sz w:val="32"/>
          <w:szCs w:val="32"/>
          <w:lang w:val="en-US" w:eastAsia="zh-CN"/>
          <w14:textFill>
            <w14:solidFill>
              <w14:schemeClr w14:val="tx1"/>
            </w14:solidFill>
          </w14:textFill>
        </w:rPr>
        <w:t>2</w:t>
      </w:r>
      <w:r>
        <w:rPr>
          <w:rFonts w:ascii="仿宋" w:hAnsi="仿宋" w:eastAsia="仿宋" w:cs="仿宋"/>
          <w:b/>
          <w:color w:val="000000" w:themeColor="text1"/>
          <w:sz w:val="32"/>
          <w:szCs w:val="32"/>
          <w14:textFill>
            <w14:solidFill>
              <w14:schemeClr w14:val="tx1"/>
            </w14:solidFill>
          </w14:textFill>
        </w:rPr>
        <w:t xml:space="preserve">.3 </w:t>
      </w:r>
      <w:r>
        <w:rPr>
          <w:rFonts w:hint="eastAsia" w:ascii="仿宋" w:hAnsi="仿宋" w:eastAsia="仿宋" w:cs="仿宋"/>
          <w:b/>
          <w:color w:val="000000" w:themeColor="text1"/>
          <w:sz w:val="32"/>
          <w:szCs w:val="32"/>
          <w14:textFill>
            <w14:solidFill>
              <w14:schemeClr w14:val="tx1"/>
            </w14:solidFill>
          </w14:textFill>
        </w:rPr>
        <w:t>谈判申请文件的详细评审</w:t>
      </w:r>
      <w:bookmarkEnd w:id="56"/>
      <w:bookmarkEnd w:id="57"/>
      <w:bookmarkEnd w:id="58"/>
      <w:bookmarkEnd w:id="59"/>
      <w:bookmarkEnd w:id="60"/>
      <w:bookmarkEnd w:id="61"/>
      <w:bookmarkEnd w:id="62"/>
      <w:bookmarkEnd w:id="63"/>
      <w:bookmarkEnd w:id="64"/>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综合评审包括：</w:t>
      </w:r>
      <w:r>
        <w:rPr>
          <w:rFonts w:hint="eastAsia" w:ascii="仿宋" w:hAnsi="仿宋" w:eastAsia="仿宋" w:cs="仿宋"/>
          <w:bCs/>
          <w:color w:val="000000" w:themeColor="text1"/>
          <w:sz w:val="32"/>
          <w:szCs w:val="32"/>
          <w:lang w:eastAsia="zh-CN"/>
          <w14:textFill>
            <w14:solidFill>
              <w14:schemeClr w14:val="tx1"/>
            </w14:solidFill>
          </w14:textFill>
        </w:rPr>
        <w:t>报价</w:t>
      </w:r>
      <w:r>
        <w:rPr>
          <w:rFonts w:hint="eastAsia" w:ascii="仿宋" w:hAnsi="仿宋" w:eastAsia="仿宋" w:cs="仿宋"/>
          <w:bCs/>
          <w:color w:val="000000" w:themeColor="text1"/>
          <w:sz w:val="32"/>
          <w:szCs w:val="32"/>
          <w14:textFill>
            <w14:solidFill>
              <w14:schemeClr w14:val="tx1"/>
            </w14:solidFill>
          </w14:textFill>
        </w:rPr>
        <w:t>+技术服务方案+供应商综合实力</w:t>
      </w:r>
      <w:r>
        <w:rPr>
          <w:rFonts w:hint="eastAsia" w:ascii="仿宋" w:hAnsi="仿宋" w:eastAsia="仿宋" w:cs="仿宋"/>
          <w:bCs/>
          <w:color w:val="000000" w:themeColor="text1"/>
          <w:sz w:val="32"/>
          <w:szCs w:val="32"/>
          <w:lang w:val="en-US" w:eastAsia="zh-CN"/>
          <w14:textFill>
            <w14:solidFill>
              <w14:schemeClr w14:val="tx1"/>
            </w14:solidFill>
          </w14:textFill>
        </w:rPr>
        <w:t>+售后服务+履约能力</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评委将根据评分标准，依据综合评分结果排名。</w:t>
      </w:r>
    </w:p>
    <w:p>
      <w:pPr>
        <w:spacing w:line="560" w:lineRule="exact"/>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评分标准</w:t>
      </w:r>
    </w:p>
    <w:bookmarkEnd w:id="21"/>
    <w:bookmarkEnd w:id="22"/>
    <w:bookmarkEnd w:id="23"/>
    <w:tbl>
      <w:tblPr>
        <w:tblStyle w:val="53"/>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010"/>
        <w:gridCol w:w="731"/>
        <w:gridCol w:w="4888"/>
        <w:gridCol w:w="137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60" w:hRule="atLeast"/>
          <w:tblHeader/>
        </w:trPr>
        <w:tc>
          <w:tcPr>
            <w:tcW w:w="305" w:type="pct"/>
            <w:tcBorders>
              <w:top w:val="single" w:color="auto" w:sz="4" w:space="0"/>
              <w:left w:val="single" w:color="auto" w:sz="4" w:space="0"/>
              <w:bottom w:val="single" w:color="auto" w:sz="4" w:space="0"/>
              <w:right w:val="single" w:color="auto" w:sz="4" w:space="0"/>
            </w:tcBorders>
            <w:shd w:val="clear" w:color="auto" w:fill="F1F1F1"/>
            <w:noWrap/>
            <w:vAlign w:val="center"/>
          </w:tcPr>
          <w:p>
            <w:pPr>
              <w:snapToGrid w:val="0"/>
              <w:spacing w:line="340" w:lineRule="exact"/>
              <w:rPr>
                <w:rFonts w:hAnsi="宋体" w:cs="宋体"/>
                <w:b/>
                <w:color w:val="000000"/>
                <w:sz w:val="24"/>
                <w:szCs w:val="24"/>
              </w:rPr>
            </w:pPr>
            <w:bookmarkStart w:id="65" w:name="_Toc468808812"/>
            <w:bookmarkStart w:id="66" w:name="_Toc488655907"/>
            <w:bookmarkStart w:id="67" w:name="_Toc227057966"/>
            <w:bookmarkStart w:id="68" w:name="_Toc226969360"/>
            <w:bookmarkStart w:id="69" w:name="_Toc107822558"/>
            <w:r>
              <w:rPr>
                <w:rFonts w:hint="eastAsia" w:hAnsi="宋体" w:cs="宋体"/>
                <w:b/>
                <w:color w:val="000000"/>
                <w:spacing w:val="-23"/>
                <w:w w:val="90"/>
                <w:sz w:val="24"/>
                <w:szCs w:val="24"/>
              </w:rPr>
              <w:t>序号</w:t>
            </w:r>
          </w:p>
        </w:tc>
        <w:tc>
          <w:tcPr>
            <w:tcW w:w="592" w:type="pct"/>
            <w:tcBorders>
              <w:top w:val="single" w:color="auto" w:sz="4" w:space="0"/>
              <w:left w:val="single" w:color="auto" w:sz="4" w:space="0"/>
              <w:bottom w:val="single" w:color="auto" w:sz="4" w:space="0"/>
              <w:right w:val="single" w:color="auto" w:sz="4" w:space="0"/>
            </w:tcBorders>
            <w:shd w:val="clear" w:color="auto" w:fill="F1F1F1"/>
            <w:noWrap/>
            <w:vAlign w:val="center"/>
          </w:tcPr>
          <w:p>
            <w:pPr>
              <w:snapToGrid w:val="0"/>
              <w:spacing w:line="340" w:lineRule="exact"/>
              <w:jc w:val="center"/>
              <w:rPr>
                <w:rFonts w:hAnsi="宋体" w:cs="宋体"/>
                <w:b/>
                <w:color w:val="000000"/>
                <w:sz w:val="24"/>
                <w:szCs w:val="24"/>
              </w:rPr>
            </w:pPr>
            <w:r>
              <w:rPr>
                <w:rFonts w:hint="eastAsia" w:hAnsi="宋体" w:cs="宋体"/>
                <w:b/>
                <w:color w:val="000000"/>
                <w:spacing w:val="-20"/>
                <w:sz w:val="24"/>
                <w:szCs w:val="24"/>
              </w:rPr>
              <w:t>评分因素及权重</w:t>
            </w:r>
          </w:p>
        </w:tc>
        <w:tc>
          <w:tcPr>
            <w:tcW w:w="428" w:type="pct"/>
            <w:tcBorders>
              <w:top w:val="single" w:color="auto" w:sz="4" w:space="0"/>
              <w:left w:val="single" w:color="auto" w:sz="4" w:space="0"/>
              <w:bottom w:val="single" w:color="auto" w:sz="4" w:space="0"/>
              <w:right w:val="single" w:color="auto" w:sz="4" w:space="0"/>
            </w:tcBorders>
            <w:shd w:val="clear" w:color="auto" w:fill="F1F1F1"/>
            <w:noWrap/>
            <w:vAlign w:val="center"/>
          </w:tcPr>
          <w:p>
            <w:pPr>
              <w:snapToGrid w:val="0"/>
              <w:spacing w:line="340" w:lineRule="exact"/>
              <w:jc w:val="center"/>
              <w:rPr>
                <w:rFonts w:hAnsi="宋体" w:cs="宋体"/>
                <w:b/>
                <w:color w:val="000000"/>
                <w:sz w:val="24"/>
                <w:szCs w:val="24"/>
              </w:rPr>
            </w:pPr>
            <w:r>
              <w:rPr>
                <w:rFonts w:hint="eastAsia" w:hAnsi="宋体" w:cs="宋体"/>
                <w:b/>
                <w:color w:val="000000"/>
                <w:sz w:val="24"/>
                <w:szCs w:val="24"/>
              </w:rPr>
              <w:t>分值</w:t>
            </w:r>
          </w:p>
        </w:tc>
        <w:tc>
          <w:tcPr>
            <w:tcW w:w="2865" w:type="pct"/>
            <w:tcBorders>
              <w:top w:val="single" w:color="auto" w:sz="4" w:space="0"/>
              <w:left w:val="single" w:color="auto" w:sz="4" w:space="0"/>
              <w:bottom w:val="single" w:color="auto" w:sz="4" w:space="0"/>
              <w:right w:val="single" w:color="auto" w:sz="4" w:space="0"/>
            </w:tcBorders>
            <w:shd w:val="clear" w:color="auto" w:fill="F1F1F1"/>
            <w:noWrap/>
            <w:vAlign w:val="center"/>
          </w:tcPr>
          <w:p>
            <w:pPr>
              <w:snapToGrid w:val="0"/>
              <w:spacing w:line="340" w:lineRule="exact"/>
              <w:jc w:val="center"/>
              <w:rPr>
                <w:rFonts w:hAnsi="宋体" w:cs="宋体"/>
                <w:b/>
                <w:color w:val="000000"/>
                <w:sz w:val="24"/>
                <w:szCs w:val="24"/>
              </w:rPr>
            </w:pPr>
            <w:r>
              <w:rPr>
                <w:rFonts w:hint="eastAsia" w:hAnsi="宋体" w:cs="宋体"/>
                <w:b/>
                <w:color w:val="000000"/>
                <w:sz w:val="24"/>
                <w:szCs w:val="24"/>
              </w:rPr>
              <w:t>评分标准</w:t>
            </w:r>
          </w:p>
        </w:tc>
        <w:tc>
          <w:tcPr>
            <w:tcW w:w="804" w:type="pct"/>
            <w:tcBorders>
              <w:top w:val="single" w:color="auto" w:sz="4" w:space="0"/>
              <w:left w:val="single" w:color="auto" w:sz="4" w:space="0"/>
              <w:bottom w:val="single" w:color="auto" w:sz="4" w:space="0"/>
              <w:right w:val="single" w:color="auto" w:sz="4" w:space="0"/>
            </w:tcBorders>
            <w:shd w:val="clear" w:color="auto" w:fill="F1F1F1"/>
            <w:noWrap/>
            <w:vAlign w:val="center"/>
          </w:tcPr>
          <w:p>
            <w:pPr>
              <w:snapToGrid w:val="0"/>
              <w:spacing w:line="340" w:lineRule="exact"/>
              <w:jc w:val="center"/>
              <w:rPr>
                <w:rFonts w:hAnsi="宋体" w:cs="宋体"/>
                <w:b/>
                <w:color w:val="000000"/>
                <w:sz w:val="24"/>
                <w:szCs w:val="24"/>
              </w:rPr>
            </w:pPr>
            <w:r>
              <w:rPr>
                <w:rFonts w:hint="eastAsia" w:hAnsi="宋体" w:cs="宋体"/>
                <w:b/>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854" w:hRule="atLeast"/>
        </w:trPr>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Ansi="宋体" w:cs="宋体"/>
                <w:color w:val="000000"/>
                <w:sz w:val="24"/>
                <w:szCs w:val="24"/>
              </w:rPr>
            </w:pPr>
            <w:r>
              <w:rPr>
                <w:rFonts w:hint="eastAsia" w:hAnsi="宋体" w:cs="宋体"/>
                <w:color w:val="000000"/>
                <w:sz w:val="24"/>
                <w:szCs w:val="24"/>
              </w:rPr>
              <w:t>1</w:t>
            </w:r>
          </w:p>
        </w:tc>
        <w:tc>
          <w:tcPr>
            <w:tcW w:w="59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Ansi="宋体" w:cs="宋体"/>
                <w:color w:val="000000"/>
                <w:sz w:val="24"/>
                <w:szCs w:val="24"/>
              </w:rPr>
            </w:pPr>
            <w:r>
              <w:rPr>
                <w:rFonts w:hint="eastAsia" w:hAnsi="宋体" w:cs="宋体"/>
                <w:color w:val="000000"/>
                <w:sz w:val="24"/>
                <w:szCs w:val="24"/>
              </w:rPr>
              <w:t>报价</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Ansi="宋体" w:cs="宋体"/>
                <w:color w:val="000000"/>
                <w:sz w:val="24"/>
                <w:szCs w:val="24"/>
              </w:rPr>
            </w:pPr>
            <w:r>
              <w:rPr>
                <w:rFonts w:hint="eastAsia" w:hAnsi="宋体" w:cs="宋体"/>
                <w:color w:val="000000"/>
                <w:sz w:val="24"/>
                <w:szCs w:val="24"/>
              </w:rPr>
              <w:t>10分</w:t>
            </w:r>
          </w:p>
        </w:tc>
        <w:tc>
          <w:tcPr>
            <w:tcW w:w="286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Ansi="宋体" w:cs="宋体"/>
                <w:color w:val="000000"/>
                <w:sz w:val="24"/>
                <w:szCs w:val="24"/>
              </w:rPr>
            </w:pPr>
            <w:r>
              <w:rPr>
                <w:rFonts w:hint="eastAsia" w:hAnsi="宋体" w:cs="宋体"/>
                <w:color w:val="000000"/>
                <w:sz w:val="24"/>
                <w:szCs w:val="24"/>
              </w:rPr>
              <w:t>以本项目有效参选报价的最低价为基准价，参选报价得分=(基准价／投标报价)×10</w:t>
            </w:r>
            <w:r>
              <w:rPr>
                <w:rFonts w:hint="eastAsia" w:hAnsi="宋体" w:cs="宋体"/>
                <w:color w:val="000000"/>
                <w:sz w:val="24"/>
                <w:szCs w:val="24"/>
                <w:lang w:eastAsia="zh-CN"/>
              </w:rPr>
              <w:t>。</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198" w:hRule="atLeast"/>
        </w:trPr>
        <w:tc>
          <w:tcPr>
            <w:tcW w:w="305"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Ansi="宋体" w:cs="宋体"/>
                <w:color w:val="000000"/>
                <w:sz w:val="24"/>
                <w:szCs w:val="24"/>
              </w:rPr>
            </w:pPr>
            <w:r>
              <w:rPr>
                <w:rFonts w:hint="eastAsia" w:hAnsi="宋体" w:cs="宋体"/>
                <w:color w:val="000000"/>
                <w:sz w:val="24"/>
                <w:szCs w:val="24"/>
              </w:rPr>
              <w:t>2</w:t>
            </w:r>
          </w:p>
        </w:tc>
        <w:tc>
          <w:tcPr>
            <w:tcW w:w="592"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hAnsi="宋体" w:cs="宋体"/>
                <w:color w:val="000000"/>
                <w:sz w:val="24"/>
                <w:szCs w:val="24"/>
              </w:rPr>
            </w:pPr>
            <w:r>
              <w:rPr>
                <w:rFonts w:hint="eastAsia" w:hAnsi="宋体" w:cs="宋体"/>
                <w:color w:val="000000"/>
                <w:sz w:val="24"/>
                <w:szCs w:val="24"/>
              </w:rPr>
              <w:t>技术服务方案</w:t>
            </w:r>
          </w:p>
        </w:tc>
        <w:tc>
          <w:tcPr>
            <w:tcW w:w="428"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color w:val="000000"/>
                <w:sz w:val="24"/>
                <w:szCs w:val="24"/>
              </w:rPr>
            </w:pPr>
            <w:r>
              <w:rPr>
                <w:rFonts w:hint="eastAsia" w:hAnsi="宋体" w:cs="宋体"/>
                <w:color w:val="000000"/>
                <w:sz w:val="24"/>
                <w:szCs w:val="24"/>
              </w:rPr>
              <w:t>3</w:t>
            </w:r>
            <w:r>
              <w:rPr>
                <w:rFonts w:hint="eastAsia" w:hAnsi="宋体" w:cs="宋体"/>
                <w:color w:val="000000"/>
                <w:sz w:val="24"/>
                <w:szCs w:val="24"/>
                <w:lang w:val="en-US" w:eastAsia="zh-CN"/>
              </w:rPr>
              <w:t>9</w:t>
            </w:r>
            <w:r>
              <w:rPr>
                <w:rFonts w:hint="eastAsia" w:hAnsi="宋体" w:cs="宋体"/>
                <w:color w:val="000000"/>
                <w:sz w:val="24"/>
                <w:szCs w:val="24"/>
              </w:rPr>
              <w:t>分</w:t>
            </w:r>
          </w:p>
        </w:tc>
        <w:tc>
          <w:tcPr>
            <w:tcW w:w="2865"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color w:val="000000"/>
                <w:sz w:val="24"/>
                <w:szCs w:val="24"/>
              </w:rPr>
            </w:pPr>
            <w:r>
              <w:rPr>
                <w:rFonts w:hint="eastAsia" w:hAnsi="宋体" w:cs="宋体"/>
                <w:color w:val="000000"/>
                <w:sz w:val="24"/>
                <w:szCs w:val="24"/>
              </w:rPr>
              <w:t>1．供应商的技术方案能按照整体等级保护、风险评估体系，有针对性地设计、选择合适的技术方案作为整体安全解决方案。对项目实际情况和需求描述最好、无漏项的得</w:t>
            </w:r>
            <w:r>
              <w:rPr>
                <w:rFonts w:hint="eastAsia" w:hAnsi="宋体" w:cs="宋体"/>
                <w:color w:val="000000"/>
                <w:sz w:val="24"/>
                <w:szCs w:val="24"/>
                <w:lang w:val="en-US" w:eastAsia="zh-CN"/>
              </w:rPr>
              <w:t>6</w:t>
            </w:r>
            <w:r>
              <w:rPr>
                <w:rFonts w:hint="eastAsia" w:hAnsi="宋体" w:cs="宋体"/>
                <w:color w:val="000000"/>
                <w:sz w:val="24"/>
                <w:szCs w:val="24"/>
              </w:rPr>
              <w:t>分，对项目实际情况和需求描述基本完整、细微不足的得</w:t>
            </w:r>
            <w:r>
              <w:rPr>
                <w:rFonts w:hint="eastAsia" w:hAnsi="宋体" w:cs="宋体"/>
                <w:color w:val="000000"/>
                <w:sz w:val="24"/>
                <w:szCs w:val="24"/>
                <w:lang w:val="en-US" w:eastAsia="zh-CN"/>
              </w:rPr>
              <w:t>4</w:t>
            </w:r>
            <w:r>
              <w:rPr>
                <w:rFonts w:hint="eastAsia" w:hAnsi="宋体" w:cs="宋体"/>
                <w:color w:val="000000"/>
                <w:sz w:val="24"/>
                <w:szCs w:val="24"/>
              </w:rPr>
              <w:t>分，部分满足的得</w:t>
            </w:r>
            <w:r>
              <w:rPr>
                <w:rFonts w:hint="eastAsia" w:hAnsi="宋体" w:cs="宋体"/>
                <w:color w:val="000000"/>
                <w:sz w:val="24"/>
                <w:szCs w:val="24"/>
                <w:lang w:val="en-US" w:eastAsia="zh-CN"/>
              </w:rPr>
              <w:t>2</w:t>
            </w:r>
            <w:r>
              <w:rPr>
                <w:rFonts w:hint="eastAsia" w:hAnsi="宋体" w:cs="宋体"/>
                <w:color w:val="000000"/>
                <w:sz w:val="24"/>
                <w:szCs w:val="24"/>
              </w:rPr>
              <w:t>分，不满足的不得分。</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color w:val="000000"/>
                <w:sz w:val="24"/>
                <w:szCs w:val="24"/>
              </w:rPr>
            </w:pPr>
            <w:r>
              <w:rPr>
                <w:rFonts w:hint="eastAsia" w:hAnsi="宋体" w:cs="宋体"/>
                <w:color w:val="000000"/>
                <w:sz w:val="24"/>
                <w:szCs w:val="24"/>
              </w:rPr>
              <w:t>2．供应商的渗透服务方案能够结合采购人的核心业务系统，通过数据说明该业务系统当前的主要风险和威胁，制定科学合理的渗透测试方案，并对发现的安全风险进行整改。对采购人核心业务系统当前的安全风险了解并有详细数据说明，且能够进行安全整改的得</w:t>
            </w:r>
            <w:r>
              <w:rPr>
                <w:rFonts w:hint="eastAsia" w:hAnsi="宋体" w:cs="宋体"/>
                <w:color w:val="000000"/>
                <w:sz w:val="24"/>
                <w:szCs w:val="24"/>
                <w:lang w:val="en-US" w:eastAsia="zh-CN"/>
              </w:rPr>
              <w:t>6</w:t>
            </w:r>
            <w:r>
              <w:rPr>
                <w:rFonts w:hint="eastAsia" w:hAnsi="宋体" w:cs="宋体"/>
                <w:color w:val="000000"/>
                <w:sz w:val="24"/>
                <w:szCs w:val="24"/>
              </w:rPr>
              <w:t>分，对采购人核心业务系统当前的安全风险了解程度一般的，且能够进行安全整改的，得</w:t>
            </w:r>
            <w:r>
              <w:rPr>
                <w:rFonts w:hint="eastAsia" w:hAnsi="宋体" w:cs="宋体"/>
                <w:color w:val="000000"/>
                <w:sz w:val="24"/>
                <w:szCs w:val="24"/>
                <w:lang w:val="en-US" w:eastAsia="zh-CN"/>
              </w:rPr>
              <w:t>4</w:t>
            </w:r>
            <w:r>
              <w:rPr>
                <w:rFonts w:hint="eastAsia" w:hAnsi="宋体" w:cs="宋体"/>
                <w:color w:val="000000"/>
                <w:sz w:val="24"/>
                <w:szCs w:val="24"/>
              </w:rPr>
              <w:t>分，描述笼统且有能力做整改的得</w:t>
            </w:r>
            <w:r>
              <w:rPr>
                <w:rFonts w:hint="eastAsia" w:hAnsi="宋体" w:cs="宋体"/>
                <w:color w:val="000000"/>
                <w:sz w:val="24"/>
                <w:szCs w:val="24"/>
                <w:lang w:val="en-US" w:eastAsia="zh-CN"/>
              </w:rPr>
              <w:t>2</w:t>
            </w:r>
            <w:r>
              <w:rPr>
                <w:rFonts w:hint="eastAsia" w:hAnsi="宋体" w:cs="宋体"/>
                <w:color w:val="000000"/>
                <w:sz w:val="24"/>
                <w:szCs w:val="24"/>
              </w:rPr>
              <w:t>分，其他不得分。</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color w:val="000000"/>
                <w:sz w:val="24"/>
                <w:szCs w:val="24"/>
              </w:rPr>
            </w:pPr>
            <w:r>
              <w:rPr>
                <w:rFonts w:hint="eastAsia" w:hAnsi="宋体" w:cs="宋体"/>
                <w:color w:val="000000"/>
                <w:sz w:val="24"/>
                <w:szCs w:val="24"/>
              </w:rPr>
              <w:t>3.供应商提供的业务安全运维方案，需要梳理采购人的的核心业务系统的实际业务安全事件，并详细介绍如何通过该平台解决此类事情发生。梳理的安全事件完全结合实际，贴合采购人安全痛点的，并解决方案能落地的得</w:t>
            </w:r>
            <w:r>
              <w:rPr>
                <w:rFonts w:hint="eastAsia" w:hAnsi="宋体" w:cs="宋体"/>
                <w:color w:val="000000"/>
                <w:sz w:val="24"/>
                <w:szCs w:val="24"/>
                <w:lang w:val="en-US" w:eastAsia="zh-CN"/>
              </w:rPr>
              <w:t>6</w:t>
            </w:r>
            <w:r>
              <w:rPr>
                <w:rFonts w:hint="eastAsia" w:hAnsi="宋体" w:cs="宋体"/>
                <w:color w:val="000000"/>
                <w:sz w:val="24"/>
                <w:szCs w:val="24"/>
              </w:rPr>
              <w:t>分，梳理的安全事件部分贴合实际，并解决方案能落地的得</w:t>
            </w:r>
            <w:r>
              <w:rPr>
                <w:rFonts w:hint="eastAsia" w:hAnsi="宋体" w:cs="宋体"/>
                <w:color w:val="000000"/>
                <w:sz w:val="24"/>
                <w:szCs w:val="24"/>
                <w:lang w:val="en-US" w:eastAsia="zh-CN"/>
              </w:rPr>
              <w:t>4</w:t>
            </w:r>
            <w:r>
              <w:rPr>
                <w:rFonts w:hint="eastAsia" w:hAnsi="宋体" w:cs="宋体"/>
                <w:color w:val="000000"/>
                <w:sz w:val="24"/>
                <w:szCs w:val="24"/>
              </w:rPr>
              <w:t>分，方案笼统的得</w:t>
            </w:r>
            <w:r>
              <w:rPr>
                <w:rFonts w:hint="eastAsia" w:hAnsi="宋体" w:cs="宋体"/>
                <w:color w:val="000000"/>
                <w:sz w:val="24"/>
                <w:szCs w:val="24"/>
                <w:lang w:val="en-US" w:eastAsia="zh-CN"/>
              </w:rPr>
              <w:t>2</w:t>
            </w:r>
            <w:r>
              <w:rPr>
                <w:rFonts w:hint="eastAsia" w:hAnsi="宋体" w:cs="宋体"/>
                <w:color w:val="000000"/>
                <w:sz w:val="24"/>
                <w:szCs w:val="24"/>
              </w:rPr>
              <w:t>分，其他不得分。</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color w:val="000000"/>
                <w:sz w:val="24"/>
                <w:szCs w:val="24"/>
              </w:rPr>
            </w:pPr>
            <w:r>
              <w:rPr>
                <w:rFonts w:hint="eastAsia" w:hAnsi="宋体" w:cs="宋体"/>
                <w:color w:val="000000"/>
                <w:sz w:val="24"/>
                <w:szCs w:val="24"/>
              </w:rPr>
              <w:t>4.根据供应商的整体项目实施方案进行对比，方案详细完整的体现供应商设置的实施组织、实施进度安排、实施进度保障措施、实施质量保障措施等、风险控制等关键因素进行详细阐述，横向综合对比供应商实施方案后，完全满足并优于采购人实际需要的得</w:t>
            </w:r>
            <w:r>
              <w:rPr>
                <w:rFonts w:hint="eastAsia" w:hAnsi="宋体" w:cs="宋体"/>
                <w:color w:val="000000"/>
                <w:sz w:val="24"/>
                <w:szCs w:val="24"/>
                <w:lang w:val="en-US" w:eastAsia="zh-CN"/>
              </w:rPr>
              <w:t>6</w:t>
            </w:r>
            <w:r>
              <w:rPr>
                <w:rFonts w:hint="eastAsia" w:hAnsi="宋体" w:cs="宋体"/>
                <w:color w:val="000000"/>
                <w:sz w:val="24"/>
                <w:szCs w:val="24"/>
              </w:rPr>
              <w:t>分，能够基本满足采购人实际需要的得</w:t>
            </w:r>
            <w:r>
              <w:rPr>
                <w:rFonts w:hint="eastAsia" w:hAnsi="宋体" w:cs="宋体"/>
                <w:color w:val="000000"/>
                <w:sz w:val="24"/>
                <w:szCs w:val="24"/>
                <w:lang w:val="en-US" w:eastAsia="zh-CN"/>
              </w:rPr>
              <w:t>4</w:t>
            </w:r>
            <w:r>
              <w:rPr>
                <w:rFonts w:hint="eastAsia" w:hAnsi="宋体" w:cs="宋体"/>
                <w:color w:val="000000"/>
                <w:sz w:val="24"/>
                <w:szCs w:val="24"/>
              </w:rPr>
              <w:t>分，部分满足采购人实际需要的得</w:t>
            </w:r>
            <w:r>
              <w:rPr>
                <w:rFonts w:hint="eastAsia" w:hAnsi="宋体" w:cs="宋体"/>
                <w:color w:val="000000"/>
                <w:sz w:val="24"/>
                <w:szCs w:val="24"/>
                <w:lang w:val="en-US" w:eastAsia="zh-CN"/>
              </w:rPr>
              <w:t>2</w:t>
            </w:r>
            <w:r>
              <w:rPr>
                <w:rFonts w:hint="eastAsia" w:hAnsi="宋体" w:cs="宋体"/>
                <w:color w:val="000000"/>
                <w:sz w:val="24"/>
                <w:szCs w:val="24"/>
              </w:rPr>
              <w:t>分；不满足的不得分。</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hAnsi="宋体" w:cs="宋体"/>
                <w:color w:val="000000"/>
                <w:sz w:val="24"/>
                <w:szCs w:val="24"/>
              </w:rPr>
            </w:pPr>
            <w:r>
              <w:rPr>
                <w:rFonts w:hint="eastAsia" w:hAnsi="宋体" w:cs="宋体"/>
                <w:color w:val="000000"/>
                <w:sz w:val="24"/>
                <w:szCs w:val="24"/>
                <w:lang w:val="en-US" w:eastAsia="zh-CN"/>
              </w:rPr>
              <w:t>5</w:t>
            </w:r>
            <w:r>
              <w:rPr>
                <w:rFonts w:hint="eastAsia" w:hAnsi="宋体" w:cs="宋体"/>
                <w:color w:val="000000"/>
                <w:sz w:val="24"/>
                <w:szCs w:val="24"/>
              </w:rPr>
              <w:t>供应商提供服务时使用的安全扫描工具为公安部认可的等级保护检查工具箱，提供该等级保护检查工具箱具有《等级保护检查工具箱国家信息安全漏洞库兼容性资质证书》证明的得</w:t>
            </w:r>
            <w:r>
              <w:rPr>
                <w:rFonts w:hint="eastAsia" w:hAnsi="宋体" w:cs="宋体"/>
                <w:color w:val="000000"/>
                <w:sz w:val="24"/>
                <w:szCs w:val="24"/>
                <w:lang w:val="en-US" w:eastAsia="zh-CN"/>
              </w:rPr>
              <w:t>6</w:t>
            </w:r>
            <w:r>
              <w:rPr>
                <w:rFonts w:hint="eastAsia" w:hAnsi="宋体" w:cs="宋体"/>
                <w:color w:val="000000"/>
                <w:sz w:val="24"/>
                <w:szCs w:val="24"/>
              </w:rPr>
              <w:t>分，未提供或提供证书无效不得分。</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sz w:val="24"/>
                <w:szCs w:val="24"/>
              </w:rPr>
            </w:pPr>
            <w:r>
              <w:rPr>
                <w:rFonts w:hint="eastAsia" w:hAnsi="宋体" w:cs="宋体"/>
                <w:color w:val="000000"/>
                <w:sz w:val="24"/>
                <w:szCs w:val="24"/>
                <w:lang w:val="en-US" w:eastAsia="zh-CN"/>
              </w:rPr>
              <w:t>6、根据供应商提供的技术方案：整体流程、技术方法、服务方案设计、人员组织、时间安排、阶段性文档提交、验收标准、风险规避、</w:t>
            </w:r>
            <w:r>
              <w:rPr>
                <w:rFonts w:hint="eastAsia" w:hAnsi="宋体" w:cs="宋体"/>
                <w:color w:val="000000"/>
                <w:sz w:val="24"/>
                <w:szCs w:val="24"/>
                <w:lang w:val="en-US" w:eastAsia="zh-Hans"/>
              </w:rPr>
              <w:t>响应能力</w:t>
            </w:r>
            <w:r>
              <w:rPr>
                <w:rFonts w:hint="eastAsia" w:hAnsi="宋体" w:cs="宋体"/>
                <w:color w:val="000000"/>
                <w:sz w:val="24"/>
                <w:szCs w:val="24"/>
                <w:lang w:val="en-US" w:eastAsia="zh-CN"/>
              </w:rPr>
              <w:t>。方案包含以上内容且无内容错误的得9分，每缺少一项内容或每有一项内容错误（内容错误是指：不可实现的夸大情形或涉及的规范、标准与本项目要求不一致的情形）的扣1分。</w:t>
            </w:r>
          </w:p>
        </w:tc>
        <w:tc>
          <w:tcPr>
            <w:tcW w:w="804"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480"/>
              <w:textAlignment w:val="auto"/>
              <w:rPr>
                <w:rFonts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05"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Ansi="宋体" w:cs="宋体"/>
                <w:color w:val="000000"/>
                <w:sz w:val="24"/>
                <w:szCs w:val="24"/>
              </w:rPr>
            </w:pPr>
            <w:r>
              <w:rPr>
                <w:rFonts w:hint="eastAsia" w:hAnsi="宋体" w:cs="宋体"/>
                <w:color w:val="000000"/>
                <w:sz w:val="24"/>
                <w:szCs w:val="24"/>
              </w:rPr>
              <w:t>3</w:t>
            </w:r>
          </w:p>
        </w:tc>
        <w:tc>
          <w:tcPr>
            <w:tcW w:w="592"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Ansi="宋体" w:cs="宋体"/>
                <w:color w:val="000000"/>
                <w:sz w:val="24"/>
                <w:szCs w:val="24"/>
              </w:rPr>
            </w:pPr>
            <w:r>
              <w:rPr>
                <w:rFonts w:hint="eastAsia" w:hAnsi="宋体" w:cs="宋体"/>
                <w:color w:val="000000"/>
                <w:sz w:val="24"/>
                <w:szCs w:val="24"/>
              </w:rPr>
              <w:t>供应商综合实力</w:t>
            </w:r>
          </w:p>
        </w:tc>
        <w:tc>
          <w:tcPr>
            <w:tcW w:w="428"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Ansi="宋体" w:cs="宋体"/>
                <w:color w:val="000000"/>
                <w:sz w:val="24"/>
                <w:szCs w:val="24"/>
              </w:rPr>
            </w:pPr>
            <w:r>
              <w:rPr>
                <w:rFonts w:hint="eastAsia" w:hAnsi="宋体" w:cs="宋体"/>
                <w:color w:val="000000"/>
                <w:sz w:val="24"/>
                <w:szCs w:val="24"/>
              </w:rPr>
              <w:t>3</w:t>
            </w:r>
            <w:r>
              <w:rPr>
                <w:rFonts w:hint="eastAsia" w:hAnsi="宋体" w:cs="宋体"/>
                <w:color w:val="000000"/>
                <w:sz w:val="24"/>
                <w:szCs w:val="24"/>
                <w:lang w:val="en-US" w:eastAsia="zh-CN"/>
              </w:rPr>
              <w:t>1</w:t>
            </w:r>
            <w:r>
              <w:rPr>
                <w:rFonts w:hint="eastAsia" w:hAnsi="宋体" w:cs="宋体"/>
                <w:color w:val="000000"/>
                <w:sz w:val="24"/>
                <w:szCs w:val="24"/>
              </w:rPr>
              <w:t>分</w:t>
            </w:r>
          </w:p>
        </w:tc>
        <w:tc>
          <w:tcPr>
            <w:tcW w:w="286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color w:val="000000"/>
                <w:sz w:val="24"/>
                <w:szCs w:val="24"/>
              </w:rPr>
            </w:pPr>
            <w:r>
              <w:rPr>
                <w:rFonts w:hint="default" w:hAnsi="宋体" w:cs="宋体"/>
                <w:color w:val="000000"/>
                <w:sz w:val="24"/>
                <w:szCs w:val="24"/>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lang w:val="en-US"/>
              </w:rPr>
              <w:t>1.供应商具有信息系统建设和服务能力等级证书CS4级别的得4分；</w:t>
            </w:r>
          </w:p>
          <w:p>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2.供应商具有中国网络安全审查技术与认证中心颁发的信息安全服务资质认证证书，包括应急处理证书、风险评估证书、安全运维证书，每提供1个得2分，不提供不得分，共6分；</w:t>
            </w:r>
          </w:p>
          <w:p>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3.供应商具有中国信息安全测评中心颁发的安全工程证书的得3分；</w:t>
            </w:r>
          </w:p>
          <w:p>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4.供应商具有公安部颁发的信息安全等级保护安全建设服务机构能力评估合格证书的得3分；</w:t>
            </w:r>
          </w:p>
          <w:p>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5.供应商具有中国电子工业标准化技术委员会颁发的信息技术服务标准符合性证书-运行维护（ITSS）得3分；</w:t>
            </w:r>
          </w:p>
          <w:p>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6、供应商具有中国网络安全审查技术与认证中心（原中国信息安全认证中心）颁发的信息安全服务资质认证证书，提供证书复印件得4分；</w:t>
            </w:r>
          </w:p>
          <w:p>
            <w:pPr>
              <w:pStyle w:val="2"/>
              <w:rPr>
                <w:rFonts w:hint="eastAsia" w:ascii="宋体" w:hAnsi="宋体" w:eastAsia="宋体" w:cs="宋体"/>
                <w:color w:val="000000"/>
                <w:sz w:val="24"/>
                <w:szCs w:val="24"/>
              </w:rPr>
            </w:pPr>
            <w:r>
              <w:rPr>
                <w:rFonts w:hint="eastAsia" w:ascii="宋体" w:hAnsi="宋体" w:eastAsia="宋体" w:cs="宋体"/>
                <w:color w:val="000000"/>
                <w:sz w:val="24"/>
                <w:szCs w:val="24"/>
              </w:rPr>
              <w:t>7、供应商具有有效的质量管理体系认证证书、环境管理体系认证证书、职业健康安全管理体系认证证书，每提供一个以上证书复印件得2分，最多得6分。</w:t>
            </w:r>
          </w:p>
          <w:p>
            <w:pPr>
              <w:pStyle w:val="2"/>
              <w:rPr>
                <w:rFonts w:hint="default" w:hAnsi="宋体" w:cs="宋体"/>
                <w:color w:val="000000"/>
                <w:sz w:val="24"/>
                <w:szCs w:val="24"/>
              </w:rPr>
            </w:pPr>
            <w:r>
              <w:rPr>
                <w:rFonts w:hint="eastAsia" w:ascii="宋体" w:hAnsi="宋体" w:eastAsia="宋体" w:cs="宋体"/>
                <w:color w:val="000000"/>
                <w:sz w:val="24"/>
                <w:szCs w:val="24"/>
              </w:rPr>
              <w:t>8.供应商拟派负责本项目的项目组技术人员，除派遣驻场工程师外，项目组其他应急人员具有CISP安全工程师证书，每提供一人得1分，此项最高2分（涉及人员的需提供投标单位劳动关系证明加盖公章）</w:t>
            </w:r>
          </w:p>
        </w:tc>
        <w:tc>
          <w:tcPr>
            <w:tcW w:w="80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Ansi="宋体" w:cs="宋体"/>
                <w:color w:val="000000"/>
                <w:sz w:val="24"/>
                <w:szCs w:val="24"/>
              </w:rPr>
            </w:pPr>
            <w:r>
              <w:rPr>
                <w:rFonts w:hint="eastAsia" w:hAnsi="宋体" w:cs="宋体"/>
                <w:color w:val="000000"/>
                <w:sz w:val="24"/>
                <w:szCs w:val="24"/>
              </w:rPr>
              <w:t>提供相关有效期内的证书复印件加盖供应商鲜章，未提供不得分。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Ansi="宋体" w:cs="宋体"/>
                <w:color w:val="000000"/>
                <w:sz w:val="24"/>
                <w:szCs w:val="24"/>
              </w:rPr>
            </w:pPr>
            <w:r>
              <w:rPr>
                <w:rFonts w:hint="eastAsia" w:hAnsi="宋体" w:cs="宋体"/>
                <w:color w:val="000000"/>
                <w:sz w:val="24"/>
                <w:szCs w:val="24"/>
              </w:rPr>
              <w:t>4</w:t>
            </w:r>
          </w:p>
        </w:tc>
        <w:tc>
          <w:tcPr>
            <w:tcW w:w="59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Ansi="宋体" w:cs="宋体"/>
                <w:color w:val="000000"/>
                <w:sz w:val="24"/>
                <w:szCs w:val="24"/>
              </w:rPr>
            </w:pPr>
            <w:r>
              <w:rPr>
                <w:rFonts w:hint="eastAsia" w:hAnsi="宋体" w:cs="宋体"/>
                <w:color w:val="000000"/>
                <w:sz w:val="24"/>
                <w:szCs w:val="24"/>
              </w:rPr>
              <w:t>售后服务</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Ansi="宋体" w:cs="宋体"/>
                <w:color w:val="000000"/>
                <w:sz w:val="24"/>
                <w:szCs w:val="24"/>
              </w:rPr>
            </w:pPr>
            <w:r>
              <w:rPr>
                <w:rFonts w:hint="eastAsia" w:hAnsi="宋体" w:cs="宋体"/>
                <w:color w:val="000000"/>
                <w:sz w:val="24"/>
                <w:szCs w:val="24"/>
              </w:rPr>
              <w:t>10分</w:t>
            </w:r>
          </w:p>
        </w:tc>
        <w:tc>
          <w:tcPr>
            <w:tcW w:w="286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Ansi="宋体" w:cs="宋体"/>
                <w:color w:val="000000"/>
                <w:sz w:val="24"/>
                <w:szCs w:val="24"/>
              </w:rPr>
            </w:pPr>
            <w:r>
              <w:rPr>
                <w:rFonts w:hint="eastAsia" w:hAnsi="宋体" w:cs="宋体"/>
                <w:color w:val="000000"/>
                <w:sz w:val="24"/>
                <w:szCs w:val="24"/>
              </w:rPr>
              <w:t>1.根据供应商提供的售后服务方案进行对比，方案详细完整的体现售后服务组织、售后服务机构、售后服务人员、售后服务流程、售后服务响应时间、售后服务方式、售后服务内容、售后服务质量保障措施等关键因素。供应商售后服务方案完全包含以上几点要求且切实可行的得8分，每缺少一项或每有一项不切实可行扣1分，扣完为止。</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Ansi="宋体" w:cs="宋体"/>
                <w:color w:val="000000"/>
                <w:sz w:val="24"/>
                <w:szCs w:val="24"/>
              </w:rPr>
            </w:pPr>
            <w:r>
              <w:rPr>
                <w:rFonts w:hint="eastAsia" w:hAnsi="宋体" w:cs="宋体"/>
                <w:color w:val="000000"/>
                <w:sz w:val="24"/>
                <w:szCs w:val="24"/>
              </w:rPr>
              <w:t>2.根据供应商售后服务方案中质保期内的应急响应时间进行评价，应急响应时间≤2小时得2分，2小时＜应急响应时间≤4 小时得1分，其余的不得分；</w:t>
            </w:r>
          </w:p>
        </w:tc>
        <w:tc>
          <w:tcPr>
            <w:tcW w:w="80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Ansi="宋体" w:cs="宋体"/>
                <w:color w:val="000000"/>
                <w:sz w:val="24"/>
                <w:szCs w:val="24"/>
              </w:rPr>
            </w:pPr>
            <w:r>
              <w:rPr>
                <w:rFonts w:hint="eastAsia" w:hAnsi="宋体" w:cs="宋体"/>
                <w:color w:val="000000"/>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Ansi="宋体" w:cs="宋体"/>
                <w:color w:val="000000"/>
                <w:sz w:val="24"/>
                <w:szCs w:val="24"/>
              </w:rPr>
            </w:pPr>
            <w:r>
              <w:rPr>
                <w:rFonts w:hint="eastAsia" w:hAnsi="宋体" w:cs="宋体"/>
                <w:color w:val="000000"/>
                <w:sz w:val="24"/>
                <w:szCs w:val="24"/>
              </w:rPr>
              <w:t>5</w:t>
            </w:r>
          </w:p>
        </w:tc>
        <w:tc>
          <w:tcPr>
            <w:tcW w:w="59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Ansi="宋体" w:cs="宋体"/>
                <w:color w:val="000000"/>
                <w:sz w:val="24"/>
                <w:szCs w:val="24"/>
              </w:rPr>
            </w:pPr>
            <w:r>
              <w:rPr>
                <w:rFonts w:hint="eastAsia" w:hAnsi="宋体" w:cs="宋体"/>
                <w:color w:val="000000"/>
                <w:sz w:val="24"/>
                <w:szCs w:val="24"/>
              </w:rPr>
              <w:t>履约能力</w:t>
            </w:r>
          </w:p>
        </w:tc>
        <w:tc>
          <w:tcPr>
            <w:tcW w:w="42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Ansi="宋体" w:cs="宋体"/>
                <w:color w:val="000000"/>
                <w:sz w:val="24"/>
                <w:szCs w:val="24"/>
              </w:rPr>
            </w:pPr>
            <w:r>
              <w:rPr>
                <w:rFonts w:hint="eastAsia" w:hAnsi="宋体" w:cs="宋体"/>
                <w:color w:val="000000"/>
                <w:sz w:val="24"/>
                <w:szCs w:val="24"/>
              </w:rPr>
              <w:t>10分</w:t>
            </w:r>
          </w:p>
        </w:tc>
        <w:tc>
          <w:tcPr>
            <w:tcW w:w="286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Ansi="宋体" w:cs="宋体"/>
                <w:color w:val="000000"/>
                <w:sz w:val="24"/>
                <w:szCs w:val="24"/>
              </w:rPr>
            </w:pPr>
            <w:r>
              <w:rPr>
                <w:rFonts w:hint="eastAsia" w:hAnsi="宋体" w:cs="宋体"/>
                <w:color w:val="000000"/>
                <w:sz w:val="24"/>
                <w:szCs w:val="24"/>
              </w:rPr>
              <w:t>供应商提供近三年（20</w:t>
            </w:r>
            <w:r>
              <w:rPr>
                <w:rFonts w:hint="eastAsia" w:hAnsi="宋体" w:cs="宋体"/>
                <w:color w:val="000000"/>
                <w:sz w:val="24"/>
                <w:szCs w:val="24"/>
                <w:lang w:val="en-US" w:eastAsia="zh-CN"/>
              </w:rPr>
              <w:t>20</w:t>
            </w:r>
            <w:r>
              <w:rPr>
                <w:rFonts w:hint="eastAsia" w:hAnsi="宋体" w:cs="宋体"/>
                <w:color w:val="000000"/>
                <w:sz w:val="24"/>
                <w:szCs w:val="24"/>
              </w:rPr>
              <w:t>年1月1日至本项目开标之日）安全服务类项目履约证明材料，每提供1个证明材料得2分，最多得10分。未提供不得分；（须提供合同复印件关键页加盖供应商公章作为履约证明材料）</w:t>
            </w:r>
          </w:p>
        </w:tc>
        <w:tc>
          <w:tcPr>
            <w:tcW w:w="808"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Ansi="宋体" w:cs="宋体"/>
                <w:color w:val="000000"/>
                <w:sz w:val="24"/>
                <w:szCs w:val="24"/>
              </w:rPr>
            </w:pPr>
            <w:r>
              <w:rPr>
                <w:rFonts w:hint="eastAsia" w:hAnsi="宋体" w:cs="宋体"/>
                <w:color w:val="000000"/>
                <w:sz w:val="24"/>
                <w:szCs w:val="24"/>
              </w:rPr>
              <w:t>共同评分因素</w:t>
            </w:r>
          </w:p>
        </w:tc>
      </w:tr>
    </w:tbl>
    <w:p>
      <w:pPr>
        <w:keepNext/>
        <w:keepLines/>
        <w:tabs>
          <w:tab w:val="left" w:pos="576"/>
        </w:tabs>
        <w:spacing w:before="260" w:after="260" w:line="480" w:lineRule="exact"/>
        <w:outlineLvl w:val="1"/>
        <w:rPr>
          <w:rFonts w:ascii="华文细黑" w:hAnsi="华文细黑" w:eastAsia="华文细黑"/>
          <w:b/>
          <w:bCs/>
          <w:color w:val="000000" w:themeColor="text1"/>
          <w:sz w:val="24"/>
          <w14:textFill>
            <w14:solidFill>
              <w14:schemeClr w14:val="tx1"/>
            </w14:solidFill>
          </w14:textFill>
        </w:rPr>
      </w:pPr>
    </w:p>
    <w:p>
      <w:pPr>
        <w:pStyle w:val="2"/>
        <w:rPr>
          <w:rFonts w:ascii="华文细黑" w:hAnsi="华文细黑" w:eastAsia="华文细黑"/>
          <w:b/>
          <w:bCs/>
          <w:color w:val="000000" w:themeColor="text1"/>
          <w:sz w:val="24"/>
          <w14:textFill>
            <w14:solidFill>
              <w14:schemeClr w14:val="tx1"/>
            </w14:solidFill>
          </w14:textFill>
        </w:rPr>
      </w:pPr>
    </w:p>
    <w:p>
      <w:pPr>
        <w:pStyle w:val="2"/>
        <w:rPr>
          <w:rFonts w:ascii="华文细黑" w:hAnsi="华文细黑" w:eastAsia="华文细黑"/>
          <w:b/>
          <w:bCs/>
          <w:color w:val="000000" w:themeColor="text1"/>
          <w:sz w:val="24"/>
          <w14:textFill>
            <w14:solidFill>
              <w14:schemeClr w14:val="tx1"/>
            </w14:solidFill>
          </w14:textFill>
        </w:rPr>
      </w:pPr>
    </w:p>
    <w:p>
      <w:pPr>
        <w:pStyle w:val="2"/>
        <w:rPr>
          <w:rFonts w:ascii="华文细黑" w:hAnsi="华文细黑" w:eastAsia="华文细黑"/>
          <w:b/>
          <w:bCs/>
          <w:color w:val="000000" w:themeColor="text1"/>
          <w:sz w:val="24"/>
          <w14:textFill>
            <w14:solidFill>
              <w14:schemeClr w14:val="tx1"/>
            </w14:solidFill>
          </w14:textFill>
        </w:rPr>
      </w:pPr>
    </w:p>
    <w:p>
      <w:pPr>
        <w:pStyle w:val="2"/>
        <w:rPr>
          <w:rFonts w:ascii="华文细黑" w:hAnsi="华文细黑" w:eastAsia="华文细黑"/>
          <w:b/>
          <w:bCs/>
          <w:color w:val="000000" w:themeColor="text1"/>
          <w:sz w:val="24"/>
          <w14:textFill>
            <w14:solidFill>
              <w14:schemeClr w14:val="tx1"/>
            </w14:solidFill>
          </w14:textFill>
        </w:rPr>
      </w:pPr>
    </w:p>
    <w:p>
      <w:pPr>
        <w:pStyle w:val="2"/>
        <w:rPr>
          <w:rFonts w:ascii="华文细黑" w:hAnsi="华文细黑" w:eastAsia="华文细黑"/>
          <w:b/>
          <w:bCs/>
          <w:color w:val="000000" w:themeColor="text1"/>
          <w:sz w:val="24"/>
          <w14:textFill>
            <w14:solidFill>
              <w14:schemeClr w14:val="tx1"/>
            </w14:solidFill>
          </w14:textFill>
        </w:rPr>
      </w:pPr>
    </w:p>
    <w:p>
      <w:pPr>
        <w:pStyle w:val="2"/>
        <w:rPr>
          <w:rFonts w:ascii="华文细黑" w:hAnsi="华文细黑" w:eastAsia="华文细黑"/>
          <w:b/>
          <w:bCs/>
          <w:color w:val="000000" w:themeColor="text1"/>
          <w:sz w:val="24"/>
          <w14:textFill>
            <w14:solidFill>
              <w14:schemeClr w14:val="tx1"/>
            </w14:solidFill>
          </w14:textFill>
        </w:rPr>
      </w:pPr>
    </w:p>
    <w:p>
      <w:pPr>
        <w:pStyle w:val="2"/>
        <w:rPr>
          <w:rFonts w:ascii="华文细黑" w:hAnsi="华文细黑" w:eastAsia="华文细黑"/>
          <w:b/>
          <w:bCs/>
          <w:color w:val="000000" w:themeColor="text1"/>
          <w:sz w:val="24"/>
          <w14:textFill>
            <w14:solidFill>
              <w14:schemeClr w14:val="tx1"/>
            </w14:solidFill>
          </w14:textFill>
        </w:rPr>
      </w:pPr>
    </w:p>
    <w:p>
      <w:pPr>
        <w:pStyle w:val="2"/>
        <w:rPr>
          <w:rFonts w:ascii="华文细黑" w:hAnsi="华文细黑" w:eastAsia="华文细黑"/>
          <w:b/>
          <w:bCs/>
          <w:color w:val="000000" w:themeColor="text1"/>
          <w:sz w:val="24"/>
          <w14:textFill>
            <w14:solidFill>
              <w14:schemeClr w14:val="tx1"/>
            </w14:solidFill>
          </w14:textFill>
        </w:rPr>
      </w:pPr>
    </w:p>
    <w:p>
      <w:pPr>
        <w:pStyle w:val="2"/>
        <w:rPr>
          <w:rFonts w:ascii="华文细黑" w:hAnsi="华文细黑" w:eastAsia="华文细黑"/>
          <w:b/>
          <w:bCs/>
          <w:color w:val="000000" w:themeColor="text1"/>
          <w:sz w:val="24"/>
          <w14:textFill>
            <w14:solidFill>
              <w14:schemeClr w14:val="tx1"/>
            </w14:solidFill>
          </w14:textFill>
        </w:rPr>
      </w:pPr>
    </w:p>
    <w:p>
      <w:pPr>
        <w:pStyle w:val="2"/>
        <w:rPr>
          <w:rFonts w:ascii="华文细黑" w:hAnsi="华文细黑" w:eastAsia="华文细黑"/>
          <w:b/>
          <w:bCs/>
          <w:color w:val="000000" w:themeColor="text1"/>
          <w:sz w:val="24"/>
          <w14:textFill>
            <w14:solidFill>
              <w14:schemeClr w14:val="tx1"/>
            </w14:solidFill>
          </w14:textFill>
        </w:rPr>
      </w:pPr>
    </w:p>
    <w:p>
      <w:pPr>
        <w:pStyle w:val="2"/>
        <w:rPr>
          <w:rFonts w:ascii="华文细黑" w:hAnsi="华文细黑" w:eastAsia="华文细黑"/>
          <w:b/>
          <w:bCs/>
          <w:color w:val="000000" w:themeColor="text1"/>
          <w:sz w:val="24"/>
          <w14:textFill>
            <w14:solidFill>
              <w14:schemeClr w14:val="tx1"/>
            </w14:solidFill>
          </w14:textFill>
        </w:rPr>
      </w:pPr>
    </w:p>
    <w:p>
      <w:pPr>
        <w:pStyle w:val="2"/>
        <w:rPr>
          <w:rFonts w:ascii="华文细黑" w:hAnsi="华文细黑" w:eastAsia="华文细黑"/>
          <w:b/>
          <w:bCs/>
          <w:color w:val="000000" w:themeColor="text1"/>
          <w:sz w:val="24"/>
          <w14:textFill>
            <w14:solidFill>
              <w14:schemeClr w14:val="tx1"/>
            </w14:solidFill>
          </w14:textFill>
        </w:rPr>
      </w:pPr>
    </w:p>
    <w:p>
      <w:pPr>
        <w:keepNext/>
        <w:keepLines/>
        <w:tabs>
          <w:tab w:val="left" w:pos="576"/>
        </w:tabs>
        <w:spacing w:before="260" w:after="260" w:line="480" w:lineRule="exact"/>
        <w:outlineLvl w:val="1"/>
        <w:rPr>
          <w:rFonts w:ascii="华文细黑" w:hAnsi="华文细黑" w:eastAsia="华文细黑"/>
          <w:b/>
          <w:bCs/>
          <w:color w:val="000000" w:themeColor="text1"/>
          <w:sz w:val="24"/>
          <w14:textFill>
            <w14:solidFill>
              <w14:schemeClr w14:val="tx1"/>
            </w14:solidFill>
          </w14:textFill>
        </w:rPr>
      </w:pPr>
      <w:r>
        <w:rPr>
          <w:rFonts w:ascii="华文细黑" w:hAnsi="华文细黑" w:eastAsia="华文细黑"/>
          <w:b/>
          <w:bCs/>
          <w:color w:val="000000" w:themeColor="text1"/>
          <w:sz w:val="24"/>
          <w14:textFill>
            <w14:solidFill>
              <w14:schemeClr w14:val="tx1"/>
            </w14:solidFill>
          </w14:textFill>
        </w:rPr>
        <w:t>3.</w:t>
      </w:r>
      <w:r>
        <w:rPr>
          <w:rFonts w:hint="eastAsia" w:ascii="华文细黑" w:hAnsi="华文细黑" w:eastAsia="华文细黑"/>
          <w:b/>
          <w:bCs/>
          <w:color w:val="000000" w:themeColor="text1"/>
          <w:sz w:val="24"/>
          <w:lang w:val="en-US" w:eastAsia="zh-CN"/>
          <w14:textFill>
            <w14:solidFill>
              <w14:schemeClr w14:val="tx1"/>
            </w14:solidFill>
          </w14:textFill>
        </w:rPr>
        <w:t>3</w:t>
      </w:r>
      <w:r>
        <w:rPr>
          <w:rFonts w:ascii="华文细黑" w:hAnsi="华文细黑" w:eastAsia="华文细黑"/>
          <w:b/>
          <w:bCs/>
          <w:color w:val="000000" w:themeColor="text1"/>
          <w:sz w:val="24"/>
          <w14:textFill>
            <w14:solidFill>
              <w14:schemeClr w14:val="tx1"/>
            </w14:solidFill>
          </w14:textFill>
        </w:rPr>
        <w:t xml:space="preserve">  </w:t>
      </w:r>
      <w:bookmarkStart w:id="70" w:name="_Toc227057968"/>
      <w:bookmarkStart w:id="71" w:name="_Toc226969362"/>
      <w:bookmarkStart w:id="72" w:name="_Toc488655909"/>
      <w:bookmarkStart w:id="73" w:name="_Toc107822560"/>
      <w:r>
        <w:rPr>
          <w:rFonts w:hint="eastAsia" w:ascii="华文细黑" w:hAnsi="华文细黑" w:eastAsia="华文细黑"/>
          <w:b/>
          <w:bCs/>
          <w:color w:val="000000" w:themeColor="text1"/>
          <w:sz w:val="24"/>
          <w14:textFill>
            <w14:solidFill>
              <w14:schemeClr w14:val="tx1"/>
            </w14:solidFill>
          </w14:textFill>
        </w:rPr>
        <w:t>报价表（格式）</w:t>
      </w:r>
      <w:bookmarkEnd w:id="65"/>
    </w:p>
    <w:bookmarkEnd w:id="66"/>
    <w:bookmarkEnd w:id="67"/>
    <w:bookmarkEnd w:id="68"/>
    <w:bookmarkEnd w:id="69"/>
    <w:bookmarkEnd w:id="70"/>
    <w:bookmarkEnd w:id="71"/>
    <w:bookmarkEnd w:id="72"/>
    <w:bookmarkEnd w:id="73"/>
    <w:p>
      <w:pPr>
        <w:jc w:val="center"/>
        <w:rPr>
          <w:b/>
          <w:color w:val="000000" w:themeColor="text1"/>
          <w:sz w:val="32"/>
          <w:szCs w:val="32"/>
          <w14:textFill>
            <w14:solidFill>
              <w14:schemeClr w14:val="tx1"/>
            </w14:solidFill>
          </w14:textFill>
        </w:rPr>
      </w:pPr>
      <w:bookmarkStart w:id="74" w:name="_Toc527444256"/>
      <w:bookmarkStart w:id="75" w:name="_Toc516487564"/>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pPr>
        <w:jc w:val="center"/>
        <w:rPr>
          <w:color w:val="000000" w:themeColor="text1"/>
          <w:sz w:val="28"/>
          <w:szCs w:val="28"/>
          <w14:textFill>
            <w14:solidFill>
              <w14:schemeClr w14:val="tx1"/>
            </w14:solidFill>
          </w14:textFill>
        </w:rPr>
      </w:pPr>
    </w:p>
    <w:p>
      <w:pPr>
        <w:spacing w:line="360" w:lineRule="auto"/>
        <w:ind w:firstLine="422" w:firstLineChars="150"/>
        <w:rPr>
          <w:rFonts w:hint="eastAsia" w:asci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项</w:t>
      </w:r>
      <w:r>
        <w:rPr>
          <w:rFonts w:hint="eastAsia" w:ascii="宋体" w:hAnsi="宋体" w:cs="宋体"/>
          <w:b/>
          <w:color w:val="000000" w:themeColor="text1"/>
          <w:spacing w:val="-20"/>
          <w:sz w:val="28"/>
          <w:szCs w:val="28"/>
          <w14:textFill>
            <w14:solidFill>
              <w14:schemeClr w14:val="tx1"/>
            </w14:solidFill>
          </w14:textFill>
        </w:rPr>
        <w:t>目</w:t>
      </w:r>
      <w:r>
        <w:rPr>
          <w:rFonts w:hint="eastAsia" w:ascii="宋体" w:hAnsi="宋体" w:cs="宋体"/>
          <w:b/>
          <w:color w:val="000000" w:themeColor="text1"/>
          <w:spacing w:val="-20"/>
          <w:sz w:val="28"/>
          <w:szCs w:val="28"/>
          <w:lang w:val="en-US" w:eastAsia="zh-CN"/>
          <w14:textFill>
            <w14:solidFill>
              <w14:schemeClr w14:val="tx1"/>
            </w14:solidFill>
          </w14:textFill>
        </w:rPr>
        <w:t>名称</w:t>
      </w:r>
      <w:r>
        <w:rPr>
          <w:rFonts w:hint="eastAsia" w:ascii="宋体" w:hAnsi="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u w:val="single"/>
          <w14:textFill>
            <w14:solidFill>
              <w14:schemeClr w14:val="tx1"/>
            </w14:solidFill>
          </w14:textFill>
        </w:rPr>
        <w:t>四川省政府政</w:t>
      </w:r>
      <w:r>
        <w:rPr>
          <w:rFonts w:hint="eastAsia" w:ascii="宋体" w:hAnsi="宋体" w:cs="宋体"/>
          <w:b/>
          <w:color w:val="000000" w:themeColor="text1"/>
          <w:sz w:val="28"/>
          <w:szCs w:val="28"/>
          <w:u w:val="single"/>
          <w:lang w:val="en-US" w:eastAsia="zh-CN"/>
          <w14:textFill>
            <w14:solidFill>
              <w14:schemeClr w14:val="tx1"/>
            </w14:solidFill>
          </w14:textFill>
        </w:rPr>
        <w:t>务</w:t>
      </w:r>
      <w:r>
        <w:rPr>
          <w:rFonts w:hint="eastAsia" w:ascii="宋体" w:hAnsi="宋体" w:cs="宋体"/>
          <w:b/>
          <w:color w:val="000000" w:themeColor="text1"/>
          <w:sz w:val="28"/>
          <w:szCs w:val="28"/>
          <w:u w:val="single"/>
          <w14:textFill>
            <w14:solidFill>
              <w14:schemeClr w14:val="tx1"/>
            </w14:solidFill>
          </w14:textFill>
        </w:rPr>
        <w:t>服</w:t>
      </w:r>
      <w:r>
        <w:rPr>
          <w:rFonts w:hint="eastAsia" w:ascii="宋体" w:hAnsi="宋体" w:cs="宋体"/>
          <w:b/>
          <w:color w:val="000000" w:themeColor="text1"/>
          <w:sz w:val="28"/>
          <w:szCs w:val="28"/>
          <w:u w:val="single"/>
          <w:lang w:val="en-US" w:eastAsia="zh-CN"/>
          <w14:textFill>
            <w14:solidFill>
              <w14:schemeClr w14:val="tx1"/>
            </w14:solidFill>
          </w14:textFill>
        </w:rPr>
        <w:t>务</w:t>
      </w:r>
      <w:r>
        <w:rPr>
          <w:rFonts w:hint="eastAsia" w:ascii="宋体" w:hAnsi="宋体" w:cs="宋体"/>
          <w:b/>
          <w:color w:val="000000" w:themeColor="text1"/>
          <w:sz w:val="28"/>
          <w:szCs w:val="28"/>
          <w:u w:val="single"/>
          <w14:textFill>
            <w14:solidFill>
              <w14:schemeClr w14:val="tx1"/>
            </w14:solidFill>
          </w14:textFill>
        </w:rPr>
        <w:t>和公共</w:t>
      </w:r>
      <w:r>
        <w:rPr>
          <w:rFonts w:hint="eastAsia" w:ascii="宋体" w:hAnsi="宋体" w:cs="宋体"/>
          <w:b/>
          <w:color w:val="000000" w:themeColor="text1"/>
          <w:sz w:val="28"/>
          <w:szCs w:val="28"/>
          <w:u w:val="single"/>
          <w:lang w:val="en-US" w:eastAsia="zh-CN"/>
          <w14:textFill>
            <w14:solidFill>
              <w14:schemeClr w14:val="tx1"/>
            </w14:solidFill>
          </w14:textFill>
        </w:rPr>
        <w:t>资源</w:t>
      </w:r>
      <w:r>
        <w:rPr>
          <w:rFonts w:hint="eastAsia" w:ascii="宋体" w:hAnsi="宋体" w:cs="宋体"/>
          <w:b/>
          <w:color w:val="000000" w:themeColor="text1"/>
          <w:sz w:val="28"/>
          <w:szCs w:val="28"/>
          <w:u w:val="single"/>
          <w14:textFill>
            <w14:solidFill>
              <w14:schemeClr w14:val="tx1"/>
            </w14:solidFill>
          </w14:textFill>
        </w:rPr>
        <w:t>交易服</w:t>
      </w:r>
      <w:r>
        <w:rPr>
          <w:rFonts w:hint="eastAsia" w:ascii="宋体" w:hAnsi="宋体" w:cs="宋体"/>
          <w:b/>
          <w:color w:val="000000" w:themeColor="text1"/>
          <w:sz w:val="28"/>
          <w:szCs w:val="28"/>
          <w:u w:val="single"/>
          <w:lang w:val="en-US" w:eastAsia="zh-CN"/>
          <w14:textFill>
            <w14:solidFill>
              <w14:schemeClr w14:val="tx1"/>
            </w14:solidFill>
          </w14:textFill>
        </w:rPr>
        <w:t>务</w:t>
      </w:r>
      <w:r>
        <w:rPr>
          <w:rFonts w:hint="eastAsia" w:ascii="宋体" w:hAnsi="宋体" w:cs="宋体"/>
          <w:b/>
          <w:color w:val="000000" w:themeColor="text1"/>
          <w:sz w:val="28"/>
          <w:szCs w:val="28"/>
          <w:u w:val="single"/>
          <w14:textFill>
            <w14:solidFill>
              <w14:schemeClr w14:val="tx1"/>
            </w14:solidFill>
          </w14:textFill>
        </w:rPr>
        <w:t>中心</w:t>
      </w:r>
      <w:r>
        <w:rPr>
          <w:rFonts w:hint="eastAsia" w:ascii="宋体" w:hAnsi="宋体" w:cs="宋体"/>
          <w:b/>
          <w:color w:val="000000" w:themeColor="text1"/>
          <w:sz w:val="28"/>
          <w:szCs w:val="28"/>
          <w:u w:val="single"/>
          <w:lang w:eastAsia="zh-CN"/>
          <w14:textFill>
            <w14:solidFill>
              <w14:schemeClr w14:val="tx1"/>
            </w14:solidFill>
          </w14:textFill>
        </w:rPr>
        <w:t>网络安全监测服务</w:t>
      </w:r>
      <w:r>
        <w:rPr>
          <w:rFonts w:hint="eastAsia" w:ascii="宋体" w:hAnsi="宋体" w:cs="宋体"/>
          <w:b/>
          <w:color w:val="000000" w:themeColor="text1"/>
          <w:sz w:val="28"/>
          <w:szCs w:val="28"/>
          <w:u w:val="single"/>
          <w14:textFill>
            <w14:solidFill>
              <w14:schemeClr w14:val="tx1"/>
            </w14:solidFill>
          </w14:textFill>
        </w:rPr>
        <w:t>采购项目</w:t>
      </w:r>
      <w:r>
        <w:rPr>
          <w:rFonts w:hint="eastAsia" w:ascii="宋体" w:hAnsi="宋体" w:cs="宋体"/>
          <w:b/>
          <w:color w:val="000000" w:themeColor="text1"/>
          <w:sz w:val="28"/>
          <w:szCs w:val="28"/>
          <w:u w:val="single"/>
          <w:lang w:val="en-US" w:eastAsia="zh-CN"/>
          <w14:textFill>
            <w14:solidFill>
              <w14:schemeClr w14:val="tx1"/>
            </w14:solidFill>
          </w14:textFill>
        </w:rPr>
        <w:t>报价表</w:t>
      </w:r>
    </w:p>
    <w:p>
      <w:pPr>
        <w:pStyle w:val="34"/>
        <w:spacing w:line="360" w:lineRule="auto"/>
        <w:rPr>
          <w:rFonts w:ascii="宋体" w:hAnsi="宋体" w:eastAsia="宋体" w:cs="宋体"/>
          <w:color w:val="000000" w:themeColor="text1"/>
          <w14:textFill>
            <w14:solidFill>
              <w14:schemeClr w14:val="tx1"/>
            </w14:solidFill>
          </w14:textFill>
        </w:rPr>
      </w:pPr>
    </w:p>
    <w:tbl>
      <w:tblPr>
        <w:tblStyle w:val="53"/>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pPr>
              <w:spacing w:line="360" w:lineRule="auto"/>
              <w:jc w:val="center"/>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序</w:t>
            </w:r>
            <w:r>
              <w:rPr>
                <w:rFonts w:hint="eastAsia" w:ascii="宋体" w:hAnsi="宋体" w:cs="宋体"/>
                <w:b/>
                <w:color w:val="000000" w:themeColor="text1"/>
                <w:sz w:val="28"/>
                <w:szCs w:val="28"/>
                <w:lang w:val="en-US" w:eastAsia="zh-CN"/>
                <w14:textFill>
                  <w14:solidFill>
                    <w14:schemeClr w14:val="tx1"/>
                  </w14:solidFill>
                </w14:textFill>
              </w:rPr>
              <w:t>号</w:t>
            </w:r>
          </w:p>
        </w:tc>
        <w:tc>
          <w:tcPr>
            <w:tcW w:w="5244" w:type="dxa"/>
            <w:vAlign w:val="center"/>
          </w:tcPr>
          <w:p>
            <w:pPr>
              <w:spacing w:line="360" w:lineRule="auto"/>
              <w:jc w:val="center"/>
              <w:rPr>
                <w:rFonts w:asci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服</w:t>
            </w:r>
            <w:r>
              <w:rPr>
                <w:rFonts w:hint="eastAsia" w:ascii="宋体" w:hAnsi="宋体" w:cs="宋体"/>
                <w:b/>
                <w:color w:val="000000" w:themeColor="text1"/>
                <w:sz w:val="28"/>
                <w:szCs w:val="28"/>
                <w:lang w:val="en-US" w:eastAsia="zh-CN"/>
                <w14:textFill>
                  <w14:solidFill>
                    <w14:schemeClr w14:val="tx1"/>
                  </w14:solidFill>
                </w14:textFill>
              </w:rPr>
              <w:t>务内</w:t>
            </w:r>
            <w:r>
              <w:rPr>
                <w:rFonts w:hint="eastAsia" w:ascii="宋体" w:hAnsi="宋体" w:cs="宋体"/>
                <w:b/>
                <w:color w:val="000000" w:themeColor="text1"/>
                <w:sz w:val="28"/>
                <w:szCs w:val="28"/>
                <w14:textFill>
                  <w14:solidFill>
                    <w14:schemeClr w14:val="tx1"/>
                  </w14:solidFill>
                </w14:textFill>
              </w:rPr>
              <w:t>容</w:t>
            </w:r>
          </w:p>
        </w:tc>
        <w:tc>
          <w:tcPr>
            <w:tcW w:w="3348" w:type="dxa"/>
            <w:vAlign w:val="center"/>
          </w:tcPr>
          <w:p>
            <w:pPr>
              <w:spacing w:line="360" w:lineRule="auto"/>
              <w:jc w:val="center"/>
              <w:rPr>
                <w:rFonts w:asci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报</w:t>
            </w:r>
            <w:r>
              <w:rPr>
                <w:rFonts w:hint="eastAsia" w:ascii="宋体" w:hAnsi="宋体" w:cs="宋体"/>
                <w:b/>
                <w:color w:val="000000" w:themeColor="text1"/>
                <w:sz w:val="28"/>
                <w:szCs w:val="28"/>
                <w14:textFill>
                  <w14:solidFill>
                    <w14:schemeClr w14:val="tx1"/>
                  </w14:solidFill>
                </w14:textFill>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spacing w:line="360" w:lineRule="auto"/>
              <w:jc w:val="cente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1</w:t>
            </w:r>
          </w:p>
        </w:tc>
        <w:tc>
          <w:tcPr>
            <w:tcW w:w="5244" w:type="dxa"/>
            <w:vAlign w:val="center"/>
          </w:tcPr>
          <w:p>
            <w:pPr>
              <w:pStyle w:val="254"/>
              <w:ind w:firstLine="0"/>
              <w:rPr>
                <w:rFonts w:ascii="宋体" w:cs="宋体"/>
                <w:color w:val="000000" w:themeColor="text1"/>
                <w:sz w:val="28"/>
                <w14:textFill>
                  <w14:solidFill>
                    <w14:schemeClr w14:val="tx1"/>
                  </w14:solidFill>
                </w14:textFill>
              </w:rPr>
            </w:pPr>
          </w:p>
        </w:tc>
        <w:tc>
          <w:tcPr>
            <w:tcW w:w="3348" w:type="dxa"/>
            <w:vAlign w:val="center"/>
          </w:tcPr>
          <w:p>
            <w:pPr>
              <w:spacing w:line="360" w:lineRule="auto"/>
              <w:jc w:val="center"/>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spacing w:line="360" w:lineRule="auto"/>
              <w:jc w:val="cente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p>
        </w:tc>
        <w:tc>
          <w:tcPr>
            <w:tcW w:w="5244" w:type="dxa"/>
            <w:vAlign w:val="center"/>
          </w:tcPr>
          <w:p>
            <w:pPr>
              <w:pStyle w:val="254"/>
              <w:ind w:firstLine="0"/>
              <w:rPr>
                <w:rFonts w:ascii="宋体" w:cs="宋体"/>
                <w:color w:val="000000" w:themeColor="text1"/>
                <w:sz w:val="28"/>
                <w14:textFill>
                  <w14:solidFill>
                    <w14:schemeClr w14:val="tx1"/>
                  </w14:solidFill>
                </w14:textFill>
              </w:rPr>
            </w:pPr>
          </w:p>
        </w:tc>
        <w:tc>
          <w:tcPr>
            <w:tcW w:w="3348" w:type="dxa"/>
            <w:vAlign w:val="center"/>
          </w:tcPr>
          <w:p>
            <w:pPr>
              <w:spacing w:line="360" w:lineRule="auto"/>
              <w:jc w:val="center"/>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spacing w:line="360" w:lineRule="auto"/>
              <w:jc w:val="cente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3</w:t>
            </w:r>
          </w:p>
        </w:tc>
        <w:tc>
          <w:tcPr>
            <w:tcW w:w="5244" w:type="dxa"/>
            <w:vAlign w:val="center"/>
          </w:tcPr>
          <w:p>
            <w:pPr>
              <w:pStyle w:val="254"/>
              <w:ind w:firstLine="0"/>
              <w:rPr>
                <w:rFonts w:ascii="宋体" w:cs="宋体"/>
                <w:color w:val="000000" w:themeColor="text1"/>
                <w:sz w:val="28"/>
                <w14:textFill>
                  <w14:solidFill>
                    <w14:schemeClr w14:val="tx1"/>
                  </w14:solidFill>
                </w14:textFill>
              </w:rPr>
            </w:pPr>
          </w:p>
        </w:tc>
        <w:tc>
          <w:tcPr>
            <w:tcW w:w="3348" w:type="dxa"/>
            <w:vAlign w:val="center"/>
          </w:tcPr>
          <w:p>
            <w:pPr>
              <w:spacing w:line="360" w:lineRule="auto"/>
              <w:jc w:val="center"/>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spacing w:line="360" w:lineRule="auto"/>
              <w:jc w:val="cente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w:t>
            </w:r>
          </w:p>
        </w:tc>
        <w:tc>
          <w:tcPr>
            <w:tcW w:w="5244" w:type="dxa"/>
            <w:vAlign w:val="center"/>
          </w:tcPr>
          <w:p>
            <w:pPr>
              <w:pStyle w:val="254"/>
              <w:ind w:firstLine="0"/>
              <w:rPr>
                <w:rFonts w:ascii="宋体" w:cs="宋体"/>
                <w:color w:val="000000" w:themeColor="text1"/>
                <w:sz w:val="28"/>
                <w14:textFill>
                  <w14:solidFill>
                    <w14:schemeClr w14:val="tx1"/>
                  </w14:solidFill>
                </w14:textFill>
              </w:rPr>
            </w:pPr>
          </w:p>
        </w:tc>
        <w:tc>
          <w:tcPr>
            <w:tcW w:w="3348" w:type="dxa"/>
            <w:vAlign w:val="center"/>
          </w:tcPr>
          <w:p>
            <w:pPr>
              <w:spacing w:line="360" w:lineRule="auto"/>
              <w:jc w:val="center"/>
              <w:rPr>
                <w:rFonts w:asci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spacing w:line="36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合</w:t>
            </w:r>
            <w:r>
              <w:rPr>
                <w:rFonts w:hint="eastAsia" w:ascii="宋体" w:hAnsi="宋体" w:cs="宋体"/>
                <w:color w:val="000000" w:themeColor="text1"/>
                <w:sz w:val="28"/>
                <w:szCs w:val="28"/>
                <w:lang w:eastAsia="zh-CN"/>
                <w14:textFill>
                  <w14:solidFill>
                    <w14:schemeClr w14:val="tx1"/>
                  </w14:solidFill>
                </w14:textFill>
              </w:rPr>
              <w:t>计</w:t>
            </w:r>
          </w:p>
        </w:tc>
        <w:tc>
          <w:tcPr>
            <w:tcW w:w="8592" w:type="dxa"/>
            <w:gridSpan w:val="2"/>
            <w:vAlign w:val="center"/>
          </w:tcPr>
          <w:p>
            <w:pPr>
              <w:spacing w:line="360" w:lineRule="auto"/>
              <w:jc w:val="left"/>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小</w:t>
            </w:r>
            <w:r>
              <w:rPr>
                <w:rFonts w:hint="eastAsia" w:ascii="宋体" w:hAnsi="宋体" w:cs="宋体"/>
                <w:color w:val="000000" w:themeColor="text1"/>
                <w:sz w:val="28"/>
                <w:szCs w:val="28"/>
                <w:lang w:val="en-US" w:eastAsia="zh-CN"/>
                <w14:textFill>
                  <w14:solidFill>
                    <w14:schemeClr w14:val="tx1"/>
                  </w14:solidFill>
                </w14:textFill>
              </w:rPr>
              <w:t>写</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大</w:t>
            </w:r>
            <w:r>
              <w:rPr>
                <w:rFonts w:hint="eastAsia" w:ascii="宋体" w:hAnsi="宋体" w:cs="宋体"/>
                <w:color w:val="000000" w:themeColor="text1"/>
                <w:sz w:val="28"/>
                <w:szCs w:val="28"/>
                <w:lang w:val="en-US" w:eastAsia="zh-CN"/>
                <w14:textFill>
                  <w14:solidFill>
                    <w14:schemeClr w14:val="tx1"/>
                  </w14:solidFill>
                </w14:textFill>
              </w:rPr>
              <w:t>写</w:t>
            </w:r>
            <w:r>
              <w:rPr>
                <w:rFonts w:hint="eastAsia" w:ascii="宋体" w:hAnsi="宋体" w:cs="宋体"/>
                <w:color w:val="000000" w:themeColor="text1"/>
                <w:sz w:val="28"/>
                <w:szCs w:val="28"/>
                <w14:textFill>
                  <w14:solidFill>
                    <w14:schemeClr w14:val="tx1"/>
                  </w14:solidFill>
                </w14:textFill>
              </w:rPr>
              <w:t>：</w:t>
            </w:r>
          </w:p>
        </w:tc>
      </w:tr>
    </w:tbl>
    <w:p>
      <w:pPr>
        <w:pStyle w:val="254"/>
        <w:ind w:firstLine="0"/>
        <w:jc w:val="both"/>
        <w:rPr>
          <w:rFonts w:ascii="宋体" w:cs="宋体"/>
          <w:color w:val="000000" w:themeColor="text1"/>
          <w:sz w:val="28"/>
          <w14:textFill>
            <w14:solidFill>
              <w14:schemeClr w14:val="tx1"/>
            </w14:solidFill>
          </w14:textFill>
        </w:rPr>
      </w:pPr>
    </w:p>
    <w:p>
      <w:pPr>
        <w:pStyle w:val="254"/>
        <w:ind w:firstLine="0"/>
        <w:jc w:val="both"/>
        <w:rPr>
          <w:rFonts w:ascii="宋体" w:cs="宋体"/>
          <w:color w:val="000000" w:themeColor="text1"/>
          <w:sz w:val="28"/>
          <w14:textFill>
            <w14:solidFill>
              <w14:schemeClr w14:val="tx1"/>
            </w14:solidFill>
          </w14:textFill>
        </w:rPr>
      </w:pPr>
      <w:r>
        <w:rPr>
          <w:rFonts w:hint="eastAsia" w:ascii="宋体" w:hAnsi="宋体" w:cs="宋体"/>
          <w:color w:val="000000" w:themeColor="text1"/>
          <w:sz w:val="28"/>
          <w:lang w:val="en-US" w:eastAsia="zh-CN"/>
          <w14:textFill>
            <w14:solidFill>
              <w14:schemeClr w14:val="tx1"/>
            </w14:solidFill>
          </w14:textFill>
        </w:rPr>
        <w:t>报</w:t>
      </w:r>
      <w:r>
        <w:rPr>
          <w:rFonts w:hint="eastAsia" w:ascii="宋体" w:hAnsi="宋体" w:cs="宋体"/>
          <w:color w:val="000000" w:themeColor="text1"/>
          <w:sz w:val="28"/>
          <w14:textFill>
            <w14:solidFill>
              <w14:schemeClr w14:val="tx1"/>
            </w14:solidFill>
          </w14:textFill>
        </w:rPr>
        <w:t>价（大</w:t>
      </w:r>
      <w:r>
        <w:rPr>
          <w:rFonts w:hint="eastAsia" w:ascii="宋体" w:hAnsi="宋体" w:cs="宋体"/>
          <w:color w:val="000000" w:themeColor="text1"/>
          <w:sz w:val="28"/>
          <w:lang w:val="en-US" w:eastAsia="zh-CN"/>
          <w14:textFill>
            <w14:solidFill>
              <w14:schemeClr w14:val="tx1"/>
            </w14:solidFill>
          </w14:textFill>
        </w:rPr>
        <w:t>写</w:t>
      </w:r>
      <w:r>
        <w:rPr>
          <w:rFonts w:hint="eastAsia" w:ascii="宋体" w:hAnsi="宋体" w:cs="宋体"/>
          <w:color w:val="000000" w:themeColor="text1"/>
          <w:sz w:val="28"/>
          <w14:textFill>
            <w14:solidFill>
              <w14:schemeClr w14:val="tx1"/>
            </w14:solidFill>
          </w14:textFill>
        </w:rPr>
        <w:t>人民</w:t>
      </w:r>
      <w:r>
        <w:rPr>
          <w:rFonts w:hint="eastAsia" w:ascii="宋体" w:hAnsi="宋体" w:cs="宋体"/>
          <w:color w:val="000000" w:themeColor="text1"/>
          <w:sz w:val="28"/>
          <w:lang w:val="en-US" w:eastAsia="zh-CN"/>
          <w14:textFill>
            <w14:solidFill>
              <w14:schemeClr w14:val="tx1"/>
            </w14:solidFill>
          </w14:textFill>
        </w:rPr>
        <w:t>币</w:t>
      </w:r>
      <w:r>
        <w:rPr>
          <w:rFonts w:hint="eastAsia" w:ascii="宋体" w:hAnsi="宋体" w:cs="宋体"/>
          <w:color w:val="000000" w:themeColor="text1"/>
          <w:sz w:val="28"/>
          <w14:textFill>
            <w14:solidFill>
              <w14:schemeClr w14:val="tx1"/>
            </w14:solidFill>
          </w14:textFill>
        </w:rPr>
        <w:t>）：</w:t>
      </w:r>
    </w:p>
    <w:p>
      <w:pPr>
        <w:pStyle w:val="254"/>
        <w:ind w:firstLine="0"/>
        <w:jc w:val="both"/>
        <w:rPr>
          <w:rFonts w:asci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供</w:t>
      </w:r>
      <w:r>
        <w:rPr>
          <w:rFonts w:hint="eastAsia" w:ascii="宋体" w:hAnsi="宋体" w:cs="宋体"/>
          <w:color w:val="000000" w:themeColor="text1"/>
          <w:sz w:val="28"/>
          <w:lang w:val="en-US" w:eastAsia="zh-CN"/>
          <w14:textFill>
            <w14:solidFill>
              <w14:schemeClr w14:val="tx1"/>
            </w14:solidFill>
          </w14:textFill>
        </w:rPr>
        <w:t>应</w:t>
      </w:r>
      <w:r>
        <w:rPr>
          <w:rFonts w:hint="eastAsia" w:ascii="宋体" w:hAnsi="宋体" w:cs="宋体"/>
          <w:color w:val="000000" w:themeColor="text1"/>
          <w:sz w:val="28"/>
          <w14:textFill>
            <w14:solidFill>
              <w14:schemeClr w14:val="tx1"/>
            </w14:solidFill>
          </w14:textFill>
        </w:rPr>
        <w:t>商名</w:t>
      </w:r>
      <w:r>
        <w:rPr>
          <w:rFonts w:hint="eastAsia" w:ascii="宋体" w:hAnsi="宋体" w:cs="宋体"/>
          <w:color w:val="000000" w:themeColor="text1"/>
          <w:sz w:val="28"/>
          <w:lang w:val="en-US" w:eastAsia="zh-CN"/>
          <w14:textFill>
            <w14:solidFill>
              <w14:schemeClr w14:val="tx1"/>
            </w14:solidFill>
          </w14:textFill>
        </w:rPr>
        <w:t>称</w:t>
      </w:r>
      <w:r>
        <w:rPr>
          <w:rFonts w:hint="eastAsia" w:ascii="宋体" w:hAnsi="宋体" w:cs="宋体"/>
          <w:color w:val="000000" w:themeColor="text1"/>
          <w:sz w:val="28"/>
          <w14:textFill>
            <w14:solidFill>
              <w14:schemeClr w14:val="tx1"/>
            </w14:solidFill>
          </w14:textFill>
        </w:rPr>
        <w:t>：</w:t>
      </w:r>
      <w:r>
        <w:rPr>
          <w:rFonts w:hint="eastAsia" w:ascii="宋体" w:hAnsi="宋体" w:cs="宋体"/>
          <w:color w:val="000000" w:themeColor="text1"/>
          <w:sz w:val="28"/>
          <w:u w:val="single"/>
          <w14:textFill>
            <w14:solidFill>
              <w14:schemeClr w14:val="tx1"/>
            </w14:solidFill>
          </w14:textFill>
        </w:rPr>
        <w:t>　　</w:t>
      </w:r>
      <w:r>
        <w:rPr>
          <w:rFonts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u w:val="single"/>
          <w14:textFill>
            <w14:solidFill>
              <w14:schemeClr w14:val="tx1"/>
            </w14:solidFill>
          </w14:textFill>
        </w:rPr>
        <w:t>　　　　　　</w:t>
      </w:r>
      <w:r>
        <w:rPr>
          <w:rFonts w:ascii="宋体" w:hAnsi="宋体" w:cs="宋体"/>
          <w:color w:val="000000" w:themeColor="text1"/>
          <w:spacing w:val="6"/>
          <w:sz w:val="28"/>
          <w14:textFill>
            <w14:solidFill>
              <w14:schemeClr w14:val="tx1"/>
            </w14:solidFill>
          </w14:textFill>
        </w:rPr>
        <w:t>(</w:t>
      </w:r>
      <w:r>
        <w:rPr>
          <w:rFonts w:hint="eastAsia" w:ascii="宋体" w:hAnsi="宋体" w:cs="宋体"/>
          <w:color w:val="000000" w:themeColor="text1"/>
          <w:spacing w:val="6"/>
          <w:sz w:val="28"/>
          <w14:textFill>
            <w14:solidFill>
              <w14:schemeClr w14:val="tx1"/>
            </w14:solidFill>
          </w14:textFill>
        </w:rPr>
        <w:t>加</w:t>
      </w:r>
      <w:r>
        <w:rPr>
          <w:rFonts w:hint="eastAsia" w:ascii="宋体" w:hAnsi="宋体" w:cs="宋体"/>
          <w:color w:val="000000" w:themeColor="text1"/>
          <w:spacing w:val="6"/>
          <w:sz w:val="28"/>
          <w:lang w:val="en-US" w:eastAsia="zh-CN"/>
          <w14:textFill>
            <w14:solidFill>
              <w14:schemeClr w14:val="tx1"/>
            </w14:solidFill>
          </w14:textFill>
        </w:rPr>
        <w:t>盖</w:t>
      </w:r>
      <w:r>
        <w:rPr>
          <w:rFonts w:hint="eastAsia" w:ascii="宋体" w:hAnsi="宋体" w:cs="宋体"/>
          <w:color w:val="000000" w:themeColor="text1"/>
          <w:spacing w:val="6"/>
          <w:sz w:val="28"/>
          <w14:textFill>
            <w14:solidFill>
              <w14:schemeClr w14:val="tx1"/>
            </w14:solidFill>
          </w14:textFill>
        </w:rPr>
        <w:t>公章</w:t>
      </w:r>
      <w:r>
        <w:rPr>
          <w:rFonts w:ascii="宋体" w:hAnsi="宋体" w:cs="宋体"/>
          <w:color w:val="000000" w:themeColor="text1"/>
          <w:spacing w:val="6"/>
          <w:sz w:val="28"/>
          <w14:textFill>
            <w14:solidFill>
              <w14:schemeClr w14:val="tx1"/>
            </w14:solidFill>
          </w14:textFill>
        </w:rPr>
        <w:t>)</w:t>
      </w:r>
    </w:p>
    <w:p>
      <w:pPr>
        <w:pStyle w:val="254"/>
        <w:ind w:firstLine="0"/>
        <w:jc w:val="both"/>
        <w:rPr>
          <w:rFonts w:asci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法定代表人或代理人：</w:t>
      </w:r>
      <w:r>
        <w:rPr>
          <w:rFonts w:hint="eastAsia" w:ascii="宋体" w:hAnsi="宋体" w:cs="宋体"/>
          <w:color w:val="000000" w:themeColor="text1"/>
          <w:sz w:val="28"/>
          <w:u w:val="single"/>
          <w14:textFill>
            <w14:solidFill>
              <w14:schemeClr w14:val="tx1"/>
            </w14:solidFill>
          </w14:textFill>
        </w:rPr>
        <w:t>　　</w:t>
      </w:r>
      <w:r>
        <w:rPr>
          <w:rFonts w:ascii="宋体" w:hAnsi="宋体" w:cs="宋体"/>
          <w:color w:val="000000" w:themeColor="text1"/>
          <w:sz w:val="28"/>
          <w:u w:val="single"/>
          <w14:textFill>
            <w14:solidFill>
              <w14:schemeClr w14:val="tx1"/>
            </w14:solidFill>
          </w14:textFill>
        </w:rPr>
        <w:t xml:space="preserve">     </w:t>
      </w:r>
      <w:r>
        <w:rPr>
          <w:rFonts w:hint="eastAsia" w:ascii="宋体" w:hAnsi="宋体" w:cs="宋体"/>
          <w:color w:val="000000" w:themeColor="text1"/>
          <w:sz w:val="28"/>
          <w:u w:val="single"/>
          <w14:textFill>
            <w14:solidFill>
              <w14:schemeClr w14:val="tx1"/>
            </w14:solidFill>
          </w14:textFill>
        </w:rPr>
        <w:t>　　　　　　</w:t>
      </w:r>
      <w:r>
        <w:rPr>
          <w:rFonts w:hint="eastAsia" w:ascii="宋体" w:hAnsi="宋体" w:cs="宋体"/>
          <w:color w:val="000000" w:themeColor="text1"/>
          <w:sz w:val="28"/>
          <w14:textFill>
            <w14:solidFill>
              <w14:schemeClr w14:val="tx1"/>
            </w14:solidFill>
          </w14:textFill>
        </w:rPr>
        <w:t>（</w:t>
      </w:r>
      <w:r>
        <w:rPr>
          <w:rFonts w:hint="eastAsia" w:ascii="宋体" w:hAnsi="宋体" w:cs="宋体"/>
          <w:color w:val="000000" w:themeColor="text1"/>
          <w:sz w:val="28"/>
          <w:lang w:val="en-US" w:eastAsia="zh-CN"/>
          <w14:textFill>
            <w14:solidFill>
              <w14:schemeClr w14:val="tx1"/>
            </w14:solidFill>
          </w14:textFill>
        </w:rPr>
        <w:t>签</w:t>
      </w:r>
      <w:r>
        <w:rPr>
          <w:rFonts w:hint="eastAsia" w:ascii="宋体" w:hAnsi="宋体" w:cs="宋体"/>
          <w:color w:val="000000" w:themeColor="text1"/>
          <w:sz w:val="28"/>
          <w14:textFill>
            <w14:solidFill>
              <w14:schemeClr w14:val="tx1"/>
            </w14:solidFill>
          </w14:textFill>
        </w:rPr>
        <w:t>字）</w:t>
      </w:r>
    </w:p>
    <w:p>
      <w:pPr>
        <w:spacing w:line="360" w:lineRule="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w:t>
      </w:r>
    </w:p>
    <w:p>
      <w:pPr>
        <w:pStyle w:val="34"/>
        <w:spacing w:line="360" w:lineRule="auto"/>
        <w:rPr>
          <w:rFonts w:ascii="宋体" w:hAnsi="宋体" w:eastAsia="宋体" w:cs="宋体"/>
          <w:color w:val="000000" w:themeColor="text1"/>
          <w14:textFill>
            <w14:solidFill>
              <w14:schemeClr w14:val="tx1"/>
            </w14:solidFill>
          </w14:textFill>
        </w:rPr>
      </w:pPr>
    </w:p>
    <w:p>
      <w:pPr>
        <w:pStyle w:val="26"/>
        <w:adjustRightInd w:val="0"/>
        <w:snapToGrid w:val="0"/>
        <w:spacing w:line="480" w:lineRule="exact"/>
        <w:ind w:left="703" w:leftChars="67" w:hanging="562" w:hangingChars="200"/>
        <w:rPr>
          <w:rFonts w:hint="eastAsia" w:ascii="华文细黑" w:hAnsi="华文细黑" w:eastAsia="华文细黑"/>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8"/>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28"/>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28"/>
          <w14:textFill>
            <w14:solidFill>
              <w14:schemeClr w14:val="tx1"/>
            </w14:solidFill>
          </w14:textFill>
        </w:rPr>
        <w:t>规定的全部响应内容的报价（包含中标供应商应承担的物耗、人工、税费等）。</w:t>
      </w:r>
      <w:bookmarkEnd w:id="74"/>
      <w:bookmarkEnd w:id="75"/>
    </w:p>
    <w:p>
      <w:pPr>
        <w:pStyle w:val="26"/>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pPr>
        <w:pStyle w:val="6"/>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pPr>
        <w:pStyle w:val="6"/>
        <w:keepNext w:val="0"/>
        <w:keepLines w:val="0"/>
        <w:pageBreakBefore w:val="0"/>
        <w:widowControl w:val="0"/>
        <w:kinsoku/>
        <w:wordWrap/>
        <w:overflowPunct/>
        <w:topLinePunct w:val="0"/>
        <w:autoSpaceDE/>
        <w:autoSpaceDN/>
        <w:bidi w:val="0"/>
        <w:spacing w:line="560" w:lineRule="exact"/>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致：</w:t>
      </w:r>
      <w:r>
        <w:rPr>
          <w:rFonts w:hint="eastAsia" w:ascii="宋体" w:hAnsi="宋体"/>
          <w:b/>
          <w:color w:val="000000" w:themeColor="text1"/>
          <w:sz w:val="28"/>
          <w:szCs w:val="28"/>
          <w:u w:val="single"/>
          <w14:textFill>
            <w14:solidFill>
              <w14:schemeClr w14:val="tx1"/>
            </w14:solidFill>
          </w14:textFill>
        </w:rPr>
        <w:t>四川省政府政务服务和公共资源交易服务中心</w:t>
      </w:r>
    </w:p>
    <w:p>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color w:val="000000" w:themeColor="text1"/>
          <w14:textFill>
            <w14:solidFill>
              <w14:schemeClr w14:val="tx1"/>
            </w14:solidFill>
          </w14:textFill>
        </w:rPr>
      </w:pPr>
      <w:r>
        <w:rPr>
          <w:rFonts w:hint="eastAsia" w:ascii="宋体" w:hAnsi="宋体"/>
          <w:color w:val="000000" w:themeColor="text1"/>
          <w:sz w:val="28"/>
          <w14:textFill>
            <w14:solidFill>
              <w14:schemeClr w14:val="tx1"/>
            </w14:solidFill>
          </w14:textFill>
        </w:rPr>
        <w:t>我单位作为</w:t>
      </w:r>
      <w:r>
        <w:rPr>
          <w:rFonts w:hint="eastAsia" w:ascii="宋体" w:hAnsi="宋体"/>
          <w:color w:val="000000" w:themeColor="text1"/>
          <w:sz w:val="28"/>
          <w:u w:val="single"/>
          <w14:textFill>
            <w14:solidFill>
              <w14:schemeClr w14:val="tx1"/>
            </w14:solidFill>
          </w14:textFill>
        </w:rPr>
        <w:t>四川省政府政务服务和公共资源交易服务中心</w:t>
      </w:r>
      <w:r>
        <w:rPr>
          <w:rFonts w:hint="eastAsia" w:ascii="宋体" w:hAnsi="宋体"/>
          <w:color w:val="000000" w:themeColor="text1"/>
          <w:sz w:val="28"/>
          <w:u w:val="single"/>
          <w:lang w:eastAsia="zh-CN"/>
          <w14:textFill>
            <w14:solidFill>
              <w14:schemeClr w14:val="tx1"/>
            </w14:solidFill>
          </w14:textFill>
        </w:rPr>
        <w:t>网络安全监测服务</w:t>
      </w:r>
      <w:r>
        <w:rPr>
          <w:rFonts w:hint="eastAsia" w:ascii="宋体" w:hAnsi="宋体"/>
          <w:color w:val="000000" w:themeColor="text1"/>
          <w:sz w:val="28"/>
          <w:u w:val="single"/>
          <w14:textFill>
            <w14:solidFill>
              <w14:schemeClr w14:val="tx1"/>
            </w14:solidFill>
          </w14:textFill>
        </w:rPr>
        <w:t>采购项目</w:t>
      </w:r>
      <w:r>
        <w:rPr>
          <w:rFonts w:hint="eastAsia" w:ascii="宋体" w:hAnsi="宋体"/>
          <w:color w:val="000000" w:themeColor="text1"/>
          <w:sz w:val="28"/>
          <w14:textFill>
            <w14:solidFill>
              <w14:schemeClr w14:val="tx1"/>
            </w14:solidFill>
          </w14:textFill>
        </w:rPr>
        <w:t>的供应商，在此郑重声明：</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一、我</w:t>
      </w:r>
      <w:r>
        <w:rPr>
          <w:rFonts w:hint="eastAsia" w:ascii="宋体" w:hAnsi="宋体"/>
          <w:color w:val="000000" w:themeColor="text1"/>
          <w:sz w:val="28"/>
          <w14:textFill>
            <w14:solidFill>
              <w14:schemeClr w14:val="tx1"/>
            </w14:solidFill>
          </w14:textFill>
        </w:rPr>
        <w:t>单位</w:t>
      </w:r>
      <w:r>
        <w:rPr>
          <w:rFonts w:hint="eastAsia" w:ascii="宋体" w:hAnsi="宋体"/>
          <w:color w:val="000000" w:themeColor="text1"/>
          <w:sz w:val="28"/>
          <w:szCs w:val="28"/>
          <w14:textFill>
            <w14:solidFill>
              <w14:schemeClr w14:val="tx1"/>
            </w14:solidFill>
          </w14:textFill>
        </w:rPr>
        <w:t>参加采购活动前三年内，在经营活动中</w:t>
      </w:r>
      <w:r>
        <w:rPr>
          <w:rFonts w:hint="eastAsia" w:ascii="宋体" w:hAnsi="宋体"/>
          <w:b/>
          <w:color w:val="000000" w:themeColor="text1"/>
          <w:sz w:val="28"/>
          <w:szCs w:val="28"/>
          <w:u w:val="single"/>
          <w14:textFill>
            <w14:solidFill>
              <w14:schemeClr w14:val="tx1"/>
            </w14:solidFill>
          </w14:textFill>
        </w:rPr>
        <w:t>（说明：填写“无”或“有”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二、我</w:t>
      </w:r>
      <w:r>
        <w:rPr>
          <w:rFonts w:hint="eastAsia" w:ascii="宋体" w:hAnsi="宋体"/>
          <w:color w:val="000000" w:themeColor="text1"/>
          <w:sz w:val="28"/>
          <w14:textFill>
            <w14:solidFill>
              <w14:schemeClr w14:val="tx1"/>
            </w14:solidFill>
          </w14:textFill>
        </w:rPr>
        <w:t>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良好的商业信誉。</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三、与我</w:t>
      </w:r>
      <w:r>
        <w:rPr>
          <w:rFonts w:hint="eastAsia" w:ascii="宋体" w:hAnsi="宋体"/>
          <w:color w:val="000000" w:themeColor="text1"/>
          <w:sz w:val="28"/>
          <w14:textFill>
            <w14:solidFill>
              <w14:schemeClr w14:val="tx1"/>
            </w14:solidFill>
          </w14:textFill>
        </w:rPr>
        <w:t>单位</w:t>
      </w:r>
      <w:r>
        <w:rPr>
          <w:rFonts w:hint="eastAsia" w:ascii="宋体" w:hAnsi="宋体"/>
          <w:color w:val="000000" w:themeColor="text1"/>
          <w:sz w:val="28"/>
          <w:szCs w:val="28"/>
          <w14:textFill>
            <w14:solidFill>
              <w14:schemeClr w14:val="tx1"/>
            </w14:solidFill>
          </w14:textFill>
        </w:rPr>
        <w:t>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 ；（三）……”）</w:t>
      </w:r>
      <w:r>
        <w:rPr>
          <w:rFonts w:hint="eastAsia" w:ascii="宋体" w:hAnsi="宋体"/>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失信被执行人、重大税收违法案件当事人名单。</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采购严重违法失信行为记录名单。</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未依法缴纳税收和社会保障资金的不良记录。</w:t>
      </w:r>
    </w:p>
    <w:p>
      <w:pPr>
        <w:keepNext w:val="0"/>
        <w:keepLines w:val="0"/>
        <w:pageBreakBefore w:val="0"/>
        <w:widowControl w:val="0"/>
        <w:kinsoku/>
        <w:wordWrap/>
        <w:overflowPunct/>
        <w:topLinePunct w:val="0"/>
        <w:autoSpaceDE/>
        <w:autoSpaceDN/>
        <w:bidi w:val="0"/>
        <w:spacing w:line="560" w:lineRule="exact"/>
        <w:ind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keepNext w:val="0"/>
        <w:keepLines w:val="0"/>
        <w:pageBreakBefore w:val="0"/>
        <w:widowControl w:val="0"/>
        <w:kinsoku/>
        <w:wordWrap/>
        <w:overflowPunct/>
        <w:topLinePunct w:val="0"/>
        <w:autoSpaceDE/>
        <w:autoSpaceDN/>
        <w:bidi w:val="0"/>
        <w:spacing w:line="560" w:lineRule="exact"/>
        <w:ind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(加盖公章)</w:t>
      </w:r>
    </w:p>
    <w:p>
      <w:pPr>
        <w:keepNext w:val="0"/>
        <w:keepLines w:val="0"/>
        <w:pageBreakBefore w:val="0"/>
        <w:widowControl w:val="0"/>
        <w:kinsoku/>
        <w:wordWrap/>
        <w:overflowPunct/>
        <w:topLinePunct w:val="0"/>
        <w:autoSpaceDE/>
        <w:autoSpaceDN/>
        <w:bidi w:val="0"/>
        <w:spacing w:line="560" w:lineRule="exact"/>
        <w:ind w:firstLine="525"/>
        <w:textAlignment w:val="auto"/>
        <w:rPr>
          <w:rFonts w:ascii="宋体"/>
          <w:bCs/>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楷体_GB2312"/>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Style w:val="58"/>
        <w:rFonts w:hint="eastAsia"/>
      </w:rPr>
      <w:t>第</w:t>
    </w:r>
    <w:r>
      <w:rPr>
        <w:rStyle w:val="58"/>
      </w:rPr>
      <w:fldChar w:fldCharType="begin"/>
    </w:r>
    <w:r>
      <w:rPr>
        <w:rStyle w:val="58"/>
      </w:rPr>
      <w:instrText xml:space="preserve"> PAGE </w:instrText>
    </w:r>
    <w:r>
      <w:rPr>
        <w:rStyle w:val="58"/>
      </w:rPr>
      <w:fldChar w:fldCharType="separate"/>
    </w:r>
    <w:r>
      <w:rPr>
        <w:rStyle w:val="58"/>
      </w:rPr>
      <w:t>5</w:t>
    </w:r>
    <w:r>
      <w:rPr>
        <w:rStyle w:val="58"/>
      </w:rPr>
      <w:fldChar w:fldCharType="end"/>
    </w:r>
    <w:r>
      <w:rPr>
        <w:rStyle w:val="58"/>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1"/>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4"/>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2"/>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5">
    <w:nsid w:val="45701CD3"/>
    <w:multiLevelType w:val="multilevel"/>
    <w:tmpl w:val="45701CD3"/>
    <w:lvl w:ilvl="0" w:tentative="0">
      <w:start w:val="1"/>
      <w:numFmt w:val="decimal"/>
      <w:pStyle w:val="249"/>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1"/>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5A345921"/>
    <w:multiLevelType w:val="multilevel"/>
    <w:tmpl w:val="5A345921"/>
    <w:lvl w:ilvl="0" w:tentative="0">
      <w:start w:val="1"/>
      <w:numFmt w:val="decimal"/>
      <w:pStyle w:val="139"/>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5"/>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0"/>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6CEA2025"/>
    <w:multiLevelType w:val="multilevel"/>
    <w:tmpl w:val="6CEA2025"/>
    <w:lvl w:ilvl="0" w:tentative="0">
      <w:start w:val="1"/>
      <w:numFmt w:val="none"/>
      <w:pStyle w:val="195"/>
      <w:suff w:val="nothing"/>
      <w:lvlText w:val="%1"/>
      <w:lvlJc w:val="left"/>
      <w:rPr>
        <w:rFonts w:hint="default" w:ascii="Times New Roman" w:hAnsi="Times New Roman" w:cs="Times New Roman"/>
        <w:b/>
        <w:i w:val="0"/>
        <w:sz w:val="21"/>
      </w:rPr>
    </w:lvl>
    <w:lvl w:ilvl="1" w:tentative="0">
      <w:start w:val="1"/>
      <w:numFmt w:val="decimal"/>
      <w:pStyle w:val="196"/>
      <w:suff w:val="nothing"/>
      <w:lvlText w:val="%1%2　"/>
      <w:lvlJc w:val="left"/>
      <w:rPr>
        <w:rFonts w:hint="eastAsia" w:ascii="黑体" w:hAnsi="Times New Roman" w:eastAsia="黑体" w:cs="Times New Roman"/>
        <w:b w:val="0"/>
        <w:i w:val="0"/>
        <w:sz w:val="21"/>
      </w:rPr>
    </w:lvl>
    <w:lvl w:ilvl="2" w:tentative="0">
      <w:start w:val="1"/>
      <w:numFmt w:val="decimal"/>
      <w:pStyle w:val="197"/>
      <w:suff w:val="nothing"/>
      <w:lvlText w:val="%1%2.%3　"/>
      <w:lvlJc w:val="left"/>
      <w:rPr>
        <w:rFonts w:hint="eastAsia" w:ascii="黑体" w:hAnsi="Times New Roman" w:eastAsia="黑体" w:cs="Times New Roman"/>
        <w:b w:val="0"/>
        <w:i w:val="0"/>
        <w:sz w:val="21"/>
      </w:rPr>
    </w:lvl>
    <w:lvl w:ilvl="3" w:tentative="0">
      <w:start w:val="1"/>
      <w:numFmt w:val="decimal"/>
      <w:pStyle w:val="198"/>
      <w:suff w:val="nothing"/>
      <w:lvlText w:val="%1%2.%3.%4　"/>
      <w:lvlJc w:val="left"/>
      <w:rPr>
        <w:rFonts w:hint="eastAsia" w:ascii="黑体" w:hAnsi="Times New Roman" w:eastAsia="黑体" w:cs="Times New Roman"/>
        <w:b w:val="0"/>
        <w:i w:val="0"/>
        <w:sz w:val="21"/>
      </w:rPr>
    </w:lvl>
    <w:lvl w:ilvl="4" w:tentative="0">
      <w:start w:val="1"/>
      <w:numFmt w:val="decimal"/>
      <w:pStyle w:val="199"/>
      <w:suff w:val="nothing"/>
      <w:lvlText w:val="%1%2.%3.%4.%5　"/>
      <w:lvlJc w:val="left"/>
      <w:rPr>
        <w:rFonts w:hint="eastAsia" w:ascii="黑体" w:hAnsi="Times New Roman" w:eastAsia="黑体" w:cs="Times New Roman"/>
        <w:b w:val="0"/>
        <w:i w:val="0"/>
        <w:sz w:val="21"/>
      </w:rPr>
    </w:lvl>
    <w:lvl w:ilvl="5" w:tentative="0">
      <w:start w:val="1"/>
      <w:numFmt w:val="decimal"/>
      <w:pStyle w:val="200"/>
      <w:suff w:val="nothing"/>
      <w:lvlText w:val="%1%2.%3.%4.%5.%6　"/>
      <w:lvlJc w:val="left"/>
      <w:rPr>
        <w:rFonts w:hint="eastAsia" w:ascii="黑体" w:hAnsi="Times New Roman" w:eastAsia="黑体" w:cs="Times New Roman"/>
        <w:b w:val="0"/>
        <w:i w:val="0"/>
        <w:sz w:val="21"/>
      </w:rPr>
    </w:lvl>
    <w:lvl w:ilvl="6" w:tentative="0">
      <w:start w:val="1"/>
      <w:numFmt w:val="decimal"/>
      <w:pStyle w:val="20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193"/>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139748A"/>
    <w:multiLevelType w:val="singleLevel"/>
    <w:tmpl w:val="7139748A"/>
    <w:lvl w:ilvl="0" w:tentative="0">
      <w:start w:val="1"/>
      <w:numFmt w:val="bullet"/>
      <w:pStyle w:val="17"/>
      <w:lvlText w:val=""/>
      <w:lvlJc w:val="left"/>
      <w:pPr>
        <w:tabs>
          <w:tab w:val="left" w:pos="785"/>
        </w:tabs>
        <w:ind w:firstLine="425"/>
      </w:pPr>
      <w:rPr>
        <w:rFonts w:hint="default" w:ascii="Wingdings" w:hAnsi="Wingdings"/>
      </w:rPr>
    </w:lvl>
  </w:abstractNum>
  <w:abstractNum w:abstractNumId="13">
    <w:nsid w:val="7F680217"/>
    <w:multiLevelType w:val="multilevel"/>
    <w:tmpl w:val="7F680217"/>
    <w:lvl w:ilvl="0" w:tentative="0">
      <w:start w:val="1"/>
      <w:numFmt w:val="bullet"/>
      <w:pStyle w:val="135"/>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2"/>
  </w:num>
  <w:num w:numId="3">
    <w:abstractNumId w:val="6"/>
  </w:num>
  <w:num w:numId="4">
    <w:abstractNumId w:val="13"/>
  </w:num>
  <w:num w:numId="5">
    <w:abstractNumId w:val="7"/>
  </w:num>
  <w:num w:numId="6">
    <w:abstractNumId w:val="9"/>
  </w:num>
  <w:num w:numId="7">
    <w:abstractNumId w:val="3"/>
  </w:num>
  <w:num w:numId="8">
    <w:abstractNumId w:val="8"/>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jAyMDkxNzg0NjkxYmMxZjlhNmE1ZjZiYjlmY2U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E2AF3"/>
    <w:rsid w:val="00FE2FED"/>
    <w:rsid w:val="00FE3A8C"/>
    <w:rsid w:val="00FE4D14"/>
    <w:rsid w:val="00FE78F5"/>
    <w:rsid w:val="00FF21E2"/>
    <w:rsid w:val="00FF3A83"/>
    <w:rsid w:val="00FF4AC1"/>
    <w:rsid w:val="012E6F69"/>
    <w:rsid w:val="01B67ED6"/>
    <w:rsid w:val="02784803"/>
    <w:rsid w:val="04283649"/>
    <w:rsid w:val="045F4F0A"/>
    <w:rsid w:val="05C0366A"/>
    <w:rsid w:val="08A05605"/>
    <w:rsid w:val="08BF02C3"/>
    <w:rsid w:val="0A8D6C31"/>
    <w:rsid w:val="0AB63E4B"/>
    <w:rsid w:val="0B900AF3"/>
    <w:rsid w:val="0DC52948"/>
    <w:rsid w:val="0F800E2D"/>
    <w:rsid w:val="0FE90B71"/>
    <w:rsid w:val="11CF41D4"/>
    <w:rsid w:val="12A272E2"/>
    <w:rsid w:val="133C2385"/>
    <w:rsid w:val="13873574"/>
    <w:rsid w:val="16A317BF"/>
    <w:rsid w:val="16C91448"/>
    <w:rsid w:val="18260D81"/>
    <w:rsid w:val="1A415B5C"/>
    <w:rsid w:val="1C5F6BF0"/>
    <w:rsid w:val="1CF90854"/>
    <w:rsid w:val="1D0A7906"/>
    <w:rsid w:val="1D4D78CA"/>
    <w:rsid w:val="1DA95020"/>
    <w:rsid w:val="1E347AE2"/>
    <w:rsid w:val="1E3B177F"/>
    <w:rsid w:val="1F512885"/>
    <w:rsid w:val="2093255B"/>
    <w:rsid w:val="243F2CF9"/>
    <w:rsid w:val="24AA0277"/>
    <w:rsid w:val="25A3468F"/>
    <w:rsid w:val="28FC707E"/>
    <w:rsid w:val="2BEB4E2D"/>
    <w:rsid w:val="2BED280E"/>
    <w:rsid w:val="2F1553AA"/>
    <w:rsid w:val="2F7774D9"/>
    <w:rsid w:val="35E5474C"/>
    <w:rsid w:val="372F3BCB"/>
    <w:rsid w:val="38266265"/>
    <w:rsid w:val="38B41FE8"/>
    <w:rsid w:val="397322C1"/>
    <w:rsid w:val="3CD87AC7"/>
    <w:rsid w:val="3E801FE3"/>
    <w:rsid w:val="3EA843EA"/>
    <w:rsid w:val="3EB169D5"/>
    <w:rsid w:val="40891116"/>
    <w:rsid w:val="40E32649"/>
    <w:rsid w:val="421564CB"/>
    <w:rsid w:val="421C6C36"/>
    <w:rsid w:val="42247626"/>
    <w:rsid w:val="485B60D5"/>
    <w:rsid w:val="4BB548C0"/>
    <w:rsid w:val="4C4A055B"/>
    <w:rsid w:val="4DED0F2F"/>
    <w:rsid w:val="50CC6F61"/>
    <w:rsid w:val="538C0638"/>
    <w:rsid w:val="54672F20"/>
    <w:rsid w:val="550E4668"/>
    <w:rsid w:val="55255EE7"/>
    <w:rsid w:val="58384844"/>
    <w:rsid w:val="58984118"/>
    <w:rsid w:val="5A3C527B"/>
    <w:rsid w:val="5C822AA8"/>
    <w:rsid w:val="5DF0426A"/>
    <w:rsid w:val="5FD76F7D"/>
    <w:rsid w:val="61241E74"/>
    <w:rsid w:val="61585386"/>
    <w:rsid w:val="61907F8F"/>
    <w:rsid w:val="63E4197E"/>
    <w:rsid w:val="63F649C9"/>
    <w:rsid w:val="67717E0E"/>
    <w:rsid w:val="6996622D"/>
    <w:rsid w:val="6B6C6A03"/>
    <w:rsid w:val="6D713B9A"/>
    <w:rsid w:val="704824EC"/>
    <w:rsid w:val="704C02B4"/>
    <w:rsid w:val="70D85181"/>
    <w:rsid w:val="720024FB"/>
    <w:rsid w:val="75B10AE0"/>
    <w:rsid w:val="7AC76807"/>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99"/>
    <w:pPr>
      <w:keepNext/>
      <w:keepLines/>
      <w:spacing w:before="340" w:after="330" w:line="578" w:lineRule="auto"/>
      <w:jc w:val="center"/>
      <w:outlineLvl w:val="0"/>
    </w:pPr>
    <w:rPr>
      <w:rFonts w:eastAsia="黑体"/>
      <w:bCs/>
      <w:kern w:val="44"/>
      <w:sz w:val="30"/>
      <w:szCs w:val="44"/>
    </w:rPr>
  </w:style>
  <w:style w:type="paragraph" w:styleId="4">
    <w:name w:val="heading 2"/>
    <w:basedOn w:val="1"/>
    <w:next w:val="5"/>
    <w:link w:val="66"/>
    <w:qFormat/>
    <w:uiPriority w:val="99"/>
    <w:pPr>
      <w:keepNext/>
      <w:keepLines/>
      <w:spacing w:before="260" w:after="260" w:line="416" w:lineRule="auto"/>
      <w:outlineLvl w:val="1"/>
    </w:pPr>
    <w:rPr>
      <w:rFonts w:ascii="Arial" w:hAnsi="Arial" w:eastAsia="黑体"/>
      <w:bCs/>
      <w:sz w:val="28"/>
      <w:szCs w:val="32"/>
    </w:rPr>
  </w:style>
  <w:style w:type="paragraph" w:styleId="7">
    <w:name w:val="heading 3"/>
    <w:basedOn w:val="1"/>
    <w:next w:val="1"/>
    <w:link w:val="67"/>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8">
    <w:name w:val="heading 4"/>
    <w:basedOn w:val="1"/>
    <w:next w:val="1"/>
    <w:link w:val="68"/>
    <w:qFormat/>
    <w:uiPriority w:val="99"/>
    <w:pPr>
      <w:keepNext/>
      <w:outlineLvl w:val="3"/>
    </w:pPr>
    <w:rPr>
      <w:sz w:val="28"/>
      <w:szCs w:val="20"/>
    </w:rPr>
  </w:style>
  <w:style w:type="paragraph" w:styleId="9">
    <w:name w:val="heading 5"/>
    <w:basedOn w:val="1"/>
    <w:next w:val="1"/>
    <w:link w:val="69"/>
    <w:qFormat/>
    <w:uiPriority w:val="99"/>
    <w:pPr>
      <w:keepNext/>
      <w:keepLines/>
      <w:spacing w:before="280" w:after="290" w:line="376" w:lineRule="auto"/>
      <w:outlineLvl w:val="4"/>
    </w:pPr>
    <w:rPr>
      <w:b/>
      <w:bCs/>
      <w:sz w:val="28"/>
      <w:szCs w:val="28"/>
    </w:rPr>
  </w:style>
  <w:style w:type="paragraph" w:styleId="10">
    <w:name w:val="heading 6"/>
    <w:basedOn w:val="1"/>
    <w:next w:val="1"/>
    <w:link w:val="70"/>
    <w:qFormat/>
    <w:uiPriority w:val="99"/>
    <w:pPr>
      <w:keepNext/>
      <w:keepLines/>
      <w:spacing w:before="240" w:after="64" w:line="320" w:lineRule="auto"/>
      <w:outlineLvl w:val="5"/>
    </w:pPr>
    <w:rPr>
      <w:rFonts w:ascii="Arial" w:hAnsi="Arial" w:eastAsia="黑体"/>
      <w:b/>
      <w:bCs/>
      <w:sz w:val="24"/>
    </w:rPr>
  </w:style>
  <w:style w:type="paragraph" w:styleId="11">
    <w:name w:val="heading 7"/>
    <w:basedOn w:val="1"/>
    <w:next w:val="1"/>
    <w:link w:val="71"/>
    <w:qFormat/>
    <w:uiPriority w:val="99"/>
    <w:pPr>
      <w:keepNext/>
      <w:keepLines/>
      <w:spacing w:before="240" w:after="64" w:line="320" w:lineRule="auto"/>
      <w:outlineLvl w:val="6"/>
    </w:pPr>
    <w:rPr>
      <w:b/>
      <w:bCs/>
      <w:sz w:val="24"/>
    </w:rPr>
  </w:style>
  <w:style w:type="paragraph" w:styleId="12">
    <w:name w:val="heading 8"/>
    <w:basedOn w:val="1"/>
    <w:next w:val="1"/>
    <w:link w:val="72"/>
    <w:qFormat/>
    <w:uiPriority w:val="99"/>
    <w:pPr>
      <w:keepNext/>
      <w:keepLines/>
      <w:spacing w:before="240" w:after="64" w:line="320" w:lineRule="auto"/>
      <w:outlineLvl w:val="7"/>
    </w:pPr>
    <w:rPr>
      <w:rFonts w:ascii="Arial" w:hAnsi="Arial" w:eastAsia="黑体"/>
      <w:sz w:val="24"/>
    </w:rPr>
  </w:style>
  <w:style w:type="paragraph" w:styleId="13">
    <w:name w:val="heading 9"/>
    <w:basedOn w:val="1"/>
    <w:next w:val="1"/>
    <w:link w:val="73"/>
    <w:qFormat/>
    <w:uiPriority w:val="99"/>
    <w:pPr>
      <w:keepNext/>
      <w:keepLines/>
      <w:spacing w:before="240" w:after="64" w:line="320" w:lineRule="auto"/>
      <w:outlineLvl w:val="8"/>
    </w:pPr>
    <w:rPr>
      <w:rFonts w:ascii="Arial" w:hAnsi="Arial" w:eastAsia="黑体"/>
      <w:szCs w:val="21"/>
    </w:rPr>
  </w:style>
  <w:style w:type="character" w:default="1" w:styleId="56">
    <w:name w:val="Default Paragraph Font"/>
    <w:semiHidden/>
    <w:qFormat/>
    <w:uiPriority w:val="99"/>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20"/>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5">
    <w:name w:val="Body Text First Indent"/>
    <w:basedOn w:val="6"/>
    <w:link w:val="75"/>
    <w:qFormat/>
    <w:uiPriority w:val="99"/>
    <w:pPr>
      <w:spacing w:after="120"/>
      <w:ind w:firstLine="420" w:firstLineChars="100"/>
    </w:pPr>
    <w:rPr>
      <w:sz w:val="21"/>
      <w:szCs w:val="24"/>
    </w:rPr>
  </w:style>
  <w:style w:type="paragraph" w:styleId="6">
    <w:name w:val="Body Text"/>
    <w:basedOn w:val="1"/>
    <w:next w:val="1"/>
    <w:link w:val="74"/>
    <w:qFormat/>
    <w:uiPriority w:val="99"/>
    <w:rPr>
      <w:sz w:val="28"/>
      <w:szCs w:val="20"/>
    </w:rPr>
  </w:style>
  <w:style w:type="paragraph" w:styleId="14">
    <w:name w:val="toc 7"/>
    <w:basedOn w:val="1"/>
    <w:next w:val="1"/>
    <w:qFormat/>
    <w:uiPriority w:val="99"/>
    <w:pPr>
      <w:ind w:left="2520" w:leftChars="1200"/>
    </w:pPr>
    <w:rPr>
      <w:rFonts w:ascii="Calibri" w:hAnsi="Calibri"/>
      <w:szCs w:val="22"/>
    </w:rPr>
  </w:style>
  <w:style w:type="paragraph" w:styleId="15">
    <w:name w:val="List Number"/>
    <w:basedOn w:val="1"/>
    <w:qFormat/>
    <w:uiPriority w:val="99"/>
    <w:pPr>
      <w:numPr>
        <w:ilvl w:val="0"/>
        <w:numId w:val="1"/>
      </w:numPr>
      <w:spacing w:line="360" w:lineRule="auto"/>
      <w:ind w:hangingChars="200"/>
    </w:pPr>
    <w:rPr>
      <w:sz w:val="24"/>
    </w:rPr>
  </w:style>
  <w:style w:type="paragraph" w:styleId="16">
    <w:name w:val="caption"/>
    <w:basedOn w:val="1"/>
    <w:next w:val="1"/>
    <w:qFormat/>
    <w:uiPriority w:val="99"/>
    <w:pPr>
      <w:widowControl/>
      <w:spacing w:before="120" w:after="120"/>
      <w:jc w:val="center"/>
    </w:pPr>
    <w:rPr>
      <w:rFonts w:ascii="Calibri" w:hAnsi="Calibri"/>
      <w:b/>
      <w:kern w:val="0"/>
      <w:sz w:val="24"/>
      <w:lang w:eastAsia="en-US"/>
    </w:rPr>
  </w:style>
  <w:style w:type="paragraph" w:styleId="17">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8">
    <w:name w:val="Document Map"/>
    <w:basedOn w:val="1"/>
    <w:link w:val="76"/>
    <w:qFormat/>
    <w:uiPriority w:val="99"/>
    <w:rPr>
      <w:rFonts w:ascii="宋体"/>
      <w:sz w:val="18"/>
      <w:szCs w:val="18"/>
    </w:rPr>
  </w:style>
  <w:style w:type="paragraph" w:styleId="19">
    <w:name w:val="annotation text"/>
    <w:basedOn w:val="1"/>
    <w:link w:val="77"/>
    <w:qFormat/>
    <w:uiPriority w:val="99"/>
    <w:pPr>
      <w:jc w:val="left"/>
    </w:pPr>
    <w:rPr>
      <w:szCs w:val="20"/>
    </w:rPr>
  </w:style>
  <w:style w:type="paragraph" w:styleId="20">
    <w:name w:val="Body Text 3"/>
    <w:basedOn w:val="1"/>
    <w:link w:val="78"/>
    <w:qFormat/>
    <w:uiPriority w:val="99"/>
    <w:pPr>
      <w:widowControl/>
      <w:autoSpaceDE w:val="0"/>
      <w:autoSpaceDN w:val="0"/>
      <w:adjustRightInd w:val="0"/>
      <w:spacing w:line="360" w:lineRule="auto"/>
      <w:jc w:val="center"/>
    </w:pPr>
    <w:rPr>
      <w:b/>
      <w:bCs/>
      <w:kern w:val="0"/>
      <w:sz w:val="36"/>
      <w:szCs w:val="20"/>
    </w:rPr>
  </w:style>
  <w:style w:type="paragraph" w:styleId="21">
    <w:name w:val="Body Text Indent"/>
    <w:basedOn w:val="1"/>
    <w:link w:val="79"/>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2">
    <w:name w:val="List 2"/>
    <w:basedOn w:val="1"/>
    <w:qFormat/>
    <w:uiPriority w:val="99"/>
    <w:pPr>
      <w:ind w:left="100" w:leftChars="200" w:hanging="200" w:hangingChars="200"/>
    </w:pPr>
  </w:style>
  <w:style w:type="paragraph" w:styleId="23">
    <w:name w:val="List Bullet 2"/>
    <w:basedOn w:val="1"/>
    <w:qFormat/>
    <w:uiPriority w:val="99"/>
    <w:pPr>
      <w:spacing w:line="324" w:lineRule="auto"/>
      <w:ind w:left="840" w:hanging="420"/>
    </w:pPr>
  </w:style>
  <w:style w:type="paragraph" w:styleId="24">
    <w:name w:val="toc 5"/>
    <w:basedOn w:val="1"/>
    <w:next w:val="1"/>
    <w:qFormat/>
    <w:uiPriority w:val="99"/>
    <w:pPr>
      <w:ind w:left="1680" w:leftChars="800"/>
    </w:pPr>
    <w:rPr>
      <w:rFonts w:ascii="Calibri" w:hAnsi="Calibri"/>
      <w:szCs w:val="22"/>
    </w:rPr>
  </w:style>
  <w:style w:type="paragraph" w:styleId="25">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6">
    <w:name w:val="Plain Text"/>
    <w:basedOn w:val="1"/>
    <w:link w:val="80"/>
    <w:qFormat/>
    <w:uiPriority w:val="99"/>
    <w:rPr>
      <w:rFonts w:ascii="宋体" w:hAnsi="Courier New"/>
      <w:szCs w:val="20"/>
    </w:rPr>
  </w:style>
  <w:style w:type="paragraph" w:styleId="27">
    <w:name w:val="toc 8"/>
    <w:basedOn w:val="1"/>
    <w:next w:val="1"/>
    <w:qFormat/>
    <w:uiPriority w:val="99"/>
    <w:pPr>
      <w:ind w:left="2940" w:leftChars="1400"/>
    </w:pPr>
    <w:rPr>
      <w:rFonts w:ascii="Calibri" w:hAnsi="Calibri"/>
      <w:szCs w:val="22"/>
    </w:rPr>
  </w:style>
  <w:style w:type="paragraph" w:styleId="28">
    <w:name w:val="Date"/>
    <w:basedOn w:val="1"/>
    <w:next w:val="1"/>
    <w:link w:val="81"/>
    <w:qFormat/>
    <w:uiPriority w:val="99"/>
    <w:pPr>
      <w:ind w:left="100" w:leftChars="2500"/>
    </w:pPr>
    <w:rPr>
      <w:szCs w:val="20"/>
    </w:rPr>
  </w:style>
  <w:style w:type="paragraph" w:styleId="29">
    <w:name w:val="Body Text Indent 2"/>
    <w:basedOn w:val="1"/>
    <w:link w:val="82"/>
    <w:qFormat/>
    <w:uiPriority w:val="99"/>
    <w:pPr>
      <w:spacing w:line="480" w:lineRule="auto"/>
      <w:ind w:firstLine="480" w:firstLineChars="200"/>
    </w:pPr>
    <w:rPr>
      <w:rFonts w:ascii="仿宋_GB2312" w:hAnsi="宋体" w:eastAsia="仿宋_GB2312"/>
      <w:sz w:val="24"/>
    </w:rPr>
  </w:style>
  <w:style w:type="paragraph" w:styleId="30">
    <w:name w:val="List Continue 5"/>
    <w:basedOn w:val="1"/>
    <w:qFormat/>
    <w:uiPriority w:val="99"/>
    <w:pPr>
      <w:adjustRightInd w:val="0"/>
      <w:spacing w:after="120" w:line="312" w:lineRule="atLeast"/>
      <w:ind w:left="2100"/>
      <w:textAlignment w:val="baseline"/>
    </w:pPr>
    <w:rPr>
      <w:kern w:val="0"/>
      <w:szCs w:val="20"/>
    </w:rPr>
  </w:style>
  <w:style w:type="paragraph" w:styleId="31">
    <w:name w:val="Balloon Text"/>
    <w:basedOn w:val="1"/>
    <w:link w:val="83"/>
    <w:qFormat/>
    <w:uiPriority w:val="99"/>
    <w:rPr>
      <w:sz w:val="18"/>
      <w:szCs w:val="18"/>
    </w:rPr>
  </w:style>
  <w:style w:type="paragraph" w:styleId="32">
    <w:name w:val="footer"/>
    <w:basedOn w:val="1"/>
    <w:link w:val="84"/>
    <w:qFormat/>
    <w:uiPriority w:val="99"/>
    <w:pPr>
      <w:tabs>
        <w:tab w:val="center" w:pos="4153"/>
        <w:tab w:val="right" w:pos="8306"/>
      </w:tabs>
      <w:snapToGrid w:val="0"/>
      <w:jc w:val="left"/>
    </w:pPr>
    <w:rPr>
      <w:sz w:val="18"/>
      <w:szCs w:val="18"/>
    </w:rPr>
  </w:style>
  <w:style w:type="paragraph" w:styleId="33">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5">
    <w:name w:val="toc 4"/>
    <w:basedOn w:val="1"/>
    <w:next w:val="1"/>
    <w:qFormat/>
    <w:uiPriority w:val="99"/>
    <w:pPr>
      <w:ind w:left="1260" w:leftChars="600"/>
    </w:pPr>
    <w:rPr>
      <w:rFonts w:ascii="Calibri" w:hAnsi="Calibri"/>
      <w:szCs w:val="22"/>
    </w:rPr>
  </w:style>
  <w:style w:type="paragraph" w:styleId="36">
    <w:name w:val="Subtitle"/>
    <w:basedOn w:val="1"/>
    <w:next w:val="1"/>
    <w:link w:val="86"/>
    <w:qFormat/>
    <w:uiPriority w:val="99"/>
    <w:pPr>
      <w:widowControl/>
      <w:spacing w:after="60"/>
      <w:jc w:val="center"/>
      <w:outlineLvl w:val="1"/>
    </w:pPr>
    <w:rPr>
      <w:rFonts w:ascii="楷体_GB2312" w:eastAsia="楷体_GB2312"/>
      <w:kern w:val="0"/>
      <w:sz w:val="28"/>
      <w:szCs w:val="20"/>
    </w:rPr>
  </w:style>
  <w:style w:type="paragraph" w:styleId="37">
    <w:name w:val="List"/>
    <w:basedOn w:val="1"/>
    <w:qFormat/>
    <w:uiPriority w:val="99"/>
    <w:pPr>
      <w:ind w:left="200" w:hanging="200" w:hangingChars="200"/>
    </w:pPr>
  </w:style>
  <w:style w:type="paragraph" w:styleId="38">
    <w:name w:val="footnote text"/>
    <w:basedOn w:val="1"/>
    <w:link w:val="87"/>
    <w:qFormat/>
    <w:uiPriority w:val="99"/>
    <w:pPr>
      <w:snapToGrid w:val="0"/>
      <w:jc w:val="left"/>
    </w:pPr>
    <w:rPr>
      <w:sz w:val="18"/>
      <w:szCs w:val="18"/>
    </w:rPr>
  </w:style>
  <w:style w:type="paragraph" w:styleId="39">
    <w:name w:val="toc 6"/>
    <w:basedOn w:val="1"/>
    <w:next w:val="1"/>
    <w:qFormat/>
    <w:uiPriority w:val="99"/>
    <w:pPr>
      <w:ind w:left="2100" w:leftChars="1000"/>
    </w:pPr>
    <w:rPr>
      <w:rFonts w:ascii="Calibri" w:hAnsi="Calibri"/>
      <w:szCs w:val="22"/>
    </w:rPr>
  </w:style>
  <w:style w:type="paragraph" w:styleId="40">
    <w:name w:val="List 5"/>
    <w:basedOn w:val="1"/>
    <w:qFormat/>
    <w:uiPriority w:val="99"/>
    <w:pPr>
      <w:ind w:left="100" w:leftChars="800" w:hanging="200" w:hangingChars="200"/>
      <w:contextualSpacing/>
    </w:pPr>
  </w:style>
  <w:style w:type="paragraph" w:styleId="41">
    <w:name w:val="Body Text Indent 3"/>
    <w:basedOn w:val="1"/>
    <w:link w:val="88"/>
    <w:qFormat/>
    <w:uiPriority w:val="99"/>
    <w:pPr>
      <w:spacing w:after="120" w:line="360" w:lineRule="atLeast"/>
      <w:ind w:firstLine="720" w:firstLineChars="300"/>
    </w:pPr>
    <w:rPr>
      <w:sz w:val="24"/>
      <w:szCs w:val="20"/>
    </w:rPr>
  </w:style>
  <w:style w:type="paragraph" w:styleId="42">
    <w:name w:val="table of figures"/>
    <w:basedOn w:val="1"/>
    <w:next w:val="1"/>
    <w:qFormat/>
    <w:uiPriority w:val="99"/>
    <w:pPr>
      <w:ind w:left="200" w:leftChars="200" w:hanging="200" w:hangingChars="200"/>
    </w:pPr>
  </w:style>
  <w:style w:type="paragraph" w:styleId="43">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4">
    <w:name w:val="toc 9"/>
    <w:basedOn w:val="1"/>
    <w:next w:val="1"/>
    <w:qFormat/>
    <w:uiPriority w:val="99"/>
    <w:pPr>
      <w:ind w:left="3360" w:leftChars="1600"/>
    </w:pPr>
    <w:rPr>
      <w:rFonts w:ascii="Calibri" w:hAnsi="Calibri"/>
      <w:szCs w:val="22"/>
    </w:rPr>
  </w:style>
  <w:style w:type="paragraph" w:styleId="45">
    <w:name w:val="Body Text 2"/>
    <w:basedOn w:val="1"/>
    <w:link w:val="89"/>
    <w:qFormat/>
    <w:uiPriority w:val="99"/>
    <w:pPr>
      <w:spacing w:after="120" w:line="480" w:lineRule="auto"/>
    </w:pPr>
  </w:style>
  <w:style w:type="paragraph" w:styleId="46">
    <w:name w:val="List 4"/>
    <w:basedOn w:val="1"/>
    <w:qFormat/>
    <w:uiPriority w:val="99"/>
    <w:pPr>
      <w:adjustRightInd w:val="0"/>
      <w:spacing w:line="312" w:lineRule="atLeast"/>
      <w:ind w:left="1680" w:hanging="420"/>
      <w:textAlignment w:val="baseline"/>
    </w:pPr>
    <w:rPr>
      <w:kern w:val="0"/>
      <w:szCs w:val="20"/>
    </w:rPr>
  </w:style>
  <w:style w:type="paragraph" w:styleId="47">
    <w:name w:val="HTML Preformatted"/>
    <w:basedOn w:val="1"/>
    <w:link w:val="9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8">
    <w:name w:val="Normal (Web)"/>
    <w:basedOn w:val="1"/>
    <w:link w:val="246"/>
    <w:qFormat/>
    <w:uiPriority w:val="99"/>
    <w:pPr>
      <w:widowControl/>
      <w:spacing w:before="100" w:beforeAutospacing="1" w:after="100" w:afterAutospacing="1"/>
      <w:jc w:val="left"/>
    </w:pPr>
    <w:rPr>
      <w:rFonts w:ascii="宋体" w:hAnsi="宋体"/>
      <w:kern w:val="0"/>
      <w:sz w:val="24"/>
    </w:rPr>
  </w:style>
  <w:style w:type="paragraph" w:styleId="49">
    <w:name w:val="index 1"/>
    <w:basedOn w:val="1"/>
    <w:next w:val="1"/>
    <w:semiHidden/>
    <w:qFormat/>
    <w:uiPriority w:val="99"/>
    <w:pPr>
      <w:widowControl/>
      <w:jc w:val="left"/>
    </w:pPr>
    <w:rPr>
      <w:rFonts w:ascii="Calibri" w:hAnsi="Calibri"/>
      <w:kern w:val="0"/>
      <w:sz w:val="24"/>
      <w:szCs w:val="20"/>
      <w:lang w:eastAsia="en-US"/>
    </w:rPr>
  </w:style>
  <w:style w:type="paragraph" w:styleId="50">
    <w:name w:val="Title"/>
    <w:basedOn w:val="1"/>
    <w:next w:val="1"/>
    <w:link w:val="91"/>
    <w:qFormat/>
    <w:uiPriority w:val="99"/>
    <w:pPr>
      <w:spacing w:before="240" w:after="60"/>
      <w:jc w:val="center"/>
      <w:outlineLvl w:val="0"/>
    </w:pPr>
    <w:rPr>
      <w:rFonts w:ascii="Cambria" w:hAnsi="Cambria"/>
      <w:b/>
      <w:bCs/>
      <w:sz w:val="32"/>
      <w:szCs w:val="32"/>
    </w:rPr>
  </w:style>
  <w:style w:type="paragraph" w:styleId="51">
    <w:name w:val="annotation subject"/>
    <w:basedOn w:val="19"/>
    <w:next w:val="19"/>
    <w:link w:val="92"/>
    <w:qFormat/>
    <w:uiPriority w:val="99"/>
    <w:rPr>
      <w:b/>
      <w:bCs/>
    </w:rPr>
  </w:style>
  <w:style w:type="paragraph" w:styleId="52">
    <w:name w:val="Body Text First Indent 2"/>
    <w:basedOn w:val="21"/>
    <w:link w:val="93"/>
    <w:qFormat/>
    <w:uiPriority w:val="99"/>
    <w:pPr>
      <w:autoSpaceDE/>
      <w:autoSpaceDN/>
      <w:spacing w:line="312" w:lineRule="atLeast"/>
      <w:ind w:left="0" w:firstLine="210"/>
      <w:textAlignment w:val="baseline"/>
    </w:pPr>
    <w:rPr>
      <w:kern w:val="2"/>
      <w:sz w:val="21"/>
      <w:szCs w:val="24"/>
    </w:rPr>
  </w:style>
  <w:style w:type="table" w:styleId="54">
    <w:name w:val="Table Grid"/>
    <w:basedOn w:val="5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5">
    <w:name w:val="Table Theme"/>
    <w:basedOn w:val="5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99"/>
    <w:rPr>
      <w:rFonts w:cs="Times New Roman"/>
      <w:b/>
    </w:rPr>
  </w:style>
  <w:style w:type="character" w:styleId="58">
    <w:name w:val="page number"/>
    <w:basedOn w:val="56"/>
    <w:qFormat/>
    <w:uiPriority w:val="99"/>
    <w:rPr>
      <w:rFonts w:cs="Times New Roman"/>
    </w:rPr>
  </w:style>
  <w:style w:type="character" w:styleId="59">
    <w:name w:val="FollowedHyperlink"/>
    <w:basedOn w:val="56"/>
    <w:qFormat/>
    <w:uiPriority w:val="99"/>
    <w:rPr>
      <w:rFonts w:cs="Times New Roman"/>
      <w:color w:val="800080"/>
      <w:u w:val="single"/>
    </w:rPr>
  </w:style>
  <w:style w:type="character" w:styleId="60">
    <w:name w:val="Emphasis"/>
    <w:basedOn w:val="56"/>
    <w:qFormat/>
    <w:uiPriority w:val="99"/>
    <w:rPr>
      <w:rFonts w:ascii="Calibri" w:hAnsi="Calibri" w:eastAsia="宋体" w:cs="Times New Roman"/>
      <w:b/>
      <w:i/>
      <w:kern w:val="2"/>
      <w:sz w:val="24"/>
      <w:lang w:val="en-US" w:eastAsia="zh-CN"/>
    </w:rPr>
  </w:style>
  <w:style w:type="character" w:styleId="61">
    <w:name w:val="HTML Typewriter"/>
    <w:basedOn w:val="56"/>
    <w:qFormat/>
    <w:uiPriority w:val="99"/>
    <w:rPr>
      <w:rFonts w:ascii="宋体" w:hAnsi="宋体" w:eastAsia="宋体" w:cs="Times New Roman"/>
      <w:sz w:val="24"/>
    </w:rPr>
  </w:style>
  <w:style w:type="character" w:styleId="62">
    <w:name w:val="Hyperlink"/>
    <w:basedOn w:val="56"/>
    <w:qFormat/>
    <w:uiPriority w:val="99"/>
    <w:rPr>
      <w:rFonts w:cs="Times New Roman"/>
      <w:color w:val="0000FF"/>
      <w:u w:val="single"/>
    </w:rPr>
  </w:style>
  <w:style w:type="character" w:styleId="63">
    <w:name w:val="annotation reference"/>
    <w:basedOn w:val="56"/>
    <w:qFormat/>
    <w:uiPriority w:val="99"/>
    <w:rPr>
      <w:rFonts w:cs="Times New Roman"/>
      <w:sz w:val="21"/>
    </w:rPr>
  </w:style>
  <w:style w:type="character" w:styleId="64">
    <w:name w:val="footnote reference"/>
    <w:basedOn w:val="56"/>
    <w:qFormat/>
    <w:uiPriority w:val="99"/>
    <w:rPr>
      <w:rFonts w:cs="Times New Roman"/>
      <w:vertAlign w:val="superscript"/>
    </w:rPr>
  </w:style>
  <w:style w:type="character" w:customStyle="1" w:styleId="65">
    <w:name w:val="Heading 1 Char"/>
    <w:basedOn w:val="56"/>
    <w:link w:val="3"/>
    <w:qFormat/>
    <w:uiPriority w:val="9"/>
    <w:rPr>
      <w:b/>
      <w:bCs/>
      <w:kern w:val="44"/>
      <w:sz w:val="44"/>
      <w:szCs w:val="44"/>
    </w:rPr>
  </w:style>
  <w:style w:type="character" w:customStyle="1" w:styleId="66">
    <w:name w:val="Heading 2 Char"/>
    <w:basedOn w:val="56"/>
    <w:link w:val="4"/>
    <w:qFormat/>
    <w:locked/>
    <w:uiPriority w:val="99"/>
    <w:rPr>
      <w:rFonts w:ascii="Arial" w:hAnsi="Arial" w:eastAsia="黑体"/>
      <w:kern w:val="2"/>
      <w:sz w:val="32"/>
    </w:rPr>
  </w:style>
  <w:style w:type="character" w:customStyle="1" w:styleId="67">
    <w:name w:val="Heading 3 Char"/>
    <w:basedOn w:val="56"/>
    <w:link w:val="7"/>
    <w:qFormat/>
    <w:locked/>
    <w:uiPriority w:val="99"/>
    <w:rPr>
      <w:rFonts w:ascii="黑体" w:eastAsia="黑体"/>
      <w:sz w:val="28"/>
    </w:rPr>
  </w:style>
  <w:style w:type="character" w:customStyle="1" w:styleId="68">
    <w:name w:val="Heading 4 Char"/>
    <w:basedOn w:val="56"/>
    <w:link w:val="8"/>
    <w:qFormat/>
    <w:locked/>
    <w:uiPriority w:val="99"/>
    <w:rPr>
      <w:kern w:val="2"/>
      <w:sz w:val="28"/>
    </w:rPr>
  </w:style>
  <w:style w:type="character" w:customStyle="1" w:styleId="69">
    <w:name w:val="Heading 5 Char"/>
    <w:basedOn w:val="56"/>
    <w:link w:val="9"/>
    <w:qFormat/>
    <w:locked/>
    <w:uiPriority w:val="99"/>
    <w:rPr>
      <w:b/>
      <w:kern w:val="2"/>
      <w:sz w:val="28"/>
    </w:rPr>
  </w:style>
  <w:style w:type="character" w:customStyle="1" w:styleId="70">
    <w:name w:val="Heading 6 Char"/>
    <w:basedOn w:val="56"/>
    <w:link w:val="10"/>
    <w:qFormat/>
    <w:locked/>
    <w:uiPriority w:val="99"/>
    <w:rPr>
      <w:rFonts w:ascii="Arial" w:hAnsi="Arial" w:eastAsia="黑体"/>
      <w:b/>
      <w:kern w:val="2"/>
      <w:sz w:val="24"/>
    </w:rPr>
  </w:style>
  <w:style w:type="character" w:customStyle="1" w:styleId="71">
    <w:name w:val="Heading 7 Char"/>
    <w:basedOn w:val="56"/>
    <w:link w:val="11"/>
    <w:qFormat/>
    <w:locked/>
    <w:uiPriority w:val="99"/>
    <w:rPr>
      <w:b/>
      <w:kern w:val="2"/>
      <w:sz w:val="24"/>
    </w:rPr>
  </w:style>
  <w:style w:type="character" w:customStyle="1" w:styleId="72">
    <w:name w:val="Heading 8 Char"/>
    <w:basedOn w:val="56"/>
    <w:link w:val="12"/>
    <w:qFormat/>
    <w:locked/>
    <w:uiPriority w:val="99"/>
    <w:rPr>
      <w:rFonts w:ascii="Arial" w:hAnsi="Arial" w:eastAsia="黑体"/>
      <w:kern w:val="2"/>
      <w:sz w:val="24"/>
    </w:rPr>
  </w:style>
  <w:style w:type="character" w:customStyle="1" w:styleId="73">
    <w:name w:val="Heading 9 Char"/>
    <w:basedOn w:val="56"/>
    <w:link w:val="13"/>
    <w:qFormat/>
    <w:locked/>
    <w:uiPriority w:val="99"/>
    <w:rPr>
      <w:rFonts w:ascii="Arial" w:hAnsi="Arial" w:eastAsia="黑体"/>
      <w:kern w:val="2"/>
      <w:sz w:val="21"/>
    </w:rPr>
  </w:style>
  <w:style w:type="character" w:customStyle="1" w:styleId="74">
    <w:name w:val="Body Text Char"/>
    <w:basedOn w:val="56"/>
    <w:link w:val="6"/>
    <w:qFormat/>
    <w:locked/>
    <w:uiPriority w:val="99"/>
    <w:rPr>
      <w:rFonts w:cs="Times New Roman"/>
      <w:kern w:val="2"/>
      <w:sz w:val="28"/>
    </w:rPr>
  </w:style>
  <w:style w:type="character" w:customStyle="1" w:styleId="75">
    <w:name w:val="Body Text First Indent Char"/>
    <w:basedOn w:val="74"/>
    <w:link w:val="5"/>
    <w:qFormat/>
    <w:locked/>
    <w:uiPriority w:val="99"/>
    <w:rPr>
      <w:sz w:val="24"/>
      <w:szCs w:val="24"/>
    </w:rPr>
  </w:style>
  <w:style w:type="character" w:customStyle="1" w:styleId="76">
    <w:name w:val="Document Map Char"/>
    <w:basedOn w:val="56"/>
    <w:link w:val="18"/>
    <w:qFormat/>
    <w:locked/>
    <w:uiPriority w:val="99"/>
    <w:rPr>
      <w:rFonts w:ascii="宋体"/>
      <w:kern w:val="2"/>
      <w:sz w:val="18"/>
    </w:rPr>
  </w:style>
  <w:style w:type="character" w:customStyle="1" w:styleId="77">
    <w:name w:val="Comment Text Char"/>
    <w:basedOn w:val="56"/>
    <w:link w:val="19"/>
    <w:qFormat/>
    <w:locked/>
    <w:uiPriority w:val="99"/>
    <w:rPr>
      <w:rFonts w:eastAsia="宋体"/>
      <w:kern w:val="2"/>
      <w:sz w:val="21"/>
      <w:lang w:val="en-US" w:eastAsia="zh-CN"/>
    </w:rPr>
  </w:style>
  <w:style w:type="character" w:customStyle="1" w:styleId="78">
    <w:name w:val="Body Text 3 Char"/>
    <w:basedOn w:val="56"/>
    <w:link w:val="20"/>
    <w:qFormat/>
    <w:locked/>
    <w:uiPriority w:val="99"/>
    <w:rPr>
      <w:rFonts w:cs="Times New Roman"/>
      <w:b/>
      <w:bCs/>
      <w:sz w:val="36"/>
    </w:rPr>
  </w:style>
  <w:style w:type="character" w:customStyle="1" w:styleId="79">
    <w:name w:val="Body Text Indent Char"/>
    <w:basedOn w:val="56"/>
    <w:link w:val="21"/>
    <w:qFormat/>
    <w:locked/>
    <w:uiPriority w:val="99"/>
    <w:rPr>
      <w:rFonts w:ascii="楷体_GB2312" w:eastAsia="楷体_GB2312" w:cs="Times New Roman"/>
      <w:sz w:val="28"/>
    </w:rPr>
  </w:style>
  <w:style w:type="character" w:customStyle="1" w:styleId="80">
    <w:name w:val="Plain Text Char"/>
    <w:basedOn w:val="56"/>
    <w:link w:val="26"/>
    <w:qFormat/>
    <w:locked/>
    <w:uiPriority w:val="99"/>
    <w:rPr>
      <w:rFonts w:ascii="宋体" w:hAnsi="Courier New"/>
      <w:kern w:val="2"/>
      <w:sz w:val="21"/>
    </w:rPr>
  </w:style>
  <w:style w:type="character" w:customStyle="1" w:styleId="81">
    <w:name w:val="Date Char"/>
    <w:basedOn w:val="56"/>
    <w:link w:val="28"/>
    <w:qFormat/>
    <w:locked/>
    <w:uiPriority w:val="99"/>
    <w:rPr>
      <w:kern w:val="2"/>
      <w:sz w:val="21"/>
    </w:rPr>
  </w:style>
  <w:style w:type="character" w:customStyle="1" w:styleId="82">
    <w:name w:val="Body Text Indent 2 Char"/>
    <w:basedOn w:val="56"/>
    <w:link w:val="29"/>
    <w:qFormat/>
    <w:locked/>
    <w:uiPriority w:val="99"/>
    <w:rPr>
      <w:rFonts w:ascii="仿宋_GB2312" w:hAnsi="宋体" w:eastAsia="仿宋_GB2312"/>
      <w:kern w:val="2"/>
      <w:sz w:val="24"/>
    </w:rPr>
  </w:style>
  <w:style w:type="character" w:customStyle="1" w:styleId="83">
    <w:name w:val="Balloon Text Char"/>
    <w:basedOn w:val="56"/>
    <w:link w:val="31"/>
    <w:qFormat/>
    <w:locked/>
    <w:uiPriority w:val="99"/>
    <w:rPr>
      <w:kern w:val="2"/>
      <w:sz w:val="18"/>
    </w:rPr>
  </w:style>
  <w:style w:type="character" w:customStyle="1" w:styleId="84">
    <w:name w:val="Footer Char"/>
    <w:basedOn w:val="56"/>
    <w:link w:val="32"/>
    <w:qFormat/>
    <w:locked/>
    <w:uiPriority w:val="99"/>
    <w:rPr>
      <w:kern w:val="2"/>
      <w:sz w:val="18"/>
    </w:rPr>
  </w:style>
  <w:style w:type="character" w:customStyle="1" w:styleId="85">
    <w:name w:val="Header Char"/>
    <w:basedOn w:val="56"/>
    <w:link w:val="33"/>
    <w:qFormat/>
    <w:locked/>
    <w:uiPriority w:val="99"/>
    <w:rPr>
      <w:kern w:val="2"/>
      <w:sz w:val="18"/>
    </w:rPr>
  </w:style>
  <w:style w:type="character" w:customStyle="1" w:styleId="86">
    <w:name w:val="Subtitle Char"/>
    <w:basedOn w:val="56"/>
    <w:link w:val="36"/>
    <w:qFormat/>
    <w:locked/>
    <w:uiPriority w:val="99"/>
    <w:rPr>
      <w:rFonts w:ascii="楷体_GB2312" w:eastAsia="楷体_GB2312"/>
      <w:sz w:val="28"/>
    </w:rPr>
  </w:style>
  <w:style w:type="character" w:customStyle="1" w:styleId="87">
    <w:name w:val="Footnote Text Char"/>
    <w:basedOn w:val="56"/>
    <w:link w:val="38"/>
    <w:qFormat/>
    <w:locked/>
    <w:uiPriority w:val="99"/>
    <w:rPr>
      <w:kern w:val="2"/>
      <w:sz w:val="18"/>
    </w:rPr>
  </w:style>
  <w:style w:type="character" w:customStyle="1" w:styleId="88">
    <w:name w:val="Body Text Indent 3 Char"/>
    <w:basedOn w:val="56"/>
    <w:link w:val="41"/>
    <w:qFormat/>
    <w:locked/>
    <w:uiPriority w:val="99"/>
    <w:rPr>
      <w:kern w:val="2"/>
      <w:sz w:val="24"/>
    </w:rPr>
  </w:style>
  <w:style w:type="character" w:customStyle="1" w:styleId="89">
    <w:name w:val="Body Text 2 Char"/>
    <w:basedOn w:val="56"/>
    <w:link w:val="45"/>
    <w:qFormat/>
    <w:locked/>
    <w:uiPriority w:val="99"/>
    <w:rPr>
      <w:kern w:val="2"/>
      <w:sz w:val="24"/>
    </w:rPr>
  </w:style>
  <w:style w:type="character" w:customStyle="1" w:styleId="90">
    <w:name w:val="HTML Preformatted Char"/>
    <w:basedOn w:val="56"/>
    <w:link w:val="47"/>
    <w:qFormat/>
    <w:locked/>
    <w:uiPriority w:val="99"/>
    <w:rPr>
      <w:rFonts w:ascii="宋体" w:eastAsia="宋体" w:cs="Times New Roman"/>
      <w:sz w:val="24"/>
      <w:szCs w:val="24"/>
    </w:rPr>
  </w:style>
  <w:style w:type="character" w:customStyle="1" w:styleId="91">
    <w:name w:val="Title Char"/>
    <w:basedOn w:val="56"/>
    <w:link w:val="50"/>
    <w:qFormat/>
    <w:locked/>
    <w:uiPriority w:val="99"/>
    <w:rPr>
      <w:rFonts w:ascii="Cambria" w:hAnsi="Cambria"/>
      <w:b/>
      <w:kern w:val="2"/>
      <w:sz w:val="32"/>
    </w:rPr>
  </w:style>
  <w:style w:type="character" w:customStyle="1" w:styleId="92">
    <w:name w:val="Comment Subject Char"/>
    <w:basedOn w:val="77"/>
    <w:link w:val="51"/>
    <w:qFormat/>
    <w:locked/>
    <w:uiPriority w:val="99"/>
    <w:rPr>
      <w:b/>
    </w:rPr>
  </w:style>
  <w:style w:type="character" w:customStyle="1" w:styleId="93">
    <w:name w:val="Body Text First Indent 2 Char"/>
    <w:basedOn w:val="79"/>
    <w:link w:val="52"/>
    <w:qFormat/>
    <w:locked/>
    <w:uiPriority w:val="99"/>
    <w:rPr>
      <w:kern w:val="2"/>
      <w:sz w:val="24"/>
      <w:szCs w:val="24"/>
    </w:rPr>
  </w:style>
  <w:style w:type="paragraph" w:customStyle="1" w:styleId="94">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5">
    <w:name w:val="列出段落1"/>
    <w:basedOn w:val="1"/>
    <w:link w:val="113"/>
    <w:qFormat/>
    <w:uiPriority w:val="99"/>
    <w:pPr>
      <w:ind w:firstLine="420" w:firstLineChars="200"/>
    </w:pPr>
    <w:rPr>
      <w:szCs w:val="20"/>
    </w:rPr>
  </w:style>
  <w:style w:type="paragraph" w:customStyle="1" w:styleId="96">
    <w:name w:val="Char Char Char Char Char Char Char Char Char Char Char Char Char"/>
    <w:basedOn w:val="18"/>
    <w:qFormat/>
    <w:uiPriority w:val="99"/>
    <w:pPr>
      <w:shd w:val="clear" w:color="auto" w:fill="000080"/>
    </w:pPr>
    <w:rPr>
      <w:rFonts w:ascii="Tahoma" w:hAnsi="Tahoma"/>
      <w:sz w:val="24"/>
      <w:szCs w:val="24"/>
    </w:rPr>
  </w:style>
  <w:style w:type="paragraph" w:customStyle="1" w:styleId="9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8">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9">
    <w:name w:val="bt1bt1"/>
    <w:basedOn w:val="3"/>
    <w:qFormat/>
    <w:uiPriority w:val="99"/>
    <w:pPr>
      <w:spacing w:line="240" w:lineRule="auto"/>
    </w:pPr>
    <w:rPr>
      <w:rFonts w:ascii="黑体"/>
      <w:sz w:val="36"/>
      <w:szCs w:val="36"/>
    </w:rPr>
  </w:style>
  <w:style w:type="paragraph" w:customStyle="1" w:styleId="100">
    <w:name w:val="新定义正文"/>
    <w:basedOn w:val="1"/>
    <w:qFormat/>
    <w:uiPriority w:val="99"/>
    <w:pPr>
      <w:widowControl/>
    </w:pPr>
    <w:rPr>
      <w:color w:val="000000"/>
      <w:szCs w:val="21"/>
    </w:rPr>
  </w:style>
  <w:style w:type="paragraph" w:customStyle="1" w:styleId="101">
    <w:name w:val="节"/>
    <w:basedOn w:val="4"/>
    <w:qFormat/>
    <w:uiPriority w:val="99"/>
    <w:pPr>
      <w:numPr>
        <w:ilvl w:val="1"/>
        <w:numId w:val="3"/>
      </w:numPr>
      <w:tabs>
        <w:tab w:val="left" w:pos="432"/>
      </w:tabs>
      <w:spacing w:line="240" w:lineRule="auto"/>
    </w:pPr>
    <w:rPr>
      <w:rFonts w:ascii="黑体"/>
      <w:szCs w:val="28"/>
    </w:rPr>
  </w:style>
  <w:style w:type="paragraph" w:customStyle="1" w:styleId="102">
    <w:name w:val="蓝色显示"/>
    <w:basedOn w:val="1"/>
    <w:link w:val="112"/>
    <w:qFormat/>
    <w:uiPriority w:val="99"/>
    <w:pPr>
      <w:spacing w:before="340" w:after="330" w:line="400" w:lineRule="exact"/>
    </w:pPr>
    <w:rPr>
      <w:b/>
      <w:color w:val="0070C0"/>
    </w:rPr>
  </w:style>
  <w:style w:type="paragraph" w:customStyle="1" w:styleId="103">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4">
    <w:name w:val="表格"/>
    <w:basedOn w:val="4"/>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5">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6">
    <w:name w:val="Char Char1"/>
    <w:qFormat/>
    <w:uiPriority w:val="99"/>
    <w:rPr>
      <w:rFonts w:ascii="楷体_GB2312" w:eastAsia="楷体_GB2312"/>
      <w:sz w:val="28"/>
    </w:rPr>
  </w:style>
  <w:style w:type="character" w:customStyle="1" w:styleId="107">
    <w:name w:val="标题 Char"/>
    <w:qFormat/>
    <w:uiPriority w:val="99"/>
    <w:rPr>
      <w:rFonts w:ascii="Cambria" w:hAnsi="Cambria"/>
      <w:b/>
      <w:kern w:val="2"/>
      <w:sz w:val="32"/>
    </w:rPr>
  </w:style>
  <w:style w:type="character" w:customStyle="1" w:styleId="108">
    <w:name w:val="标题 1 Char"/>
    <w:qFormat/>
    <w:uiPriority w:val="99"/>
    <w:rPr>
      <w:rFonts w:ascii="黑体"/>
      <w:b/>
      <w:kern w:val="44"/>
      <w:sz w:val="32"/>
    </w:rPr>
  </w:style>
  <w:style w:type="character" w:customStyle="1" w:styleId="109">
    <w:name w:val="正文文本缩进 Char"/>
    <w:qFormat/>
    <w:uiPriority w:val="99"/>
    <w:rPr>
      <w:rFonts w:ascii="楷体_GB2312" w:eastAsia="楷体_GB2312"/>
      <w:sz w:val="28"/>
    </w:rPr>
  </w:style>
  <w:style w:type="character" w:customStyle="1" w:styleId="110">
    <w:name w:val="Char Char"/>
    <w:qFormat/>
    <w:uiPriority w:val="99"/>
    <w:rPr>
      <w:rFonts w:ascii="宋体"/>
      <w:kern w:val="2"/>
      <w:sz w:val="18"/>
    </w:rPr>
  </w:style>
  <w:style w:type="character" w:customStyle="1" w:styleId="111">
    <w:name w:val="访问过的超链接1"/>
    <w:qFormat/>
    <w:uiPriority w:val="99"/>
    <w:rPr>
      <w:color w:val="800080"/>
      <w:u w:val="single"/>
    </w:rPr>
  </w:style>
  <w:style w:type="character" w:customStyle="1" w:styleId="112">
    <w:name w:val="蓝色显示 Char"/>
    <w:link w:val="102"/>
    <w:qFormat/>
    <w:locked/>
    <w:uiPriority w:val="99"/>
    <w:rPr>
      <w:b/>
      <w:color w:val="0070C0"/>
      <w:kern w:val="2"/>
      <w:sz w:val="24"/>
    </w:rPr>
  </w:style>
  <w:style w:type="character" w:customStyle="1" w:styleId="113">
    <w:name w:val="列出段落 Char"/>
    <w:link w:val="95"/>
    <w:qFormat/>
    <w:locked/>
    <w:uiPriority w:val="99"/>
    <w:rPr>
      <w:kern w:val="2"/>
      <w:sz w:val="21"/>
    </w:rPr>
  </w:style>
  <w:style w:type="table" w:customStyle="1" w:styleId="114">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5">
    <w:name w:val="font41"/>
    <w:qFormat/>
    <w:uiPriority w:val="99"/>
    <w:rPr>
      <w:rFonts w:ascii="宋体" w:hAnsi="宋体" w:eastAsia="宋体"/>
      <w:color w:val="000000"/>
      <w:sz w:val="22"/>
      <w:u w:val="none"/>
    </w:rPr>
  </w:style>
  <w:style w:type="character" w:customStyle="1" w:styleId="116">
    <w:name w:val="font51"/>
    <w:qFormat/>
    <w:uiPriority w:val="99"/>
    <w:rPr>
      <w:rFonts w:ascii="宋体" w:hAnsi="宋体" w:eastAsia="宋体"/>
      <w:color w:val="000000"/>
      <w:sz w:val="22"/>
      <w:u w:val="none"/>
    </w:rPr>
  </w:style>
  <w:style w:type="character" w:customStyle="1" w:styleId="117">
    <w:name w:val="font11"/>
    <w:qFormat/>
    <w:uiPriority w:val="99"/>
    <w:rPr>
      <w:rFonts w:ascii="宋体" w:hAnsi="宋体" w:eastAsia="宋体"/>
      <w:color w:val="000000"/>
      <w:sz w:val="24"/>
      <w:u w:val="none"/>
    </w:rPr>
  </w:style>
  <w:style w:type="character" w:customStyle="1" w:styleId="118">
    <w:name w:val="font01"/>
    <w:qFormat/>
    <w:uiPriority w:val="99"/>
    <w:rPr>
      <w:rFonts w:ascii="宋体" w:hAnsi="宋体" w:eastAsia="宋体"/>
      <w:color w:val="000000"/>
      <w:sz w:val="24"/>
      <w:u w:val="single"/>
    </w:rPr>
  </w:style>
  <w:style w:type="paragraph" w:customStyle="1" w:styleId="119">
    <w:name w:val="TOC Heading1"/>
    <w:basedOn w:val="3"/>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0">
    <w:name w:val="Normal Indent Char"/>
    <w:link w:val="2"/>
    <w:qFormat/>
    <w:locked/>
    <w:uiPriority w:val="99"/>
    <w:rPr>
      <w:rFonts w:ascii="楷体_GB2312" w:eastAsia="楷体_GB2312"/>
      <w:sz w:val="28"/>
    </w:rPr>
  </w:style>
  <w:style w:type="paragraph" w:customStyle="1" w:styleId="121">
    <w:name w:val="List Paragraph1"/>
    <w:basedOn w:val="1"/>
    <w:qFormat/>
    <w:uiPriority w:val="99"/>
    <w:pPr>
      <w:ind w:firstLine="420" w:firstLineChars="200"/>
    </w:pPr>
    <w:rPr>
      <w:szCs w:val="20"/>
    </w:rPr>
  </w:style>
  <w:style w:type="character" w:customStyle="1" w:styleId="122">
    <w:name w:val="Char Char3"/>
    <w:qFormat/>
    <w:uiPriority w:val="99"/>
    <w:rPr>
      <w:rFonts w:eastAsia="宋体"/>
      <w:kern w:val="2"/>
      <w:sz w:val="21"/>
      <w:lang w:val="en-US" w:eastAsia="zh-CN"/>
    </w:rPr>
  </w:style>
  <w:style w:type="character" w:customStyle="1" w:styleId="123">
    <w:name w:val="Char Char2"/>
    <w:qFormat/>
    <w:uiPriority w:val="99"/>
    <w:rPr>
      <w:rFonts w:eastAsia="宋体"/>
      <w:b/>
      <w:kern w:val="2"/>
      <w:sz w:val="21"/>
      <w:lang w:val="en-US" w:eastAsia="zh-CN"/>
    </w:rPr>
  </w:style>
  <w:style w:type="paragraph" w:customStyle="1" w:styleId="124">
    <w:name w:val="Char"/>
    <w:basedOn w:val="18"/>
    <w:qFormat/>
    <w:uiPriority w:val="99"/>
    <w:pPr>
      <w:shd w:val="clear" w:color="auto" w:fill="000080"/>
    </w:pPr>
    <w:rPr>
      <w:rFonts w:ascii="Tahoma" w:hAnsi="Tahoma"/>
      <w:sz w:val="24"/>
      <w:szCs w:val="24"/>
    </w:rPr>
  </w:style>
  <w:style w:type="paragraph" w:customStyle="1" w:styleId="125">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6">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27">
    <w:name w:val="正文文本2"/>
    <w:basedOn w:val="1"/>
    <w:qFormat/>
    <w:uiPriority w:val="99"/>
  </w:style>
  <w:style w:type="paragraph" w:customStyle="1" w:styleId="128">
    <w:name w:val="msoacetate"/>
    <w:basedOn w:val="1"/>
    <w:qFormat/>
    <w:uiPriority w:val="99"/>
    <w:rPr>
      <w:sz w:val="18"/>
      <w:szCs w:val="18"/>
    </w:rPr>
  </w:style>
  <w:style w:type="paragraph" w:customStyle="1" w:styleId="129">
    <w:name w:val="樣式1"/>
    <w:basedOn w:val="1"/>
    <w:qFormat/>
    <w:uiPriority w:val="99"/>
    <w:pPr>
      <w:snapToGrid w:val="0"/>
      <w:spacing w:line="360" w:lineRule="atLeast"/>
    </w:pPr>
    <w:rPr>
      <w:rFonts w:eastAsia="華康簡楷"/>
      <w:sz w:val="26"/>
      <w:szCs w:val="20"/>
      <w:lang w:eastAsia="zh-TW"/>
    </w:rPr>
  </w:style>
  <w:style w:type="paragraph" w:customStyle="1" w:styleId="130">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1">
    <w:name w:val="Char2"/>
    <w:basedOn w:val="18"/>
    <w:qFormat/>
    <w:uiPriority w:val="99"/>
    <w:pPr>
      <w:shd w:val="clear" w:color="auto" w:fill="000080"/>
    </w:pPr>
    <w:rPr>
      <w:rFonts w:ascii="Tahoma" w:hAnsi="Tahoma"/>
      <w:sz w:val="13"/>
      <w:szCs w:val="24"/>
    </w:rPr>
  </w:style>
  <w:style w:type="paragraph" w:customStyle="1" w:styleId="132">
    <w:name w:val="Char1"/>
    <w:basedOn w:val="1"/>
    <w:qFormat/>
    <w:uiPriority w:val="99"/>
    <w:pPr>
      <w:adjustRightInd w:val="0"/>
      <w:spacing w:line="360" w:lineRule="auto"/>
    </w:pPr>
    <w:rPr>
      <w:kern w:val="0"/>
      <w:sz w:val="24"/>
      <w:szCs w:val="20"/>
    </w:rPr>
  </w:style>
  <w:style w:type="paragraph" w:customStyle="1" w:styleId="133">
    <w:name w:val="默认段落字体 Char Char Char Char Char Char Char Char Char Char Char Char Char Char Char Char Char Char Char Char Char"/>
    <w:basedOn w:val="18"/>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4">
    <w:name w:val="Char Char Char Char"/>
    <w:basedOn w:val="18"/>
    <w:qFormat/>
    <w:uiPriority w:val="99"/>
    <w:pPr>
      <w:shd w:val="clear" w:color="auto" w:fill="000080"/>
    </w:pPr>
    <w:rPr>
      <w:rFonts w:ascii="Tahoma" w:hAnsi="Tahoma"/>
      <w:sz w:val="24"/>
      <w:szCs w:val="24"/>
    </w:rPr>
  </w:style>
  <w:style w:type="paragraph" w:customStyle="1" w:styleId="135">
    <w:name w:val="正文缩进+项目符号"/>
    <w:basedOn w:val="136"/>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6">
    <w:name w:val="正文首行缩进两字"/>
    <w:basedOn w:val="1"/>
    <w:link w:val="137"/>
    <w:qFormat/>
    <w:uiPriority w:val="99"/>
    <w:pPr>
      <w:autoSpaceDE w:val="0"/>
      <w:autoSpaceDN w:val="0"/>
      <w:adjustRightInd w:val="0"/>
      <w:snapToGrid w:val="0"/>
      <w:spacing w:line="360" w:lineRule="auto"/>
      <w:ind w:firstLine="540" w:firstLineChars="225"/>
    </w:pPr>
    <w:rPr>
      <w:sz w:val="24"/>
      <w:szCs w:val="20"/>
    </w:rPr>
  </w:style>
  <w:style w:type="character" w:customStyle="1" w:styleId="137">
    <w:name w:val="正文首行缩进两字 Char"/>
    <w:link w:val="136"/>
    <w:qFormat/>
    <w:locked/>
    <w:uiPriority w:val="99"/>
    <w:rPr>
      <w:kern w:val="2"/>
      <w:sz w:val="24"/>
    </w:rPr>
  </w:style>
  <w:style w:type="paragraph" w:customStyle="1" w:styleId="138">
    <w:name w:val="表格文字（大）"/>
    <w:basedOn w:val="1"/>
    <w:qFormat/>
    <w:uiPriority w:val="99"/>
    <w:pPr>
      <w:spacing w:before="20" w:after="20"/>
    </w:pPr>
    <w:rPr>
      <w:rFonts w:ascii="Century Gothic" w:hAnsi="Century Gothic"/>
      <w:sz w:val="24"/>
      <w:szCs w:val="20"/>
    </w:rPr>
  </w:style>
  <w:style w:type="paragraph" w:customStyle="1" w:styleId="139">
    <w:name w:val="正文缩进+编号"/>
    <w:basedOn w:val="136"/>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0">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1">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2">
    <w:name w:val="三级条款"/>
    <w:basedOn w:val="1"/>
    <w:link w:val="143"/>
    <w:qFormat/>
    <w:uiPriority w:val="99"/>
    <w:pPr>
      <w:numPr>
        <w:ilvl w:val="2"/>
        <w:numId w:val="7"/>
      </w:numPr>
      <w:spacing w:line="360" w:lineRule="auto"/>
      <w:ind w:right="-334"/>
    </w:pPr>
    <w:rPr>
      <w:rFonts w:ascii="宋体" w:hAnsi="宋体"/>
      <w:bCs/>
      <w:sz w:val="24"/>
    </w:rPr>
  </w:style>
  <w:style w:type="character" w:customStyle="1" w:styleId="143">
    <w:name w:val="三级条款 Char Char"/>
    <w:link w:val="142"/>
    <w:qFormat/>
    <w:locked/>
    <w:uiPriority w:val="99"/>
    <w:rPr>
      <w:rFonts w:ascii="宋体" w:hAnsi="宋体"/>
      <w:bCs/>
      <w:sz w:val="24"/>
      <w:szCs w:val="24"/>
    </w:rPr>
  </w:style>
  <w:style w:type="paragraph" w:customStyle="1" w:styleId="144">
    <w:name w:val="样式 条款 + 加粗"/>
    <w:basedOn w:val="142"/>
    <w:link w:val="145"/>
    <w:qFormat/>
    <w:uiPriority w:val="99"/>
    <w:rPr>
      <w:b/>
    </w:rPr>
  </w:style>
  <w:style w:type="character" w:customStyle="1" w:styleId="145">
    <w:name w:val="样式 条款 + 加粗 Char"/>
    <w:link w:val="144"/>
    <w:qFormat/>
    <w:locked/>
    <w:uiPriority w:val="99"/>
    <w:rPr>
      <w:rFonts w:ascii="宋体" w:eastAsia="宋体"/>
      <w:b/>
      <w:kern w:val="2"/>
      <w:sz w:val="24"/>
    </w:rPr>
  </w:style>
  <w:style w:type="paragraph" w:customStyle="1" w:styleId="146">
    <w:name w:val="Char Char Char Char Char Char Char Char Char"/>
    <w:basedOn w:val="18"/>
    <w:qFormat/>
    <w:uiPriority w:val="99"/>
    <w:pPr>
      <w:shd w:val="clear" w:color="auto" w:fill="000080"/>
    </w:pPr>
    <w:rPr>
      <w:rFonts w:ascii="Tahoma" w:hAnsi="Tahoma"/>
      <w:sz w:val="24"/>
      <w:szCs w:val="24"/>
    </w:rPr>
  </w:style>
  <w:style w:type="paragraph" w:customStyle="1" w:styleId="147">
    <w:name w:val="Char Char Char Char Char Char Char"/>
    <w:basedOn w:val="18"/>
    <w:qFormat/>
    <w:uiPriority w:val="99"/>
    <w:pPr>
      <w:shd w:val="clear" w:color="auto" w:fill="000080"/>
    </w:pPr>
    <w:rPr>
      <w:rFonts w:ascii="Tahoma" w:hAnsi="Tahoma"/>
      <w:sz w:val="24"/>
      <w:szCs w:val="24"/>
    </w:rPr>
  </w:style>
  <w:style w:type="paragraph" w:customStyle="1" w:styleId="148">
    <w:name w:val="Char11"/>
    <w:basedOn w:val="1"/>
    <w:qFormat/>
    <w:uiPriority w:val="99"/>
    <w:pPr>
      <w:tabs>
        <w:tab w:val="left" w:pos="432"/>
      </w:tabs>
      <w:ind w:left="432" w:hanging="432"/>
    </w:pPr>
    <w:rPr>
      <w:sz w:val="24"/>
    </w:rPr>
  </w:style>
  <w:style w:type="paragraph" w:customStyle="1" w:styleId="149">
    <w:name w:val="样式 文档正文 + 非加粗 无下划线"/>
    <w:basedOn w:val="1"/>
    <w:link w:val="150"/>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0">
    <w:name w:val="样式 文档正文 + 非加粗 无下划线 Char"/>
    <w:link w:val="149"/>
    <w:qFormat/>
    <w:locked/>
    <w:uiPriority w:val="99"/>
    <w:rPr>
      <w:rFonts w:ascii="宋体" w:eastAsia="宋体"/>
      <w:spacing w:val="4"/>
      <w:sz w:val="24"/>
    </w:rPr>
  </w:style>
  <w:style w:type="paragraph" w:customStyle="1" w:styleId="151">
    <w:name w:val="Char Char Char Char Char Char"/>
    <w:basedOn w:val="18"/>
    <w:qFormat/>
    <w:uiPriority w:val="99"/>
    <w:pPr>
      <w:shd w:val="clear" w:color="auto" w:fill="000080"/>
    </w:pPr>
    <w:rPr>
      <w:rFonts w:ascii="Tahoma" w:hAnsi="Tahoma"/>
      <w:sz w:val="24"/>
      <w:szCs w:val="24"/>
    </w:rPr>
  </w:style>
  <w:style w:type="paragraph" w:customStyle="1" w:styleId="152">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3">
    <w:name w:val="目录"/>
    <w:basedOn w:val="1"/>
    <w:next w:val="126"/>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4">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5">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6">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57">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58">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59">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0">
    <w:name w:val="3"/>
    <w:basedOn w:val="1"/>
    <w:next w:val="45"/>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1">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2">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3">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4">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5">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6">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67">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6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6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2">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3">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4">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5">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6">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77">
    <w:name w:val="副标题 Char1"/>
    <w:basedOn w:val="56"/>
    <w:qFormat/>
    <w:uiPriority w:val="99"/>
    <w:rPr>
      <w:rFonts w:ascii="Cambria" w:hAnsi="Cambria" w:cs="Times New Roman"/>
      <w:b/>
      <w:bCs/>
      <w:kern w:val="28"/>
      <w:sz w:val="32"/>
      <w:szCs w:val="32"/>
    </w:rPr>
  </w:style>
  <w:style w:type="paragraph" w:customStyle="1" w:styleId="178">
    <w:name w:val="No Spacing1"/>
    <w:basedOn w:val="1"/>
    <w:qFormat/>
    <w:uiPriority w:val="99"/>
    <w:pPr>
      <w:widowControl/>
      <w:jc w:val="left"/>
    </w:pPr>
    <w:rPr>
      <w:rFonts w:ascii="Calibri" w:hAnsi="Calibri"/>
      <w:kern w:val="0"/>
      <w:sz w:val="24"/>
      <w:szCs w:val="32"/>
      <w:lang w:eastAsia="en-US"/>
    </w:rPr>
  </w:style>
  <w:style w:type="paragraph" w:customStyle="1" w:styleId="179">
    <w:name w:val="Quote1"/>
    <w:basedOn w:val="1"/>
    <w:next w:val="1"/>
    <w:link w:val="180"/>
    <w:qFormat/>
    <w:uiPriority w:val="99"/>
    <w:pPr>
      <w:widowControl/>
      <w:jc w:val="left"/>
    </w:pPr>
    <w:rPr>
      <w:rFonts w:ascii="Calibri" w:hAnsi="Calibri"/>
      <w:i/>
      <w:kern w:val="0"/>
      <w:sz w:val="24"/>
      <w:lang w:eastAsia="en-US"/>
    </w:rPr>
  </w:style>
  <w:style w:type="character" w:customStyle="1" w:styleId="180">
    <w:name w:val="引用 字符"/>
    <w:basedOn w:val="56"/>
    <w:link w:val="179"/>
    <w:qFormat/>
    <w:locked/>
    <w:uiPriority w:val="99"/>
    <w:rPr>
      <w:rFonts w:ascii="Calibri" w:hAnsi="Calibri" w:cs="Times New Roman"/>
      <w:i/>
      <w:sz w:val="24"/>
      <w:szCs w:val="24"/>
      <w:lang w:eastAsia="en-US"/>
    </w:rPr>
  </w:style>
  <w:style w:type="paragraph" w:customStyle="1" w:styleId="181">
    <w:name w:val="Intense Quote1"/>
    <w:basedOn w:val="1"/>
    <w:next w:val="1"/>
    <w:link w:val="182"/>
    <w:qFormat/>
    <w:uiPriority w:val="99"/>
    <w:pPr>
      <w:widowControl/>
      <w:ind w:left="720" w:right="720"/>
      <w:jc w:val="left"/>
    </w:pPr>
    <w:rPr>
      <w:rFonts w:ascii="Calibri" w:hAnsi="Calibri"/>
      <w:b/>
      <w:i/>
      <w:kern w:val="0"/>
      <w:sz w:val="24"/>
      <w:szCs w:val="22"/>
      <w:lang w:eastAsia="en-US"/>
    </w:rPr>
  </w:style>
  <w:style w:type="character" w:customStyle="1" w:styleId="182">
    <w:name w:val="明显引用 字符"/>
    <w:basedOn w:val="56"/>
    <w:link w:val="181"/>
    <w:qFormat/>
    <w:locked/>
    <w:uiPriority w:val="99"/>
    <w:rPr>
      <w:rFonts w:ascii="Calibri" w:hAnsi="Calibri" w:cs="Times New Roman"/>
      <w:b/>
      <w:i/>
      <w:sz w:val="22"/>
      <w:szCs w:val="22"/>
      <w:lang w:eastAsia="en-US"/>
    </w:rPr>
  </w:style>
  <w:style w:type="character" w:customStyle="1" w:styleId="183">
    <w:name w:val="Subtle Emphasis1"/>
    <w:qFormat/>
    <w:uiPriority w:val="99"/>
    <w:rPr>
      <w:i/>
      <w:color w:val="5A5A5A"/>
    </w:rPr>
  </w:style>
  <w:style w:type="character" w:customStyle="1" w:styleId="184">
    <w:name w:val="Intense Emphasis1"/>
    <w:qFormat/>
    <w:uiPriority w:val="99"/>
    <w:rPr>
      <w:rFonts w:ascii="Tahoma" w:hAnsi="Tahoma" w:eastAsia="宋体"/>
      <w:b/>
      <w:i/>
      <w:kern w:val="2"/>
      <w:sz w:val="24"/>
      <w:u w:val="single"/>
      <w:lang w:val="en-US" w:eastAsia="zh-CN"/>
    </w:rPr>
  </w:style>
  <w:style w:type="character" w:customStyle="1" w:styleId="185">
    <w:name w:val="Subtle Reference1"/>
    <w:qFormat/>
    <w:uiPriority w:val="99"/>
    <w:rPr>
      <w:rFonts w:ascii="Tahoma" w:hAnsi="Tahoma" w:eastAsia="宋体"/>
      <w:kern w:val="2"/>
      <w:sz w:val="24"/>
      <w:u w:val="single"/>
      <w:lang w:val="en-US" w:eastAsia="zh-CN"/>
    </w:rPr>
  </w:style>
  <w:style w:type="character" w:customStyle="1" w:styleId="186">
    <w:name w:val="Intense Reference1"/>
    <w:qFormat/>
    <w:uiPriority w:val="99"/>
    <w:rPr>
      <w:rFonts w:ascii="Tahoma" w:hAnsi="Tahoma" w:eastAsia="宋体"/>
      <w:b/>
      <w:kern w:val="2"/>
      <w:sz w:val="24"/>
      <w:u w:val="single"/>
      <w:lang w:val="en-US" w:eastAsia="zh-CN"/>
    </w:rPr>
  </w:style>
  <w:style w:type="character" w:customStyle="1" w:styleId="187">
    <w:name w:val="Book Title1"/>
    <w:qFormat/>
    <w:uiPriority w:val="99"/>
    <w:rPr>
      <w:rFonts w:ascii="Cambria" w:hAnsi="Cambria" w:eastAsia="宋体"/>
      <w:b/>
      <w:i/>
      <w:kern w:val="2"/>
      <w:sz w:val="24"/>
      <w:lang w:val="en-US" w:eastAsia="zh-CN"/>
    </w:rPr>
  </w:style>
  <w:style w:type="paragraph" w:customStyle="1" w:styleId="188">
    <w:name w:val="纯文本1"/>
    <w:basedOn w:val="1"/>
    <w:qFormat/>
    <w:uiPriority w:val="99"/>
    <w:pPr>
      <w:adjustRightInd w:val="0"/>
      <w:textAlignment w:val="baseline"/>
    </w:pPr>
    <w:rPr>
      <w:rFonts w:ascii="宋体" w:hAnsi="Courier New"/>
      <w:szCs w:val="20"/>
    </w:rPr>
  </w:style>
  <w:style w:type="paragraph" w:customStyle="1" w:styleId="189">
    <w:name w:val="默认段落字体 Para Char Char Char Char Char Char Char Char Char Char Char Char1 Char"/>
    <w:basedOn w:val="18"/>
    <w:qFormat/>
    <w:uiPriority w:val="99"/>
    <w:pPr>
      <w:adjustRightInd w:val="0"/>
      <w:spacing w:line="436" w:lineRule="exact"/>
      <w:ind w:left="357"/>
      <w:jc w:val="left"/>
      <w:outlineLvl w:val="3"/>
    </w:pPr>
    <w:rPr>
      <w:rFonts w:ascii="Tahoma" w:hAnsi="Tahoma"/>
      <w:b/>
      <w:sz w:val="24"/>
      <w:szCs w:val="24"/>
    </w:rPr>
  </w:style>
  <w:style w:type="paragraph" w:customStyle="1" w:styleId="190">
    <w:name w:val="正文表标题"/>
    <w:next w:val="158"/>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1">
    <w:name w:val="apple-converted-space"/>
    <w:qFormat/>
    <w:uiPriority w:val="99"/>
  </w:style>
  <w:style w:type="paragraph" w:customStyle="1" w:styleId="192">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3">
    <w:name w:val="注："/>
    <w:next w:val="158"/>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4">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5">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6">
    <w:name w:val="章标题"/>
    <w:next w:val="158"/>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97">
    <w:name w:val="一级条标题"/>
    <w:basedOn w:val="196"/>
    <w:next w:val="158"/>
    <w:qFormat/>
    <w:uiPriority w:val="99"/>
    <w:pPr>
      <w:numPr>
        <w:ilvl w:val="2"/>
      </w:numPr>
      <w:tabs>
        <w:tab w:val="left" w:pos="425"/>
      </w:tabs>
      <w:spacing w:beforeLines="0" w:afterLines="0"/>
      <w:ind w:left="425" w:hanging="425"/>
      <w:outlineLvl w:val="2"/>
    </w:pPr>
  </w:style>
  <w:style w:type="paragraph" w:customStyle="1" w:styleId="198">
    <w:name w:val="二级条标题"/>
    <w:basedOn w:val="197"/>
    <w:next w:val="158"/>
    <w:qFormat/>
    <w:uiPriority w:val="99"/>
    <w:pPr>
      <w:numPr>
        <w:ilvl w:val="3"/>
      </w:numPr>
      <w:outlineLvl w:val="3"/>
    </w:pPr>
  </w:style>
  <w:style w:type="paragraph" w:customStyle="1" w:styleId="199">
    <w:name w:val="三级条标题"/>
    <w:basedOn w:val="198"/>
    <w:next w:val="158"/>
    <w:qFormat/>
    <w:uiPriority w:val="99"/>
    <w:pPr>
      <w:numPr>
        <w:ilvl w:val="4"/>
      </w:numPr>
      <w:outlineLvl w:val="4"/>
    </w:pPr>
  </w:style>
  <w:style w:type="paragraph" w:customStyle="1" w:styleId="200">
    <w:name w:val="四级条标题"/>
    <w:basedOn w:val="199"/>
    <w:next w:val="158"/>
    <w:qFormat/>
    <w:uiPriority w:val="99"/>
    <w:pPr>
      <w:numPr>
        <w:ilvl w:val="5"/>
      </w:numPr>
      <w:outlineLvl w:val="5"/>
    </w:pPr>
  </w:style>
  <w:style w:type="paragraph" w:customStyle="1" w:styleId="201">
    <w:name w:val="五级条标题"/>
    <w:basedOn w:val="200"/>
    <w:next w:val="158"/>
    <w:qFormat/>
    <w:uiPriority w:val="99"/>
    <w:pPr>
      <w:numPr>
        <w:ilvl w:val="6"/>
      </w:numPr>
      <w:outlineLvl w:val="6"/>
    </w:pPr>
  </w:style>
  <w:style w:type="character" w:customStyle="1" w:styleId="202">
    <w:name w:val="f141"/>
    <w:qFormat/>
    <w:uiPriority w:val="99"/>
    <w:rPr>
      <w:sz w:val="21"/>
    </w:rPr>
  </w:style>
  <w:style w:type="character" w:customStyle="1" w:styleId="203">
    <w:name w:val="unnamed11"/>
    <w:qFormat/>
    <w:uiPriority w:val="99"/>
  </w:style>
  <w:style w:type="paragraph" w:customStyle="1" w:styleId="204">
    <w:name w:val="报告正文"/>
    <w:basedOn w:val="1"/>
    <w:link w:val="205"/>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5">
    <w:name w:val="报告正文 Char"/>
    <w:link w:val="204"/>
    <w:qFormat/>
    <w:locked/>
    <w:uiPriority w:val="99"/>
    <w:rPr>
      <w:sz w:val="24"/>
    </w:rPr>
  </w:style>
  <w:style w:type="paragraph" w:customStyle="1" w:styleId="206">
    <w:name w:val="表格文本"/>
    <w:basedOn w:val="1"/>
    <w:qFormat/>
    <w:uiPriority w:val="99"/>
    <w:pPr>
      <w:tabs>
        <w:tab w:val="decimal" w:pos="0"/>
      </w:tabs>
      <w:autoSpaceDE w:val="0"/>
      <w:autoSpaceDN w:val="0"/>
      <w:adjustRightInd w:val="0"/>
      <w:jc w:val="left"/>
    </w:pPr>
    <w:rPr>
      <w:kern w:val="0"/>
      <w:szCs w:val="21"/>
    </w:rPr>
  </w:style>
  <w:style w:type="paragraph" w:customStyle="1" w:styleId="207">
    <w:name w:val="样式1"/>
    <w:basedOn w:val="1"/>
    <w:link w:val="208"/>
    <w:qFormat/>
    <w:uiPriority w:val="99"/>
    <w:pPr>
      <w:spacing w:line="360" w:lineRule="auto"/>
      <w:ind w:firstLine="480" w:firstLineChars="200"/>
      <w:jc w:val="left"/>
    </w:pPr>
    <w:rPr>
      <w:rFonts w:ascii="宋体" w:hAnsi="宋体"/>
      <w:sz w:val="24"/>
    </w:rPr>
  </w:style>
  <w:style w:type="character" w:customStyle="1" w:styleId="208">
    <w:name w:val="样式1 Char"/>
    <w:link w:val="207"/>
    <w:qFormat/>
    <w:locked/>
    <w:uiPriority w:val="99"/>
    <w:rPr>
      <w:rFonts w:ascii="宋体" w:eastAsia="宋体"/>
      <w:kern w:val="2"/>
      <w:sz w:val="24"/>
    </w:rPr>
  </w:style>
  <w:style w:type="character" w:customStyle="1" w:styleId="209">
    <w:name w:val="lemmatitleh1"/>
    <w:basedOn w:val="56"/>
    <w:qFormat/>
    <w:uiPriority w:val="99"/>
    <w:rPr>
      <w:rFonts w:cs="Times New Roman"/>
    </w:rPr>
  </w:style>
  <w:style w:type="character" w:customStyle="1" w:styleId="210">
    <w:name w:val="blue1"/>
    <w:qFormat/>
    <w:uiPriority w:val="99"/>
    <w:rPr>
      <w:color w:val="72544C"/>
    </w:rPr>
  </w:style>
  <w:style w:type="character" w:customStyle="1" w:styleId="211">
    <w:name w:val="Char Char8"/>
    <w:qFormat/>
    <w:uiPriority w:val="99"/>
    <w:rPr>
      <w:rFonts w:ascii="Arial" w:hAnsi="Arial" w:eastAsia="黑体"/>
      <w:b/>
      <w:kern w:val="2"/>
      <w:sz w:val="32"/>
      <w:lang w:val="en-US" w:eastAsia="zh-CN"/>
    </w:rPr>
  </w:style>
  <w:style w:type="character" w:customStyle="1" w:styleId="212">
    <w:name w:val="font161"/>
    <w:qFormat/>
    <w:uiPriority w:val="99"/>
    <w:rPr>
      <w:b/>
      <w:sz w:val="32"/>
    </w:rPr>
  </w:style>
  <w:style w:type="character" w:customStyle="1" w:styleId="213">
    <w:name w:val="Char Char7"/>
    <w:qFormat/>
    <w:uiPriority w:val="99"/>
    <w:rPr>
      <w:rFonts w:ascii="Arial" w:hAnsi="Arial" w:eastAsia="黑体"/>
      <w:b/>
      <w:kern w:val="2"/>
      <w:sz w:val="32"/>
      <w:lang w:val="en-US" w:eastAsia="zh-CN"/>
    </w:rPr>
  </w:style>
  <w:style w:type="paragraph" w:customStyle="1" w:styleId="214">
    <w:name w:val="样式4"/>
    <w:basedOn w:val="7"/>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5">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6">
    <w:name w:val="样式 标题 1 + 黑体 三号 非加粗 居中 段前: 6 磅 段后: 6 磅 行距: 固定值 20 磅"/>
    <w:basedOn w:val="3"/>
    <w:qFormat/>
    <w:uiPriority w:val="99"/>
    <w:pPr>
      <w:spacing w:before="120" w:after="120" w:line="400" w:lineRule="exact"/>
    </w:pPr>
    <w:rPr>
      <w:rFonts w:ascii="黑体" w:hAnsi="黑体" w:cs="宋体"/>
      <w:bCs w:val="0"/>
      <w:sz w:val="32"/>
      <w:szCs w:val="20"/>
    </w:rPr>
  </w:style>
  <w:style w:type="paragraph" w:customStyle="1" w:styleId="217">
    <w:name w:val="样式2"/>
    <w:basedOn w:val="7"/>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样式 标题 3 + (中文) 黑体 小四 非加粗 段前: 7.8 磅 段后: 0 磅 行距: 固定值 20 磅"/>
    <w:basedOn w:val="7"/>
    <w:qFormat/>
    <w:uiPriority w:val="99"/>
    <w:pPr>
      <w:autoSpaceDE/>
      <w:autoSpaceDN/>
      <w:adjustRightInd/>
      <w:spacing w:before="0" w:after="0" w:line="400" w:lineRule="exact"/>
    </w:pPr>
    <w:rPr>
      <w:rFonts w:ascii="Times New Roman" w:cs="宋体"/>
      <w:kern w:val="2"/>
      <w:sz w:val="24"/>
    </w:rPr>
  </w:style>
  <w:style w:type="paragraph" w:customStyle="1" w:styleId="219">
    <w:name w:val="样式3"/>
    <w:basedOn w:val="7"/>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0">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Cs w:val="0"/>
      <w:szCs w:val="20"/>
    </w:rPr>
  </w:style>
  <w:style w:type="paragraph" w:customStyle="1" w:styleId="221">
    <w:name w:val="表格文字"/>
    <w:basedOn w:val="1"/>
    <w:qFormat/>
    <w:uiPriority w:val="99"/>
    <w:pPr>
      <w:adjustRightInd w:val="0"/>
      <w:spacing w:line="420" w:lineRule="atLeast"/>
      <w:jc w:val="left"/>
      <w:textAlignment w:val="baseline"/>
    </w:pPr>
    <w:rPr>
      <w:kern w:val="0"/>
      <w:szCs w:val="20"/>
    </w:rPr>
  </w:style>
  <w:style w:type="paragraph" w:customStyle="1" w:styleId="222">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3">
    <w:name w:val="正文文本缩进 Char1"/>
    <w:qFormat/>
    <w:locked/>
    <w:uiPriority w:val="99"/>
    <w:rPr>
      <w:rFonts w:ascii="楷体_GB2312" w:eastAsia="楷体_GB2312"/>
      <w:sz w:val="28"/>
    </w:rPr>
  </w:style>
  <w:style w:type="paragraph" w:customStyle="1" w:styleId="224">
    <w:name w:val="TOC 标题2"/>
    <w:basedOn w:val="3"/>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5">
    <w:name w:val="列出段落2"/>
    <w:basedOn w:val="1"/>
    <w:qFormat/>
    <w:uiPriority w:val="99"/>
    <w:pPr>
      <w:ind w:firstLine="420" w:firstLineChars="200"/>
    </w:pPr>
    <w:rPr>
      <w:szCs w:val="20"/>
    </w:rPr>
  </w:style>
  <w:style w:type="character" w:customStyle="1" w:styleId="226">
    <w:name w:val="正文文本 Char1"/>
    <w:qFormat/>
    <w:uiPriority w:val="99"/>
    <w:rPr>
      <w:kern w:val="2"/>
      <w:sz w:val="28"/>
    </w:rPr>
  </w:style>
  <w:style w:type="paragraph" w:customStyle="1" w:styleId="227">
    <w:name w:val="标准"/>
    <w:basedOn w:val="1"/>
    <w:qFormat/>
    <w:uiPriority w:val="99"/>
    <w:pPr>
      <w:adjustRightInd w:val="0"/>
      <w:spacing w:line="360" w:lineRule="auto"/>
      <w:jc w:val="center"/>
      <w:textAlignment w:val="baseline"/>
    </w:pPr>
    <w:rPr>
      <w:kern w:val="0"/>
      <w:szCs w:val="20"/>
    </w:rPr>
  </w:style>
  <w:style w:type="paragraph" w:customStyle="1" w:styleId="228">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29">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0">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1">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2">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4">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5">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6">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38">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39">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0">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1">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2">
    <w:name w:val="正文小4号字"/>
    <w:basedOn w:val="1"/>
    <w:qFormat/>
    <w:uiPriority w:val="99"/>
    <w:pPr>
      <w:spacing w:line="400" w:lineRule="exact"/>
      <w:ind w:firstLine="500" w:firstLineChars="200"/>
    </w:pPr>
    <w:rPr>
      <w:spacing w:val="5"/>
      <w:sz w:val="24"/>
      <w:szCs w:val="20"/>
    </w:rPr>
  </w:style>
  <w:style w:type="paragraph" w:customStyle="1" w:styleId="243">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5">
    <w:name w:val="正文首行缩进两字符"/>
    <w:basedOn w:val="1"/>
    <w:qFormat/>
    <w:uiPriority w:val="99"/>
    <w:pPr>
      <w:spacing w:line="360" w:lineRule="auto"/>
      <w:ind w:firstLine="200" w:firstLineChars="200"/>
    </w:pPr>
  </w:style>
  <w:style w:type="character" w:customStyle="1" w:styleId="246">
    <w:name w:val="Normal (Web) Char"/>
    <w:link w:val="48"/>
    <w:qFormat/>
    <w:locked/>
    <w:uiPriority w:val="99"/>
    <w:rPr>
      <w:rFonts w:ascii="宋体" w:eastAsia="宋体"/>
      <w:sz w:val="24"/>
    </w:rPr>
  </w:style>
  <w:style w:type="character" w:customStyle="1" w:styleId="247">
    <w:name w:val="纯文本 Char1"/>
    <w:semiHidden/>
    <w:qFormat/>
    <w:uiPriority w:val="99"/>
    <w:rPr>
      <w:rFonts w:ascii="宋体" w:hAnsi="Courier New"/>
      <w:kern w:val="1"/>
      <w:sz w:val="21"/>
      <w:lang w:eastAsia="ar-SA" w:bidi="ar-SA"/>
    </w:rPr>
  </w:style>
  <w:style w:type="paragraph" w:customStyle="1" w:styleId="248">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49">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0">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1">
    <w:name w:val="_Style 3"/>
    <w:basedOn w:val="1"/>
    <w:qFormat/>
    <w:uiPriority w:val="99"/>
    <w:pPr>
      <w:ind w:firstLine="420" w:firstLineChars="200"/>
    </w:pPr>
    <w:rPr>
      <w:szCs w:val="20"/>
    </w:rPr>
  </w:style>
  <w:style w:type="paragraph" w:customStyle="1" w:styleId="252">
    <w:name w:val="#1.1 一级无标题条文"/>
    <w:basedOn w:val="4"/>
    <w:qFormat/>
    <w:uiPriority w:val="99"/>
    <w:pPr>
      <w:widowControl/>
      <w:spacing w:before="0" w:after="0" w:line="360" w:lineRule="auto"/>
      <w:jc w:val="left"/>
    </w:pPr>
    <w:rPr>
      <w:rFonts w:ascii="宋体" w:hAnsi="Cambria" w:eastAsia="宋体"/>
      <w:sz w:val="24"/>
    </w:rPr>
  </w:style>
  <w:style w:type="paragraph" w:customStyle="1" w:styleId="253">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4">
    <w:name w:val="CD正文"/>
    <w:basedOn w:val="1"/>
    <w:qFormat/>
    <w:uiPriority w:val="99"/>
    <w:pPr>
      <w:widowControl/>
      <w:spacing w:line="360" w:lineRule="auto"/>
      <w:ind w:firstLine="493"/>
      <w:jc w:val="left"/>
    </w:pPr>
    <w:rPr>
      <w:kern w:val="0"/>
      <w:sz w:val="30"/>
      <w:szCs w:val="28"/>
    </w:rPr>
  </w:style>
  <w:style w:type="paragraph" w:styleId="255">
    <w:name w:val="List Paragraph"/>
    <w:basedOn w:val="1"/>
    <w:qFormat/>
    <w:uiPriority w:val="34"/>
    <w:pPr>
      <w:ind w:firstLine="420" w:firstLineChars="200"/>
    </w:pPr>
    <w:rPr>
      <w:rFonts w:ascii="Times New Roman" w:hAnsi="Times New Roman"/>
      <w:kern w:val="2"/>
      <w:sz w:val="28"/>
    </w:rPr>
  </w:style>
  <w:style w:type="paragraph" w:customStyle="1" w:styleId="256">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57">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58">
    <w:name w:val="_Style 74"/>
    <w:basedOn w:val="1"/>
    <w:next w:val="255"/>
    <w:qFormat/>
    <w:uiPriority w:val="0"/>
    <w:pPr>
      <w:ind w:firstLine="420" w:firstLineChars="200"/>
    </w:pPr>
  </w:style>
  <w:style w:type="character" w:customStyle="1" w:styleId="259">
    <w:name w:val="fontstyle01"/>
    <w:basedOn w:val="56"/>
    <w:qFormat/>
    <w:uiPriority w:val="0"/>
    <w:rPr>
      <w:rFonts w:hint="eastAsia" w:ascii="宋体" w:hAnsi="宋体" w:eastAsia="宋体"/>
      <w:color w:val="000000"/>
      <w:sz w:val="22"/>
      <w:szCs w:val="22"/>
    </w:rPr>
  </w:style>
  <w:style w:type="paragraph" w:customStyle="1" w:styleId="260">
    <w:name w:val="_Style 2"/>
    <w:basedOn w:val="1"/>
    <w:qFormat/>
    <w:uiPriority w:val="0"/>
    <w:pPr>
      <w:spacing w:line="360" w:lineRule="auto"/>
      <w:ind w:firstLine="420" w:firstLineChars="200"/>
    </w:pPr>
    <w:rPr>
      <w:rFonts w:ascii="新宋体" w:hAnsi="新宋体" w:cs="Times New Roman (正文 CS 字体)"/>
      <w:kern w:val="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15</Pages>
  <Words>6254</Words>
  <Characters>6420</Characters>
  <Lines>0</Lines>
  <Paragraphs>0</Paragraphs>
  <TotalTime>8</TotalTime>
  <ScaleCrop>false</ScaleCrop>
  <LinksUpToDate>false</LinksUpToDate>
  <CharactersWithSpaces>6536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请叫我小郭</cp:lastModifiedBy>
  <cp:lastPrinted>2023-01-09T02:09:00Z</cp:lastPrinted>
  <dcterms:modified xsi:type="dcterms:W3CDTF">2023-03-23T07:15:22Z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F7663A4424A2436DABEC4C8D93A1270A</vt:lpwstr>
  </property>
</Properties>
</file>