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58240;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A0BNtQAAAAGAQAADwAAAAAAAAABACAAAAAiAAAAZHJzL2Rvd25yZXYueG1sUEsBAhQAFAAAAAgA&#10;h07iQInjL/K3AQAAYgMAAA4AAAAAAAAAAQAgAAAAIwEAAGRycy9lMm9Eb2MueG1sUEsFBgAAAAAG&#10;AAYAWQEAAEw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7216;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Eck&#10;pNMAAAAIAQAADwAAAAAAAAABACAAAAAiAAAAZHJzL2Rvd25yZXYueG1sUEsBAhQAFAAAAAgAh07i&#10;QByxJ5u1AQAAYwMAAA4AAAAAAAAAAQAgAAAAIgEAAGRycy9lMm9Eb2MueG1sUEsFBgAAAAAGAAYA&#10;WQEAAEkFAAAAAA==&#10;">
                <v:fill on="f" focussize="0,0"/>
                <v:stroke weight="3pt" color="#000000" joinstyle="round"/>
                <v:imagedata o:title=""/>
                <o:lock v:ext="edit" aspectratio="f"/>
              </v:line>
            </w:pict>
          </mc:Fallback>
        </mc:AlternateContent>
      </w:r>
    </w:p>
    <w:p>
      <w:pPr>
        <w:widowControl/>
        <w:spacing w:line="480" w:lineRule="exact"/>
        <w:jc w:val="center"/>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14:textFill>
            <w14:solidFill>
              <w14:schemeClr w14:val="tx1"/>
            </w14:solidFill>
          </w14:textFill>
        </w:rPr>
        <w:t>网络安全监测服务项目</w:t>
      </w:r>
    </w:p>
    <w:p>
      <w:pPr>
        <w:spacing w:line="480" w:lineRule="exact"/>
        <w:jc w:val="center"/>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58240;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2i4c9UAAAAIAQAADwAAAAAAAAABACAAAAAiAAAAZHJzL2Rvd25yZXYueG1sUEsBAhQA&#10;FAAAAAgAh07iQEDcXEi8AQAAbgMAAA4AAAAAAAAAAQAgAAAAJAEAAGRycy9lMm9Eb2MueG1sUEsF&#10;BgAAAAAGAAYAWQEAAFIFAAAAAA==&#10;">
                <v:fill on="f" focussize="0,0"/>
                <v:stroke weight="3pt" color="#000000" joinstyle="round"/>
                <v:imagedata o:title=""/>
                <o:lock v:ext="edit" aspectratio="f"/>
              </v:line>
            </w:pict>
          </mc:Fallback>
        </mc:AlternateContent>
      </w:r>
    </w:p>
    <w:p>
      <w:pPr>
        <w:spacing w:after="120" w:line="620" w:lineRule="exact"/>
        <w:jc w:val="center"/>
        <w:rPr>
          <w:rFonts w:ascii="华文细黑" w:hAnsi="华文细黑" w:eastAsia="华文细黑"/>
          <w:b/>
          <w:color w:val="000000" w:themeColor="text1"/>
          <w:sz w:val="52"/>
          <w:szCs w:val="36"/>
          <w14:textFill>
            <w14:solidFill>
              <w14:schemeClr w14:val="tx1"/>
            </w14:solidFill>
          </w14:textFill>
        </w:rPr>
      </w:pPr>
    </w:p>
    <w:p>
      <w:pPr>
        <w:spacing w:after="120" w:line="620" w:lineRule="exact"/>
        <w:jc w:val="center"/>
        <w:rPr>
          <w:rFonts w:ascii="华文细黑" w:hAnsi="华文细黑" w:eastAsia="华文细黑"/>
          <w:b/>
          <w:color w:val="000000" w:themeColor="text1"/>
          <w:sz w:val="52"/>
          <w:szCs w:val="36"/>
          <w14:textFill>
            <w14:solidFill>
              <w14:schemeClr w14:val="tx1"/>
            </w14:solidFill>
          </w14:textFill>
        </w:rPr>
      </w:pPr>
    </w:p>
    <w:p>
      <w:pPr>
        <w:spacing w:after="120" w:line="620" w:lineRule="exact"/>
        <w:jc w:val="center"/>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招</w:t>
      </w:r>
    </w:p>
    <w:p>
      <w:pPr>
        <w:spacing w:after="120" w:line="620" w:lineRule="exact"/>
        <w:jc w:val="center"/>
        <w:rPr>
          <w:rFonts w:ascii="华文细黑" w:hAnsi="华文细黑" w:eastAsia="华文细黑"/>
          <w:b/>
          <w:color w:val="000000" w:themeColor="text1"/>
          <w:sz w:val="52"/>
          <w:szCs w:val="36"/>
          <w14:textFill>
            <w14:solidFill>
              <w14:schemeClr w14:val="tx1"/>
            </w14:solidFill>
          </w14:textFill>
        </w:rPr>
      </w:pPr>
    </w:p>
    <w:p>
      <w:pPr>
        <w:spacing w:after="120" w:line="620" w:lineRule="exact"/>
        <w:jc w:val="center"/>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标</w:t>
      </w:r>
      <w:bookmarkStart w:id="77" w:name="_GoBack"/>
      <w:bookmarkEnd w:id="77"/>
    </w:p>
    <w:p>
      <w:pPr>
        <w:rPr>
          <w:rFonts w:hint="eastAsia"/>
          <w:color w:val="000000" w:themeColor="text1"/>
          <w:lang w:eastAsia="zh-CN"/>
          <w14:textFill>
            <w14:solidFill>
              <w14:schemeClr w14:val="tx1"/>
            </w14:solidFill>
          </w14:textFill>
        </w:rPr>
      </w:pPr>
    </w:p>
    <w:p>
      <w:pPr>
        <w:spacing w:after="120" w:line="620" w:lineRule="exact"/>
        <w:jc w:val="center"/>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spacing w:after="120" w:line="620" w:lineRule="exact"/>
        <w:jc w:val="center"/>
        <w:rPr>
          <w:rFonts w:ascii="华文细黑" w:hAnsi="华文细黑" w:eastAsia="华文细黑"/>
          <w:b/>
          <w:color w:val="000000" w:themeColor="text1"/>
          <w:sz w:val="52"/>
          <w:szCs w:val="36"/>
          <w14:textFill>
            <w14:solidFill>
              <w14:schemeClr w14:val="tx1"/>
            </w14:solidFill>
          </w14:textFill>
        </w:rPr>
      </w:pPr>
    </w:p>
    <w:p>
      <w:pPr>
        <w:spacing w:after="120" w:line="620" w:lineRule="exact"/>
        <w:jc w:val="center"/>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spacing w:after="120" w:line="480" w:lineRule="exact"/>
        <w:jc w:val="center"/>
        <w:rPr>
          <w:rFonts w:ascii="华文细黑" w:hAnsi="华文细黑" w:eastAsia="华文细黑"/>
          <w:b/>
          <w:color w:val="000000" w:themeColor="text1"/>
          <w:sz w:val="32"/>
          <w:szCs w:val="32"/>
          <w14:textFill>
            <w14:solidFill>
              <w14:schemeClr w14:val="tx1"/>
            </w14:solidFill>
          </w14:textFill>
        </w:rPr>
      </w:pPr>
    </w:p>
    <w:p>
      <w:pPr>
        <w:spacing w:after="120" w:line="480" w:lineRule="exact"/>
        <w:jc w:val="center"/>
        <w:rPr>
          <w:rFonts w:ascii="华文细黑" w:hAnsi="华文细黑" w:eastAsia="华文细黑"/>
          <w:b/>
          <w:color w:val="000000" w:themeColor="text1"/>
          <w:sz w:val="32"/>
          <w:szCs w:val="32"/>
          <w14:textFill>
            <w14:solidFill>
              <w14:schemeClr w14:val="tx1"/>
            </w14:solidFill>
          </w14:textFill>
        </w:rPr>
      </w:pPr>
    </w:p>
    <w:p>
      <w:pPr>
        <w:spacing w:after="120" w:line="480" w:lineRule="exact"/>
        <w:jc w:val="center"/>
        <w:rPr>
          <w:rFonts w:ascii="华文细黑" w:hAnsi="华文细黑" w:eastAsia="华文细黑"/>
          <w:b/>
          <w:color w:val="000000" w:themeColor="text1"/>
          <w:sz w:val="32"/>
          <w:szCs w:val="32"/>
          <w14:textFill>
            <w14:solidFill>
              <w14:schemeClr w14:val="tx1"/>
            </w14:solidFill>
          </w14:textFill>
        </w:rPr>
      </w:pPr>
    </w:p>
    <w:p>
      <w:pPr>
        <w:spacing w:after="120" w:line="480" w:lineRule="exact"/>
        <w:jc w:val="center"/>
        <w:rPr>
          <w:rFonts w:ascii="华文细黑" w:hAnsi="华文细黑" w:eastAsia="华文细黑"/>
          <w:b/>
          <w:color w:val="000000" w:themeColor="text1"/>
          <w:sz w:val="32"/>
          <w:szCs w:val="32"/>
          <w14:textFill>
            <w14:solidFill>
              <w14:schemeClr w14:val="tx1"/>
            </w14:solidFill>
          </w14:textFill>
        </w:rPr>
      </w:pPr>
    </w:p>
    <w:p>
      <w:pPr>
        <w:spacing w:after="120" w:line="480" w:lineRule="exact"/>
        <w:jc w:val="center"/>
        <w:rPr>
          <w:rFonts w:ascii="华文细黑" w:hAnsi="华文细黑" w:eastAsia="华文细黑"/>
          <w:b/>
          <w:color w:val="000000" w:themeColor="text1"/>
          <w:sz w:val="32"/>
          <w:szCs w:val="32"/>
          <w14:textFill>
            <w14:solidFill>
              <w14:schemeClr w14:val="tx1"/>
            </w14:solidFill>
          </w14:textFill>
        </w:rPr>
      </w:pPr>
    </w:p>
    <w:p>
      <w:pPr>
        <w:spacing w:after="120" w:line="480" w:lineRule="exact"/>
        <w:jc w:val="center"/>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四川省政务服务和公共资源交易服务中心</w:t>
      </w:r>
    </w:p>
    <w:p>
      <w:pPr>
        <w:spacing w:after="120" w:line="480" w:lineRule="exact"/>
        <w:jc w:val="center"/>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2020</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08</w:t>
      </w:r>
      <w:r>
        <w:rPr>
          <w:rFonts w:hint="eastAsia" w:ascii="华文细黑" w:hAnsi="华文细黑" w:eastAsia="华文细黑"/>
          <w:b/>
          <w:color w:val="000000" w:themeColor="text1"/>
          <w:sz w:val="32"/>
          <w14:textFill>
            <w14:solidFill>
              <w14:schemeClr w14:val="tx1"/>
            </w14:solidFill>
          </w14:textFill>
        </w:rPr>
        <w:t>月</w:t>
      </w:r>
    </w:p>
    <w:p>
      <w:pPr>
        <w:spacing w:after="120" w:line="480" w:lineRule="exact"/>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3"/>
        <w:spacing w:before="0" w:after="0" w:line="480" w:lineRule="exact"/>
        <w:rPr>
          <w:rFonts w:ascii="华文细黑" w:hAnsi="华文细黑" w:eastAsia="华文细黑"/>
          <w:b/>
          <w:color w:val="000000" w:themeColor="text1"/>
          <w:sz w:val="36"/>
          <w:szCs w:val="36"/>
          <w14:textFill>
            <w14:solidFill>
              <w14:schemeClr w14:val="tx1"/>
            </w14:solidFill>
          </w14:textFill>
        </w:rPr>
      </w:pPr>
      <w:bookmarkStart w:id="0" w:name="_Toc227057880"/>
      <w:bookmarkStart w:id="1" w:name="_Toc468808805"/>
      <w:bookmarkStart w:id="2" w:name="_Toc453691462"/>
      <w:bookmarkStart w:id="3" w:name="_Toc227057922"/>
      <w:bookmarkStart w:id="4" w:name="_Toc226969316"/>
      <w:bookmarkStart w:id="5" w:name="_Toc107822520"/>
      <w:r>
        <w:rPr>
          <w:rFonts w:hint="eastAsia" w:ascii="华文细黑" w:hAnsi="华文细黑" w:eastAsia="华文细黑"/>
          <w:b/>
          <w:color w:val="000000" w:themeColor="text1"/>
          <w:sz w:val="36"/>
          <w:szCs w:val="36"/>
          <w14:textFill>
            <w14:solidFill>
              <w14:schemeClr w14:val="tx1"/>
            </w14:solidFill>
          </w14:textFill>
        </w:rPr>
        <w:t>第一章</w:t>
      </w:r>
      <w:r>
        <w:rPr>
          <w:rFonts w:ascii="华文细黑" w:hAnsi="华文细黑" w:eastAsia="华文细黑"/>
          <w:b/>
          <w:color w:val="000000" w:themeColor="text1"/>
          <w:sz w:val="36"/>
          <w:szCs w:val="36"/>
          <w14:textFill>
            <w14:solidFill>
              <w14:schemeClr w14:val="tx1"/>
            </w14:solidFill>
          </w14:textFill>
        </w:rPr>
        <w:t xml:space="preserve">  </w:t>
      </w:r>
      <w:bookmarkEnd w:id="0"/>
      <w:bookmarkEnd w:id="1"/>
      <w:bookmarkEnd w:id="2"/>
      <w:bookmarkStart w:id="6" w:name="_Toc107822481"/>
      <w:bookmarkStart w:id="7" w:name="_Toc226969274"/>
      <w:bookmarkStart w:id="8" w:name="_Toc227057881"/>
      <w:r>
        <w:rPr>
          <w:rFonts w:hint="eastAsia" w:ascii="华文细黑" w:hAnsi="华文细黑" w:eastAsia="华文细黑"/>
          <w:b/>
          <w:color w:val="000000" w:themeColor="text1"/>
          <w:sz w:val="36"/>
          <w:szCs w:val="36"/>
          <w14:textFill>
            <w14:solidFill>
              <w14:schemeClr w14:val="tx1"/>
            </w14:solidFill>
          </w14:textFill>
        </w:rPr>
        <w:t>采购邀请函</w:t>
      </w:r>
    </w:p>
    <w:bookmarkEnd w:id="6"/>
    <w:bookmarkEnd w:id="7"/>
    <w:bookmarkEnd w:id="8"/>
    <w:p>
      <w:pPr>
        <w:widowControl/>
        <w:spacing w:line="540" w:lineRule="exact"/>
        <w:jc w:val="left"/>
        <w:rPr>
          <w:rFonts w:ascii="仿宋" w:hAnsi="仿宋" w:eastAsia="仿宋" w:cs="仿宋"/>
          <w:color w:val="000000" w:themeColor="text1"/>
          <w:sz w:val="32"/>
          <w:szCs w:val="32"/>
          <w:u w:val="single"/>
          <w14:textFill>
            <w14:solidFill>
              <w14:schemeClr w14:val="tx1"/>
            </w14:solidFill>
          </w14:textFill>
        </w:rPr>
      </w:pPr>
      <w:r>
        <w:rPr>
          <w:rFonts w:ascii="华文细黑" w:hAnsi="华文细黑" w:eastAsia="华文细黑"/>
          <w:color w:val="000000" w:themeColor="text1"/>
          <w:sz w:val="24"/>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网络安全监测服务项目</w:t>
      </w:r>
      <w:r>
        <w:rPr>
          <w:rFonts w:hint="eastAsia" w:ascii="仿宋" w:hAnsi="仿宋" w:eastAsia="仿宋" w:cs="仿宋"/>
          <w:color w:val="000000" w:themeColor="text1"/>
          <w:sz w:val="32"/>
          <w:szCs w:val="32"/>
          <w14:textFill>
            <w14:solidFill>
              <w14:schemeClr w14:val="tx1"/>
            </w14:solidFill>
          </w14:textFill>
        </w:rPr>
        <w:t>，采购单位为四川省政府政务服务和公共资源交易服务中心。本项目采购内容在规定的集中采购目录之外，且在省直部门分散采购限额标准以下，因此</w:t>
      </w:r>
      <w:r>
        <w:rPr>
          <w:rFonts w:hint="eastAsia" w:ascii="仿宋" w:hAnsi="仿宋" w:eastAsia="仿宋" w:cs="仿宋"/>
          <w:color w:val="000000" w:themeColor="text1"/>
          <w:sz w:val="32"/>
          <w:szCs w:val="32"/>
          <w14:textFill>
            <w14:solidFill>
              <w14:schemeClr w14:val="tx1"/>
            </w14:solidFill>
          </w14:textFill>
        </w:rPr>
        <w:t>我中心拟用参照政府采购竞争性磋商综合评分法方式进行自行采购</w:t>
      </w:r>
      <w:r>
        <w:rPr>
          <w:rFonts w:hint="eastAsia" w:ascii="仿宋" w:hAnsi="仿宋" w:eastAsia="仿宋" w:cs="仿宋"/>
          <w:color w:val="000000" w:themeColor="text1"/>
          <w:sz w:val="32"/>
          <w:szCs w:val="32"/>
          <w14:textFill>
            <w14:solidFill>
              <w14:schemeClr w14:val="tx1"/>
            </w14:solidFill>
          </w14:textFill>
        </w:rPr>
        <w:t>。</w:t>
      </w:r>
    </w:p>
    <w:p>
      <w:pPr>
        <w:spacing w:line="54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、项目概况：</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采购项目：四川省政府政务服务和公共资源交易服务中心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网络安全监测服务项目</w:t>
      </w:r>
      <w:r>
        <w:rPr>
          <w:rFonts w:hint="eastAsia" w:ascii="仿宋" w:hAnsi="仿宋" w:eastAsia="仿宋" w:cs="仿宋"/>
          <w:color w:val="000000" w:themeColor="text1"/>
          <w:sz w:val="32"/>
          <w:szCs w:val="32"/>
          <w14:textFill>
            <w14:solidFill>
              <w14:schemeClr w14:val="tx1"/>
            </w14:solidFill>
          </w14:textFill>
        </w:rPr>
        <w:t>。</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项目资金：自筹资金。</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项目实施方式：在合同约定时间范围内为四川省政府政务服务和公共资源交易服务中心提供</w:t>
      </w:r>
      <w:r>
        <w:rPr>
          <w:rFonts w:hint="eastAsia" w:ascii="仿宋" w:hAnsi="仿宋" w:eastAsia="仿宋" w:cs="仿宋"/>
          <w:color w:val="000000" w:themeColor="text1"/>
          <w:sz w:val="32"/>
          <w:szCs w:val="32"/>
          <w:lang w:val="en-US" w:eastAsia="zh-CN"/>
          <w14:textFill>
            <w14:solidFill>
              <w14:schemeClr w14:val="tx1"/>
            </w14:solidFill>
          </w14:textFill>
        </w:rPr>
        <w:t>网络安全监测服务</w:t>
      </w:r>
      <w:r>
        <w:rPr>
          <w:rFonts w:hint="eastAsia" w:ascii="仿宋" w:hAnsi="仿宋" w:eastAsia="仿宋" w:cs="仿宋"/>
          <w:color w:val="000000" w:themeColor="text1"/>
          <w:sz w:val="32"/>
          <w:szCs w:val="32"/>
          <w14:textFill>
            <w14:solidFill>
              <w14:schemeClr w14:val="tx1"/>
            </w14:solidFill>
          </w14:textFill>
        </w:rPr>
        <w:t>。</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质量效果要求：符合国家相关要求。</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采购内容：</w:t>
      </w:r>
      <w:r>
        <w:rPr>
          <w:rFonts w:hint="eastAsia" w:ascii="仿宋" w:hAnsi="仿宋" w:eastAsia="仿宋" w:cs="仿宋"/>
          <w:color w:val="000000" w:themeColor="text1"/>
          <w:sz w:val="32"/>
          <w:szCs w:val="32"/>
          <w14:textFill>
            <w14:solidFill>
              <w14:schemeClr w14:val="tx1"/>
            </w14:solidFill>
          </w14:textFill>
        </w:rPr>
        <w:t>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网络安全监测服务项目</w:t>
      </w:r>
      <w:r>
        <w:rPr>
          <w:rFonts w:hint="eastAsia" w:ascii="仿宋" w:hAnsi="仿宋" w:eastAsia="仿宋" w:cs="仿宋"/>
          <w:color w:val="000000" w:themeColor="text1"/>
          <w:sz w:val="32"/>
          <w:szCs w:val="32"/>
          <w14:textFill>
            <w14:solidFill>
              <w14:schemeClr w14:val="tx1"/>
            </w14:solidFill>
          </w14:textFill>
        </w:rPr>
        <w:t>。</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项目总预算：人民币</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32 </w:t>
      </w:r>
      <w:r>
        <w:rPr>
          <w:rFonts w:hint="eastAsia" w:ascii="仿宋" w:hAnsi="仿宋" w:eastAsia="仿宋" w:cs="仿宋"/>
          <w:color w:val="000000" w:themeColor="text1"/>
          <w:sz w:val="32"/>
          <w:szCs w:val="32"/>
          <w14:textFill>
            <w14:solidFill>
              <w14:schemeClr w14:val="tx1"/>
            </w14:solidFill>
          </w14:textFill>
        </w:rPr>
        <w:t>万元整（</w:t>
      </w:r>
      <w:r>
        <w:rPr>
          <w:rFonts w:hint="eastAsia" w:ascii="仿宋" w:hAnsi="仿宋" w:eastAsia="仿宋" w:cs="仿宋"/>
          <w:color w:val="000000" w:themeColor="text1"/>
          <w:sz w:val="32"/>
          <w:szCs w:val="32"/>
          <w:lang w:eastAsia="zh-CN"/>
          <w14:textFill>
            <w14:solidFill>
              <w14:schemeClr w14:val="tx1"/>
            </w14:solidFill>
          </w14:textFill>
        </w:rPr>
        <w:t>叁拾贰</w:t>
      </w:r>
      <w:r>
        <w:rPr>
          <w:rFonts w:hint="eastAsia" w:ascii="仿宋" w:hAnsi="仿宋" w:eastAsia="仿宋" w:cs="仿宋"/>
          <w:color w:val="000000" w:themeColor="text1"/>
          <w:sz w:val="32"/>
          <w:szCs w:val="32"/>
          <w14:textFill>
            <w14:solidFill>
              <w14:schemeClr w14:val="tx1"/>
            </w14:solidFill>
          </w14:textFill>
        </w:rPr>
        <w:t>万元整）</w:t>
      </w:r>
    </w:p>
    <w:p>
      <w:pPr>
        <w:spacing w:line="540" w:lineRule="exact"/>
        <w:ind w:firstLine="640" w:firstLineChars="200"/>
        <w:rPr>
          <w:rFonts w:hint="eastAsia" w:ascii="仿宋" w:hAnsi="仿宋" w:eastAsia="仿宋" w:cs="仿宋"/>
          <w:b/>
          <w:color w:val="000000" w:themeColor="text1"/>
          <w:sz w:val="32"/>
          <w:szCs w:val="32"/>
          <w:lang w:eastAsia="zh-CN"/>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中选原则：</w:t>
      </w:r>
      <w:r>
        <w:rPr>
          <w:rFonts w:hint="eastAsia" w:ascii="仿宋" w:hAnsi="仿宋" w:eastAsia="仿宋" w:cs="仿宋"/>
          <w:b/>
          <w:color w:val="000000" w:themeColor="text1"/>
          <w:sz w:val="32"/>
          <w:szCs w:val="32"/>
          <w14:textFill>
            <w14:solidFill>
              <w14:schemeClr w14:val="tx1"/>
            </w14:solidFill>
          </w14:textFill>
        </w:rPr>
        <w:t>根据综合评分法按排名由高到低推荐第一名为中标候选人</w:t>
      </w:r>
      <w:r>
        <w:rPr>
          <w:rFonts w:hint="eastAsia" w:ascii="仿宋" w:hAnsi="仿宋" w:eastAsia="仿宋" w:cs="仿宋"/>
          <w:b/>
          <w:color w:val="000000" w:themeColor="text1"/>
          <w:sz w:val="32"/>
          <w:szCs w:val="32"/>
          <w:lang w:eastAsia="zh-CN"/>
          <w14:textFill>
            <w14:solidFill>
              <w14:schemeClr w14:val="tx1"/>
            </w14:solidFill>
          </w14:textFill>
        </w:rPr>
        <w:t>。</w:t>
      </w:r>
    </w:p>
    <w:p>
      <w:pPr>
        <w:spacing w:line="54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2</w:t>
      </w:r>
      <w:r>
        <w:rPr>
          <w:rFonts w:hint="eastAsia" w:ascii="仿宋" w:hAnsi="仿宋" w:eastAsia="仿宋" w:cs="仿宋"/>
          <w:b/>
          <w:color w:val="000000" w:themeColor="text1"/>
          <w:sz w:val="32"/>
          <w:szCs w:val="32"/>
          <w14:textFill>
            <w14:solidFill>
              <w14:schemeClr w14:val="tx1"/>
            </w14:solidFill>
          </w14:textFill>
        </w:rPr>
        <w:t>、资格审查方式及投标人资格要求</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本项目采用资格</w:t>
      </w:r>
      <w:r>
        <w:rPr>
          <w:rFonts w:hint="eastAsia" w:ascii="仿宋" w:hAnsi="仿宋" w:eastAsia="仿宋" w:cs="仿宋"/>
          <w:color w:val="000000" w:themeColor="text1"/>
          <w:sz w:val="32"/>
          <w:szCs w:val="32"/>
          <w:lang w:eastAsia="zh-CN"/>
          <w14:textFill>
            <w14:solidFill>
              <w14:schemeClr w14:val="tx1"/>
            </w14:solidFill>
          </w14:textFill>
        </w:rPr>
        <w:t>预</w:t>
      </w:r>
      <w:r>
        <w:rPr>
          <w:rFonts w:hint="eastAsia" w:ascii="仿宋" w:hAnsi="仿宋" w:eastAsia="仿宋" w:cs="仿宋"/>
          <w:color w:val="000000" w:themeColor="text1"/>
          <w:sz w:val="32"/>
          <w:szCs w:val="32"/>
          <w14:textFill>
            <w14:solidFill>
              <w14:schemeClr w14:val="tx1"/>
            </w14:solidFill>
          </w14:textFill>
        </w:rPr>
        <w:t>审，采购评审小组根据采购文件的规定对投标人进行资格审查，若资格审查不合格其投标文件将被否决，采购申请人资格要求如下：</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或其它有效“身份证明材料”。以上材料均提供复印件）。</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具备良好商业信誉的证明材料（提供承诺函原件，格式详见第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具备健全的财务会计制度的证明材料。｛注：①可提供</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或</w:t>
      </w:r>
      <w:r>
        <w:rPr>
          <w:rFonts w:ascii="仿宋" w:hAnsi="仿宋" w:eastAsia="仿宋" w:cs="仿宋"/>
          <w:color w:val="000000" w:themeColor="text1"/>
          <w:sz w:val="32"/>
          <w:szCs w:val="32"/>
          <w14:textFill>
            <w14:solidFill>
              <w14:schemeClr w14:val="tx1"/>
            </w14:solidFill>
          </w14:textFill>
        </w:rPr>
        <w:t>2019</w:t>
      </w:r>
      <w:r>
        <w:rPr>
          <w:rFonts w:hint="eastAsia" w:ascii="仿宋" w:hAnsi="仿宋" w:eastAsia="仿宋" w:cs="仿宋"/>
          <w:color w:val="000000" w:themeColor="text1"/>
          <w:sz w:val="32"/>
          <w:szCs w:val="32"/>
          <w14:textFill>
            <w14:solidFill>
              <w14:schemeClr w14:val="tx1"/>
            </w14:solidFill>
          </w14:textFill>
        </w:rPr>
        <w:t>年度经审计的财务报告复印件；②也可提供</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或</w:t>
      </w:r>
      <w:r>
        <w:rPr>
          <w:rFonts w:ascii="仿宋" w:hAnsi="仿宋" w:eastAsia="仿宋" w:cs="仿宋"/>
          <w:color w:val="000000" w:themeColor="text1"/>
          <w:sz w:val="32"/>
          <w:szCs w:val="32"/>
          <w14:textFill>
            <w14:solidFill>
              <w14:schemeClr w14:val="tx1"/>
            </w14:solidFill>
          </w14:textFill>
        </w:rPr>
        <w:t>2019</w:t>
      </w:r>
      <w:r>
        <w:rPr>
          <w:rFonts w:hint="eastAsia" w:ascii="仿宋" w:hAnsi="仿宋" w:eastAsia="仿宋" w:cs="仿宋"/>
          <w:color w:val="000000" w:themeColor="text1"/>
          <w:sz w:val="32"/>
          <w:szCs w:val="32"/>
          <w14:textFill>
            <w14:solidFill>
              <w14:schemeClr w14:val="tx1"/>
            </w14:solidFill>
          </w14:textFill>
        </w:rPr>
        <w:t>年度供应商内部的财务报表复印件（至少包含资产负债表和利润表）；③也可提供投标文件递交截止日前一年内银行出具的有效资信证明；④供应商注册时间距投标文件递交截止日不足一年的，提供成立后任意时段的资产负债表复印件。⑤也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具有依法缴纳税收和社会保障资金良好记录的证明材料。｛注：①（</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月至今任意三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②也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具备履行合同所必需的人员能力的证明材料（可提供承诺函原件，格式详见第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spacing w:line="54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2.6</w:t>
      </w:r>
      <w:r>
        <w:rPr>
          <w:rFonts w:hint="eastAsia" w:ascii="仿宋" w:hAnsi="仿宋" w:eastAsia="仿宋" w:cs="仿宋"/>
          <w:color w:val="000000" w:themeColor="text1"/>
          <w:sz w:val="32"/>
          <w:szCs w:val="32"/>
          <w14:textFill>
            <w14:solidFill>
              <w14:schemeClr w14:val="tx1"/>
            </w14:solidFill>
          </w14:textFill>
        </w:rPr>
        <w:t>参加采购活动前三年内在经营活动中没有重大违法记录的承诺函（可提供承诺函原件，格式详见第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本次采购不接受联合体投标</w:t>
      </w:r>
    </w:p>
    <w:p>
      <w:pPr>
        <w:spacing w:line="540" w:lineRule="exact"/>
        <w:ind w:firstLine="643" w:firstLineChars="200"/>
        <w:rPr>
          <w:rFonts w:ascii="仿宋" w:hAnsi="仿宋" w:eastAsia="仿宋" w:cs="仿宋"/>
          <w:b/>
          <w:color w:val="000000" w:themeColor="text1"/>
          <w:kern w:val="0"/>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14:textFill>
            <w14:solidFill>
              <w14:schemeClr w14:val="tx1"/>
            </w14:solidFill>
          </w14:textFill>
        </w:rPr>
        <w:t>、报名及采购邀请函的获取</w:t>
      </w:r>
    </w:p>
    <w:p>
      <w:pPr>
        <w:spacing w:line="54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投标人通过</w:t>
      </w:r>
      <w:r>
        <w:rPr>
          <w:rFonts w:hint="eastAsia" w:ascii="仿宋" w:hAnsi="仿宋" w:eastAsia="仿宋" w:cs="仿宋"/>
          <w:color w:val="000000" w:themeColor="text1"/>
          <w:kern w:val="0"/>
          <w:sz w:val="32"/>
          <w:szCs w:val="32"/>
          <w:lang w:val="en-US" w:eastAsia="zh-CN"/>
          <w14:textFill>
            <w14:solidFill>
              <w14:schemeClr w14:val="tx1"/>
            </w14:solidFill>
          </w14:textFill>
        </w:rPr>
        <w:t>电话报名预留电子邮箱地址，</w:t>
      </w:r>
      <w:r>
        <w:rPr>
          <w:rFonts w:hint="eastAsia" w:ascii="仿宋" w:hAnsi="仿宋" w:eastAsia="仿宋" w:cs="仿宋"/>
          <w:color w:val="000000" w:themeColor="text1"/>
          <w:sz w:val="32"/>
          <w:szCs w:val="32"/>
          <w14:textFill>
            <w14:solidFill>
              <w14:schemeClr w14:val="tx1"/>
            </w14:solidFill>
          </w14:textFill>
        </w:rPr>
        <w:t>收取电子邮件</w:t>
      </w:r>
      <w:r>
        <w:rPr>
          <w:rFonts w:hint="eastAsia" w:ascii="仿宋" w:hAnsi="仿宋" w:eastAsia="仿宋" w:cs="仿宋"/>
          <w:color w:val="000000" w:themeColor="text1"/>
          <w:kern w:val="0"/>
          <w:sz w:val="32"/>
          <w:szCs w:val="32"/>
          <w14:textFill>
            <w14:solidFill>
              <w14:schemeClr w14:val="tx1"/>
            </w14:solidFill>
          </w14:textFill>
        </w:rPr>
        <w:t>的方式获取采购邀请函。</w:t>
      </w:r>
      <w:r>
        <w:rPr>
          <w:rFonts w:hint="eastAsia" w:ascii="仿宋" w:hAnsi="仿宋" w:eastAsia="仿宋" w:cs="仿宋"/>
          <w:color w:val="000000" w:themeColor="text1"/>
          <w:kern w:val="0"/>
          <w:sz w:val="32"/>
          <w:szCs w:val="32"/>
          <w:lang w:val="en-US" w:eastAsia="zh-CN"/>
          <w14:textFill>
            <w14:solidFill>
              <w14:schemeClr w14:val="tx1"/>
            </w14:solidFill>
          </w14:textFill>
        </w:rPr>
        <w:t>获取文件时间为2020年9月1日至9月7日17:00</w:t>
      </w:r>
      <w:r>
        <w:rPr>
          <w:rFonts w:hint="eastAsia" w:ascii="仿宋" w:hAnsi="仿宋" w:eastAsia="仿宋" w:cs="仿宋"/>
          <w:color w:val="000000" w:themeColor="text1"/>
          <w:kern w:val="0"/>
          <w:sz w:val="32"/>
          <w:szCs w:val="32"/>
          <w14:textFill>
            <w14:solidFill>
              <w14:schemeClr w14:val="tx1"/>
            </w14:solidFill>
          </w14:textFill>
        </w:rPr>
        <w:t>（北京时间）。</w:t>
      </w:r>
    </w:p>
    <w:p>
      <w:pPr>
        <w:spacing w:line="54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4</w:t>
      </w:r>
      <w:r>
        <w:rPr>
          <w:rFonts w:hint="eastAsia" w:ascii="仿宋" w:hAnsi="仿宋" w:eastAsia="仿宋" w:cs="仿宋"/>
          <w:b/>
          <w:color w:val="000000" w:themeColor="text1"/>
          <w:sz w:val="32"/>
          <w:szCs w:val="32"/>
          <w14:textFill>
            <w14:solidFill>
              <w14:schemeClr w14:val="tx1"/>
            </w14:solidFill>
          </w14:textFill>
        </w:rPr>
        <w:t>、投标文件的递交</w:t>
      </w:r>
    </w:p>
    <w:p>
      <w:pPr>
        <w:widowControl/>
        <w:spacing w:line="54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投标文件提交的截止时间为</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14:textFill>
            <w14:solidFill>
              <w14:schemeClr w14:val="tx1"/>
            </w14:solidFill>
          </w14:textFill>
        </w:rPr>
        <w:t>上午</w:t>
      </w:r>
      <w:r>
        <w:rPr>
          <w:rFonts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（北京时间），提交地点：</w:t>
      </w:r>
      <w:r>
        <w:rPr>
          <w:rFonts w:hint="eastAsia" w:ascii="仿宋" w:hAnsi="仿宋" w:eastAsia="仿宋" w:cs="仿宋"/>
          <w:color w:val="000000" w:themeColor="text1"/>
          <w:kern w:val="0"/>
          <w:sz w:val="32"/>
          <w:szCs w:val="32"/>
          <w14:textFill>
            <w14:solidFill>
              <w14:schemeClr w14:val="tx1"/>
            </w14:solidFill>
          </w14:textFill>
        </w:rPr>
        <w:t>四川省成都市青羊区人民中路三段</w:t>
      </w:r>
      <w:r>
        <w:rPr>
          <w:rFonts w:ascii="仿宋" w:hAnsi="仿宋" w:eastAsia="仿宋" w:cs="仿宋"/>
          <w:color w:val="000000" w:themeColor="text1"/>
          <w:kern w:val="0"/>
          <w:sz w:val="32"/>
          <w:szCs w:val="32"/>
          <w14:textFill>
            <w14:solidFill>
              <w14:schemeClr w14:val="tx1"/>
            </w14:solidFill>
          </w14:textFill>
        </w:rPr>
        <w:t>35</w:t>
      </w:r>
      <w:r>
        <w:rPr>
          <w:rFonts w:hint="eastAsia" w:ascii="仿宋" w:hAnsi="仿宋" w:eastAsia="仿宋" w:cs="仿宋"/>
          <w:color w:val="000000" w:themeColor="text1"/>
          <w:kern w:val="0"/>
          <w:sz w:val="32"/>
          <w:szCs w:val="32"/>
          <w14:textFill>
            <w14:solidFill>
              <w14:schemeClr w14:val="tx1"/>
            </w14:solidFill>
          </w14:textFill>
        </w:rPr>
        <w:t>号四川省政府政务服务和公共资源交易服务中心</w:t>
      </w:r>
      <w:r>
        <w:rPr>
          <w:rFonts w:ascii="仿宋" w:hAnsi="仿宋" w:eastAsia="仿宋" w:cs="仿宋"/>
          <w:color w:val="000000" w:themeColor="text1"/>
          <w:kern w:val="0"/>
          <w:sz w:val="32"/>
          <w:szCs w:val="32"/>
          <w14:textFill>
            <w14:solidFill>
              <w14:schemeClr w14:val="tx1"/>
            </w14:solidFill>
          </w14:textFill>
        </w:rPr>
        <w:t>6</w:t>
      </w:r>
      <w:r>
        <w:rPr>
          <w:rFonts w:hint="eastAsia" w:ascii="仿宋" w:hAnsi="仿宋" w:eastAsia="仿宋" w:cs="仿宋"/>
          <w:color w:val="000000" w:themeColor="text1"/>
          <w:kern w:val="0"/>
          <w:sz w:val="32"/>
          <w:szCs w:val="32"/>
          <w:lang w:val="en-US" w:eastAsia="zh-CN"/>
          <w14:textFill>
            <w14:solidFill>
              <w14:schemeClr w14:val="tx1"/>
            </w14:solidFill>
          </w14:textFill>
        </w:rPr>
        <w:t>03</w:t>
      </w:r>
      <w:r>
        <w:rPr>
          <w:rFonts w:hint="eastAsia" w:ascii="仿宋" w:hAnsi="仿宋" w:eastAsia="仿宋" w:cs="仿宋"/>
          <w:color w:val="000000" w:themeColor="text1"/>
          <w:kern w:val="0"/>
          <w:sz w:val="32"/>
          <w:szCs w:val="32"/>
          <w14:textFill>
            <w14:solidFill>
              <w14:schemeClr w14:val="tx1"/>
            </w14:solidFill>
          </w14:textFill>
        </w:rPr>
        <w:t>室。</w:t>
      </w:r>
      <w:r>
        <w:rPr>
          <w:rFonts w:hint="eastAsia" w:ascii="仿宋" w:hAnsi="仿宋" w:eastAsia="仿宋" w:cs="仿宋"/>
          <w:color w:val="000000" w:themeColor="text1"/>
          <w:sz w:val="32"/>
          <w:szCs w:val="32"/>
          <w14:textFill>
            <w14:solidFill>
              <w14:schemeClr w14:val="tx1"/>
            </w14:solidFill>
          </w14:textFill>
        </w:rPr>
        <w:t>逾期送达的投标文件将被拒绝。</w:t>
      </w:r>
    </w:p>
    <w:p>
      <w:pPr>
        <w:widowControl/>
        <w:spacing w:line="54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本次采购项目将于</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日在四川省成都市青羊区人民中路三段</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号四川省政府政务服务和公共资源交易服务中心进行评审。</w:t>
      </w:r>
      <w:r>
        <w:rPr>
          <w:rFonts w:hint="eastAsia" w:ascii="仿宋" w:hAnsi="仿宋" w:eastAsia="仿宋" w:cs="仿宋"/>
          <w:color w:val="000000" w:themeColor="text1"/>
          <w:sz w:val="32"/>
          <w:szCs w:val="32"/>
          <w14:textFill>
            <w14:solidFill>
              <w14:schemeClr w14:val="tx1"/>
            </w14:solidFill>
          </w14:textFill>
        </w:rPr>
        <w:t>无需</w:t>
      </w:r>
      <w:r>
        <w:rPr>
          <w:rFonts w:hint="eastAsia" w:ascii="仿宋" w:hAnsi="仿宋" w:eastAsia="仿宋" w:cs="仿宋"/>
          <w:color w:val="000000" w:themeColor="text1"/>
          <w:sz w:val="32"/>
          <w:szCs w:val="32"/>
          <w14:textFill>
            <w14:solidFill>
              <w14:schemeClr w14:val="tx1"/>
            </w14:solidFill>
          </w14:textFill>
        </w:rPr>
        <w:t>采购申请人的法定代表人或其委托的授权代表参加。</w:t>
      </w:r>
    </w:p>
    <w:p>
      <w:pPr>
        <w:spacing w:line="54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5</w:t>
      </w:r>
      <w:r>
        <w:rPr>
          <w:rFonts w:hint="eastAsia" w:ascii="仿宋" w:hAnsi="仿宋" w:eastAsia="仿宋" w:cs="仿宋"/>
          <w:b/>
          <w:color w:val="000000" w:themeColor="text1"/>
          <w:sz w:val="32"/>
          <w:szCs w:val="32"/>
          <w14:textFill>
            <w14:solidFill>
              <w14:schemeClr w14:val="tx1"/>
            </w14:solidFill>
          </w14:textFill>
        </w:rPr>
        <w:t>、联系方式</w:t>
      </w:r>
    </w:p>
    <w:p>
      <w:pPr>
        <w:widowControl/>
        <w:spacing w:line="540" w:lineRule="exact"/>
        <w:ind w:firstLine="960" w:firstLineChars="3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四川省政府政务服务和公共资源交易服务中心</w:t>
      </w:r>
    </w:p>
    <w:p>
      <w:pPr>
        <w:widowControl/>
        <w:spacing w:line="540" w:lineRule="exact"/>
        <w:ind w:firstLine="960" w:firstLineChars="300"/>
        <w:jc w:val="left"/>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系</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人：</w:t>
      </w:r>
      <w:r>
        <w:rPr>
          <w:rFonts w:hint="eastAsia" w:ascii="仿宋" w:hAnsi="仿宋" w:eastAsia="仿宋" w:cs="仿宋"/>
          <w:color w:val="000000" w:themeColor="text1"/>
          <w:kern w:val="0"/>
          <w:sz w:val="32"/>
          <w:szCs w:val="32"/>
          <w:lang w:val="en-US" w:eastAsia="zh-CN"/>
          <w14:textFill>
            <w14:solidFill>
              <w14:schemeClr w14:val="tx1"/>
            </w14:solidFill>
          </w14:textFill>
        </w:rPr>
        <w:t>郭韩斌</w:t>
      </w:r>
    </w:p>
    <w:p>
      <w:pPr>
        <w:keepNext w:val="0"/>
        <w:keepLines w:val="0"/>
        <w:pageBreakBefore w:val="0"/>
        <w:widowControl/>
        <w:kinsoku/>
        <w:wordWrap/>
        <w:overflowPunct/>
        <w:topLinePunct w:val="0"/>
        <w:autoSpaceDE/>
        <w:autoSpaceDN/>
        <w:bidi w:val="0"/>
        <w:adjustRightInd/>
        <w:snapToGrid/>
        <w:spacing w:line="500" w:lineRule="exact"/>
        <w:ind w:firstLine="960" w:firstLineChars="300"/>
        <w:jc w:val="left"/>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联系电话：</w:t>
      </w:r>
      <w:r>
        <w:rPr>
          <w:rFonts w:hint="eastAsia" w:ascii="仿宋" w:hAnsi="仿宋" w:eastAsia="仿宋" w:cs="仿宋"/>
          <w:color w:val="000000" w:themeColor="text1"/>
          <w:kern w:val="0"/>
          <w:sz w:val="32"/>
          <w:szCs w:val="32"/>
          <w:lang w:val="en-US" w:eastAsia="zh-CN"/>
          <w14:textFill>
            <w14:solidFill>
              <w14:schemeClr w14:val="tx1"/>
            </w14:solidFill>
          </w14:textFill>
        </w:rPr>
        <w:t>15884132232</w:t>
      </w:r>
      <w:r>
        <w:rPr>
          <w:rFonts w:ascii="仿宋" w:hAnsi="仿宋" w:eastAsia="仿宋" w:cs="仿宋"/>
          <w:color w:val="000000" w:themeColor="text1"/>
          <w:kern w:val="0"/>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afterLines="100" w:line="500" w:lineRule="exact"/>
        <w:ind w:firstLine="960" w:firstLineChars="3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地址：四川省成都市青羊区人民中路三段</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afterLines="100" w:line="500" w:lineRule="exact"/>
        <w:ind w:firstLine="640" w:firstLineChars="200"/>
        <w:jc w:val="right"/>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日</w:t>
      </w:r>
    </w:p>
    <w:bookmarkEnd w:id="3"/>
    <w:bookmarkEnd w:id="4"/>
    <w:bookmarkEnd w:id="5"/>
    <w:p>
      <w:pPr>
        <w:pStyle w:val="3"/>
        <w:pageBreakBefore w:val="0"/>
        <w:widowControl w:val="0"/>
        <w:numPr>
          <w:ilvl w:val="0"/>
          <w:numId w:val="14"/>
        </w:numPr>
        <w:kinsoku/>
        <w:wordWrap/>
        <w:overflowPunct/>
        <w:topLinePunct w:val="0"/>
        <w:autoSpaceDE/>
        <w:autoSpaceDN/>
        <w:bidi w:val="0"/>
        <w:adjustRightInd/>
        <w:snapToGrid/>
        <w:spacing w:before="0" w:after="0" w:line="500" w:lineRule="exact"/>
        <w:textAlignment w:val="auto"/>
        <w:rPr>
          <w:rFonts w:ascii="仿宋" w:hAnsi="仿宋" w:eastAsia="仿宋" w:cs="仿宋"/>
          <w:b/>
          <w:color w:val="000000" w:themeColor="text1"/>
          <w:sz w:val="32"/>
          <w:szCs w:val="32"/>
          <w14:textFill>
            <w14:solidFill>
              <w14:schemeClr w14:val="tx1"/>
            </w14:solidFill>
          </w14:textFill>
        </w:rPr>
      </w:pPr>
      <w:bookmarkStart w:id="9" w:name="_Toc468808806"/>
      <w:bookmarkStart w:id="10" w:name="_Toc227057962"/>
      <w:bookmarkStart w:id="11" w:name="_Toc226969356"/>
      <w:r>
        <w:rPr>
          <w:rFonts w:hint="eastAsia" w:ascii="仿宋" w:hAnsi="仿宋" w:eastAsia="仿宋" w:cs="仿宋"/>
          <w:b/>
          <w:color w:val="000000" w:themeColor="text1"/>
          <w:sz w:val="32"/>
          <w:szCs w:val="32"/>
          <w14:textFill>
            <w14:solidFill>
              <w14:schemeClr w14:val="tx1"/>
            </w14:solidFill>
          </w14:textFill>
        </w:rPr>
        <w:t>技术规范要求</w:t>
      </w:r>
      <w:bookmarkEnd w:id="9"/>
    </w:p>
    <w:p>
      <w:pPr>
        <w:pStyle w:val="3"/>
        <w:pageBreakBefore w:val="0"/>
        <w:widowControl w:val="0"/>
        <w:kinsoku/>
        <w:wordWrap/>
        <w:overflowPunct/>
        <w:topLinePunct w:val="0"/>
        <w:autoSpaceDE/>
        <w:autoSpaceDN/>
        <w:bidi w:val="0"/>
        <w:adjustRightInd/>
        <w:snapToGrid/>
        <w:spacing w:before="0" w:after="0" w:line="50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一、项目主要工作内容及要求</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、项目概况</w:t>
      </w:r>
    </w:p>
    <w:p>
      <w:pPr>
        <w:pageBreakBefore w:val="0"/>
        <w:widowControl w:val="0"/>
        <w:tabs>
          <w:tab w:val="left" w:pos="0"/>
        </w:tabs>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网络安全监测服务采购</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CN"/>
          <w14:textFill>
            <w14:solidFill>
              <w14:schemeClr w14:val="tx1"/>
            </w14:solidFill>
          </w14:textFill>
        </w:rPr>
        <w:t>，服务期限一年</w:t>
      </w:r>
      <w:r>
        <w:rPr>
          <w:rFonts w:hint="eastAsia" w:ascii="仿宋" w:hAnsi="仿宋" w:eastAsia="仿宋" w:cs="仿宋"/>
          <w:color w:val="000000" w:themeColor="text1"/>
          <w:sz w:val="32"/>
          <w:szCs w:val="32"/>
          <w14:textFill>
            <w14:solidFill>
              <w14:schemeClr w14:val="tx1"/>
            </w14:solidFill>
          </w14:textFill>
        </w:rPr>
        <w:t>。</w:t>
      </w:r>
    </w:p>
    <w:p>
      <w:pPr>
        <w:pageBreakBefore w:val="0"/>
        <w:widowControl w:val="0"/>
        <w:numPr>
          <w:ilvl w:val="0"/>
          <w:numId w:val="15"/>
        </w:numPr>
        <w:tabs>
          <w:tab w:val="left" w:pos="0"/>
        </w:tabs>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项目主要内容</w:t>
      </w:r>
    </w:p>
    <w:p>
      <w:pPr>
        <w:pStyle w:val="255"/>
        <w:spacing w:line="360" w:lineRule="auto"/>
        <w:ind w:firstLine="560"/>
        <w:rPr>
          <w:rFonts w:ascii="宋体" w:hAnsi="宋体" w:cs="宋体"/>
          <w:b/>
          <w:bCs/>
          <w:color w:val="000000" w:themeColor="text1"/>
          <w:szCs w:val="28"/>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cs="宋体"/>
          <w:color w:val="000000" w:themeColor="text1"/>
          <w:szCs w:val="28"/>
          <w14:textFill>
            <w14:solidFill>
              <w14:schemeClr w14:val="tx1"/>
            </w14:solidFill>
          </w14:textFill>
        </w:rPr>
        <w:t>1．安全建设规划</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为基础信息网络和重要信息系统提供合规性管理咨询服务，从信息安全战略、安全策略规范等角度协助</w:t>
      </w:r>
      <w:r>
        <w:rPr>
          <w:rFonts w:hint="eastAsia" w:ascii="宋体" w:hAnsi="宋体" w:cs="宋体"/>
          <w:color w:val="000000" w:themeColor="text1"/>
          <w:szCs w:val="28"/>
          <w14:textFill>
            <w14:solidFill>
              <w14:schemeClr w14:val="tx1"/>
            </w14:solidFill>
          </w14:textFill>
        </w:rPr>
        <w:t>省中心</w:t>
      </w:r>
      <w:r>
        <w:rPr>
          <w:rFonts w:ascii="宋体" w:hAnsi="宋体" w:cs="宋体"/>
          <w:color w:val="000000" w:themeColor="text1"/>
          <w:szCs w:val="28"/>
          <w14:textFill>
            <w14:solidFill>
              <w14:schemeClr w14:val="tx1"/>
            </w14:solidFill>
          </w14:textFill>
        </w:rPr>
        <w:t>开展安全保障的各项指导工作。</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安全技术体系规划：依据国家网络安全相关要求、标准、规范，结合单位现状，分析风险漏洞，以安全策略为指导，从安全物理环境、安全通信网络、安全区域边界、安全计算环境、安全管理中心等方面出发，立足于现有成熟的安全技术和安全机制，规划建设网络安全技术体系。</w:t>
      </w:r>
    </w:p>
    <w:p>
      <w:pPr>
        <w:pStyle w:val="255"/>
        <w:spacing w:line="360" w:lineRule="auto"/>
        <w:ind w:firstLine="560"/>
        <w:rPr>
          <w:rFonts w:hint="eastAsia"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安全管理体系规划：依据国家网络安全相关要求、标准、规范，结合单位现状，分析风险漏洞，以安全策略为指导，从安全管理制度、安全组织机构、安全管理人员、安全建设管理、安全运维管理等方面出发，细化网络安全管理类，将每项安全管理类分解为多个安全目标和安全控制进行规划建设，最终达成相应安全目标的管理工作和要求。</w:t>
      </w:r>
    </w:p>
    <w:p>
      <w:pPr>
        <w:pStyle w:val="255"/>
        <w:spacing w:line="360" w:lineRule="auto"/>
        <w:ind w:firstLine="560"/>
        <w:rPr>
          <w:rFonts w:hint="eastAsia"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安全运维保障体系规划：安全运维保障体系规划由安全技术和安全管理紧密结合的内容所组成，主要包括系统可靠性设计、系统数据的备份计划、安全事件的应急响应计划、安全审计、灾难恢复计划等，安全运行和保障体系规划对于省中心网络和信息系统的可持续性运营具有重要作用。</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2．安全制度建设</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从网络安全方针、策略，网络安全制度、网络安全规程等方面协助省中心建立网络安全制度体系，完善网络安全工作机制。</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3．安全监测审核</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通过人工结合技术手段，对网络、系统运行状态进行安全监测，及时发现病毒传播、黑客攻击等安全事件，对于已经发生的网络安全事件，查找源头，发现问题，举一反三，强化整改，逐一销号，总结提高。</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4．安全咨询服务</w:t>
      </w:r>
    </w:p>
    <w:p>
      <w:pPr>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参考国内外信息安全标准，结合省中心IT业务实际情况，充分考虑行业在信息安全方面的特有属性，调查分析省中心已有的安全策略，从管理、制度、落实情况、物理安全、人员安全、第三方安全等各方面进行评估分析，提供完整的风险处置和控制建议，帮助省中心进行信息安全合规性检查以及标准的贯彻。具体包括：</w:t>
      </w:r>
    </w:p>
    <w:p>
      <w:pPr>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4.1</w:t>
      </w:r>
      <w:r>
        <w:rPr>
          <w:rFonts w:hAnsi="宋体" w:cs="宋体"/>
          <w:color w:val="000000" w:themeColor="text1"/>
          <w:sz w:val="28"/>
          <w:szCs w:val="28"/>
          <w14:textFill>
            <w14:solidFill>
              <w14:schemeClr w14:val="tx1"/>
            </w14:solidFill>
          </w14:textFill>
        </w:rPr>
        <w:t>信息安全等级保护建设咨询</w:t>
      </w:r>
      <w:r>
        <w:rPr>
          <w:rFonts w:hint="eastAsia" w:hAnsi="宋体" w:cs="宋体"/>
          <w:color w:val="000000" w:themeColor="text1"/>
          <w:sz w:val="28"/>
          <w:szCs w:val="28"/>
          <w14:textFill>
            <w14:solidFill>
              <w14:schemeClr w14:val="tx1"/>
            </w14:solidFill>
          </w14:textFill>
        </w:rPr>
        <w:t>：遵循国家等级保护要求，协助省中心进行定级、备案、差距评估、整改方案设计、安全加固、整理测评资料和协助通过测评，最终帮助省中心完成信息系统达标建设，高分通过测评机构的测评。</w:t>
      </w:r>
    </w:p>
    <w:p>
      <w:pPr>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4.2</w:t>
      </w:r>
      <w:r>
        <w:rPr>
          <w:rFonts w:hAnsi="宋体" w:cs="宋体"/>
          <w:color w:val="000000" w:themeColor="text1"/>
          <w:sz w:val="28"/>
          <w:szCs w:val="28"/>
          <w14:textFill>
            <w14:solidFill>
              <w14:schemeClr w14:val="tx1"/>
            </w14:solidFill>
          </w14:textFill>
        </w:rPr>
        <w:t>信息安全管理体系建设咨询</w:t>
      </w:r>
      <w:r>
        <w:rPr>
          <w:rFonts w:hint="eastAsia" w:hAnsi="宋体" w:cs="宋体"/>
          <w:color w:val="000000" w:themeColor="text1"/>
          <w:sz w:val="28"/>
          <w:szCs w:val="28"/>
          <w14:textFill>
            <w14:solidFill>
              <w14:schemeClr w14:val="tx1"/>
            </w14:solidFill>
          </w14:textFill>
        </w:rPr>
        <w:t>：</w:t>
      </w:r>
      <w:r>
        <w:rPr>
          <w:rFonts w:hAnsi="宋体" w:cs="宋体"/>
          <w:color w:val="000000" w:themeColor="text1"/>
          <w:sz w:val="28"/>
          <w:szCs w:val="28"/>
          <w14:textFill>
            <w14:solidFill>
              <w14:schemeClr w14:val="tx1"/>
            </w14:solidFill>
          </w14:textFill>
        </w:rPr>
        <w:t>为基础信息网络和重要信息系统提供合规性管理咨询服务，从信息安全战略、安全策略规范等角度协助省中心开展安全保障的各项指导工作。</w:t>
      </w:r>
    </w:p>
    <w:p>
      <w:pPr>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4.3</w:t>
      </w:r>
      <w:r>
        <w:rPr>
          <w:rFonts w:hAnsi="宋体" w:cs="宋体"/>
          <w:color w:val="000000" w:themeColor="text1"/>
          <w:sz w:val="28"/>
          <w:szCs w:val="28"/>
          <w14:textFill>
            <w14:solidFill>
              <w14:schemeClr w14:val="tx1"/>
            </w14:solidFill>
          </w14:textFill>
        </w:rPr>
        <w:t>安防系统规划</w:t>
      </w:r>
      <w:r>
        <w:rPr>
          <w:rFonts w:hint="eastAsia" w:hAnsi="宋体" w:cs="宋体"/>
          <w:color w:val="000000" w:themeColor="text1"/>
          <w:sz w:val="28"/>
          <w:szCs w:val="28"/>
          <w14:textFill>
            <w14:solidFill>
              <w14:schemeClr w14:val="tx1"/>
            </w14:solidFill>
          </w14:textFill>
        </w:rPr>
        <w:t>、</w:t>
      </w:r>
      <w:r>
        <w:rPr>
          <w:rFonts w:hAnsi="宋体" w:cs="宋体"/>
          <w:color w:val="000000" w:themeColor="text1"/>
          <w:sz w:val="28"/>
          <w:szCs w:val="28"/>
          <w14:textFill>
            <w14:solidFill>
              <w14:schemeClr w14:val="tx1"/>
            </w14:solidFill>
          </w14:textFill>
        </w:rPr>
        <w:t>建设及运维管理咨询</w:t>
      </w:r>
      <w:r>
        <w:rPr>
          <w:rFonts w:hint="eastAsia" w:hAnsi="宋体" w:cs="宋体"/>
          <w:color w:val="000000" w:themeColor="text1"/>
          <w:sz w:val="28"/>
          <w:szCs w:val="28"/>
          <w14:textFill>
            <w14:solidFill>
              <w14:schemeClr w14:val="tx1"/>
            </w14:solidFill>
          </w14:textFill>
        </w:rPr>
        <w:t>：</w:t>
      </w:r>
      <w:r>
        <w:rPr>
          <w:rFonts w:hAnsi="宋体" w:cs="宋体"/>
          <w:color w:val="000000" w:themeColor="text1"/>
          <w:sz w:val="28"/>
          <w:szCs w:val="28"/>
          <w14:textFill>
            <w14:solidFill>
              <w14:schemeClr w14:val="tx1"/>
            </w14:solidFill>
          </w14:textFill>
        </w:rPr>
        <w:t>提供高质量方法建议，协助省中心准确了解</w:t>
      </w:r>
      <w:r>
        <w:rPr>
          <w:rFonts w:hint="eastAsia" w:hAnsi="宋体" w:cs="宋体"/>
          <w:color w:val="000000" w:themeColor="text1"/>
          <w:sz w:val="28"/>
          <w:szCs w:val="28"/>
          <w14:textFill>
            <w14:solidFill>
              <w14:schemeClr w14:val="tx1"/>
            </w14:solidFill>
          </w14:textFill>
        </w:rPr>
        <w:t>本部门</w:t>
      </w:r>
      <w:r>
        <w:rPr>
          <w:rFonts w:hAnsi="宋体" w:cs="宋体"/>
          <w:color w:val="000000" w:themeColor="text1"/>
          <w:sz w:val="28"/>
          <w:szCs w:val="28"/>
          <w14:textFill>
            <w14:solidFill>
              <w14:schemeClr w14:val="tx1"/>
            </w14:solidFill>
          </w14:textFill>
        </w:rPr>
        <w:t>的信息安全现状，指导</w:t>
      </w:r>
      <w:r>
        <w:rPr>
          <w:rFonts w:hint="eastAsia" w:hAnsi="宋体" w:cs="宋体"/>
          <w:color w:val="000000" w:themeColor="text1"/>
          <w:sz w:val="28"/>
          <w:szCs w:val="28"/>
          <w14:textFill>
            <w14:solidFill>
              <w14:schemeClr w14:val="tx1"/>
            </w14:solidFill>
          </w14:textFill>
        </w:rPr>
        <w:t>省中心</w:t>
      </w:r>
      <w:r>
        <w:rPr>
          <w:rFonts w:hAnsi="宋体" w:cs="宋体"/>
          <w:color w:val="000000" w:themeColor="text1"/>
          <w:sz w:val="28"/>
          <w:szCs w:val="28"/>
          <w14:textFill>
            <w14:solidFill>
              <w14:schemeClr w14:val="tx1"/>
            </w14:solidFill>
          </w14:textFill>
        </w:rPr>
        <w:t>信息安全建设和投入，建立信息安全管理和技术体系。</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5．漏洞扫描</w:t>
      </w:r>
    </w:p>
    <w:p>
      <w:pPr>
        <w:tabs>
          <w:tab w:val="left" w:pos="4111"/>
        </w:tabs>
        <w:spacing w:line="360" w:lineRule="auto"/>
        <w:ind w:firstLine="560" w:firstLineChars="200"/>
        <w:rPr>
          <w:color w:val="000000" w:themeColor="text1"/>
          <w:sz w:val="28"/>
          <w:szCs w:val="28"/>
          <w14:textFill>
            <w14:solidFill>
              <w14:schemeClr w14:val="tx1"/>
            </w14:solidFill>
          </w14:textFill>
        </w:rPr>
      </w:pPr>
      <w:r>
        <w:rPr>
          <w:rFonts w:hAnsi="宋体" w:cs="宋体"/>
          <w:color w:val="000000" w:themeColor="text1"/>
          <w:kern w:val="2"/>
          <w:sz w:val="28"/>
          <w:szCs w:val="28"/>
          <w14:textFill>
            <w14:solidFill>
              <w14:schemeClr w14:val="tx1"/>
            </w14:solidFill>
          </w14:textFill>
        </w:rPr>
        <w:t>通过对信息系统定期检测（工具扫描及安全专家人工检测），及时发现信息系统（网络架构、网络设备、服务器主机、操作系统、数据库和用户账号、口令等安全对象）存在的各种安全</w:t>
      </w:r>
      <w:r>
        <w:rPr>
          <w:rFonts w:hint="eastAsia" w:hAnsi="宋体" w:cs="宋体"/>
          <w:color w:val="000000" w:themeColor="text1"/>
          <w:kern w:val="2"/>
          <w:sz w:val="28"/>
          <w:szCs w:val="28"/>
          <w14:textFill>
            <w14:solidFill>
              <w14:schemeClr w14:val="tx1"/>
            </w14:solidFill>
          </w14:textFill>
        </w:rPr>
        <w:t>漏洞、</w:t>
      </w:r>
      <w:r>
        <w:rPr>
          <w:rFonts w:hAnsi="宋体" w:cs="宋体"/>
          <w:color w:val="000000" w:themeColor="text1"/>
          <w:kern w:val="2"/>
          <w:sz w:val="28"/>
          <w:szCs w:val="28"/>
          <w14:textFill>
            <w14:solidFill>
              <w14:schemeClr w14:val="tx1"/>
            </w14:solidFill>
          </w14:textFill>
        </w:rPr>
        <w:t>隐患，以及系统运行状态，</w:t>
      </w:r>
      <w:r>
        <w:rPr>
          <w:rFonts w:hint="eastAsia" w:hAnsi="宋体" w:cs="宋体"/>
          <w:color w:val="000000" w:themeColor="text1"/>
          <w:kern w:val="2"/>
          <w:sz w:val="28"/>
          <w:szCs w:val="28"/>
          <w14:textFill>
            <w14:solidFill>
              <w14:schemeClr w14:val="tx1"/>
            </w14:solidFill>
          </w14:textFill>
        </w:rPr>
        <w:t>漏洞扫描</w:t>
      </w:r>
      <w:r>
        <w:rPr>
          <w:rFonts w:hAnsi="宋体" w:cs="宋体"/>
          <w:color w:val="000000" w:themeColor="text1"/>
          <w:kern w:val="2"/>
          <w:sz w:val="28"/>
          <w:szCs w:val="28"/>
          <w14:textFill>
            <w14:solidFill>
              <w14:schemeClr w14:val="tx1"/>
            </w14:solidFill>
          </w14:textFill>
        </w:rPr>
        <w:t>完毕后提供</w:t>
      </w:r>
      <w:r>
        <w:rPr>
          <w:rFonts w:hint="eastAsia" w:hAnsi="宋体" w:cs="宋体"/>
          <w:color w:val="000000" w:themeColor="text1"/>
          <w:kern w:val="2"/>
          <w:sz w:val="28"/>
          <w:szCs w:val="28"/>
          <w14:textFill>
            <w14:solidFill>
              <w14:schemeClr w14:val="tx1"/>
            </w14:solidFill>
          </w14:textFill>
        </w:rPr>
        <w:t>检测</w:t>
      </w:r>
      <w:r>
        <w:rPr>
          <w:rFonts w:hAnsi="宋体" w:cs="宋体"/>
          <w:color w:val="000000" w:themeColor="text1"/>
          <w:kern w:val="2"/>
          <w:sz w:val="28"/>
          <w:szCs w:val="28"/>
          <w14:textFill>
            <w14:solidFill>
              <w14:schemeClr w14:val="tx1"/>
            </w14:solidFill>
          </w14:textFill>
        </w:rPr>
        <w:t>报告，提出系统加固建议以及相关的</w:t>
      </w:r>
      <w:r>
        <w:rPr>
          <w:rFonts w:hint="eastAsia" w:hAnsi="宋体" w:cs="宋体"/>
          <w:color w:val="000000" w:themeColor="text1"/>
          <w:kern w:val="2"/>
          <w:sz w:val="28"/>
          <w:szCs w:val="28"/>
          <w14:textFill>
            <w14:solidFill>
              <w14:schemeClr w14:val="tx1"/>
            </w14:solidFill>
          </w14:textFill>
        </w:rPr>
        <w:t>处置</w:t>
      </w:r>
      <w:r>
        <w:rPr>
          <w:rFonts w:hAnsi="宋体" w:cs="宋体"/>
          <w:color w:val="000000" w:themeColor="text1"/>
          <w:kern w:val="2"/>
          <w:sz w:val="28"/>
          <w:szCs w:val="28"/>
          <w14:textFill>
            <w14:solidFill>
              <w14:schemeClr w14:val="tx1"/>
            </w14:solidFill>
          </w14:textFill>
        </w:rPr>
        <w:t>措施</w:t>
      </w:r>
      <w:r>
        <w:rPr>
          <w:rFonts w:hint="eastAsia" w:hAnsi="宋体" w:cs="宋体"/>
          <w:color w:val="000000" w:themeColor="text1"/>
          <w:kern w:val="2"/>
          <w:sz w:val="28"/>
          <w:szCs w:val="28"/>
          <w14:textFill>
            <w14:solidFill>
              <w14:schemeClr w14:val="tx1"/>
            </w14:solidFill>
          </w14:textFill>
        </w:rPr>
        <w:t>，并在完成整改后进行复扫，直至整改完成。</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6．W</w:t>
      </w:r>
      <w:r>
        <w:rPr>
          <w:rFonts w:ascii="宋体" w:hAnsi="宋体" w:cs="宋体"/>
          <w:color w:val="000000" w:themeColor="text1"/>
          <w:szCs w:val="28"/>
          <w14:textFill>
            <w14:solidFill>
              <w14:schemeClr w14:val="tx1"/>
            </w14:solidFill>
          </w14:textFill>
        </w:rPr>
        <w:t>EB</w:t>
      </w:r>
      <w:r>
        <w:rPr>
          <w:rFonts w:hint="eastAsia" w:ascii="宋体" w:hAnsi="宋体" w:cs="宋体"/>
          <w:color w:val="000000" w:themeColor="text1"/>
          <w:szCs w:val="28"/>
          <w14:textFill>
            <w14:solidFill>
              <w14:schemeClr w14:val="tx1"/>
            </w14:solidFill>
          </w14:textFill>
        </w:rPr>
        <w:t>安全扫描</w:t>
      </w:r>
    </w:p>
    <w:p>
      <w:pPr>
        <w:tabs>
          <w:tab w:val="left" w:pos="4111"/>
        </w:tabs>
        <w:spacing w:line="360" w:lineRule="auto"/>
        <w:ind w:firstLine="560" w:firstLineChars="200"/>
        <w:rPr>
          <w:color w:val="000000" w:themeColor="text1"/>
          <w:sz w:val="28"/>
          <w:szCs w:val="28"/>
          <w14:textFill>
            <w14:solidFill>
              <w14:schemeClr w14:val="tx1"/>
            </w14:solidFill>
          </w14:textFill>
        </w:rPr>
      </w:pPr>
      <w:r>
        <w:rPr>
          <w:rFonts w:hint="eastAsia" w:hAnsi="宋体" w:cs="宋体"/>
          <w:color w:val="000000" w:themeColor="text1"/>
          <w:kern w:val="2"/>
          <w:sz w:val="28"/>
          <w:szCs w:val="28"/>
          <w14:textFill>
            <w14:solidFill>
              <w14:schemeClr w14:val="tx1"/>
            </w14:solidFill>
          </w14:textFill>
        </w:rPr>
        <w:t>不定期（每年不少于1次），针对W</w:t>
      </w:r>
      <w:r>
        <w:rPr>
          <w:rFonts w:hAnsi="宋体" w:cs="宋体"/>
          <w:color w:val="000000" w:themeColor="text1"/>
          <w:kern w:val="2"/>
          <w:sz w:val="28"/>
          <w:szCs w:val="28"/>
          <w14:textFill>
            <w14:solidFill>
              <w14:schemeClr w14:val="tx1"/>
            </w14:solidFill>
          </w14:textFill>
        </w:rPr>
        <w:t>EB</w:t>
      </w:r>
      <w:r>
        <w:rPr>
          <w:rFonts w:hint="eastAsia" w:hAnsi="宋体" w:cs="宋体"/>
          <w:color w:val="000000" w:themeColor="text1"/>
          <w:kern w:val="2"/>
          <w:sz w:val="28"/>
          <w:szCs w:val="28"/>
          <w14:textFill>
            <w14:solidFill>
              <w14:schemeClr w14:val="tx1"/>
            </w14:solidFill>
          </w14:textFill>
        </w:rPr>
        <w:t>应用系统漏洞进行</w:t>
      </w:r>
      <w:r>
        <w:rPr>
          <w:rFonts w:hAnsi="宋体" w:cs="宋体"/>
          <w:color w:val="000000" w:themeColor="text1"/>
          <w:kern w:val="2"/>
          <w:sz w:val="28"/>
          <w:szCs w:val="28"/>
          <w14:textFill>
            <w14:solidFill>
              <w14:schemeClr w14:val="tx1"/>
            </w14:solidFill>
          </w14:textFill>
        </w:rPr>
        <w:t>定期检测（工具扫描及安全专家人工检测），及时发现</w:t>
      </w:r>
      <w:r>
        <w:rPr>
          <w:rFonts w:hint="eastAsia" w:hAnsi="宋体" w:cs="宋体"/>
          <w:color w:val="000000" w:themeColor="text1"/>
          <w:kern w:val="2"/>
          <w:sz w:val="28"/>
          <w:szCs w:val="28"/>
          <w14:textFill>
            <w14:solidFill>
              <w14:schemeClr w14:val="tx1"/>
            </w14:solidFill>
          </w14:textFill>
        </w:rPr>
        <w:t>W</w:t>
      </w:r>
      <w:r>
        <w:rPr>
          <w:rFonts w:hAnsi="宋体" w:cs="宋体"/>
          <w:color w:val="000000" w:themeColor="text1"/>
          <w:kern w:val="2"/>
          <w:sz w:val="28"/>
          <w:szCs w:val="28"/>
          <w14:textFill>
            <w14:solidFill>
              <w14:schemeClr w14:val="tx1"/>
            </w14:solidFill>
          </w14:textFill>
        </w:rPr>
        <w:t>EB</w:t>
      </w:r>
      <w:r>
        <w:rPr>
          <w:rFonts w:hint="eastAsia" w:hAnsi="宋体" w:cs="宋体"/>
          <w:color w:val="000000" w:themeColor="text1"/>
          <w:kern w:val="2"/>
          <w:sz w:val="28"/>
          <w:szCs w:val="28"/>
          <w14:textFill>
            <w14:solidFill>
              <w14:schemeClr w14:val="tx1"/>
            </w14:solidFill>
          </w14:textFill>
        </w:rPr>
        <w:t>应用层</w:t>
      </w:r>
      <w:r>
        <w:rPr>
          <w:rFonts w:hAnsi="宋体" w:cs="宋体"/>
          <w:color w:val="000000" w:themeColor="text1"/>
          <w:kern w:val="2"/>
          <w:sz w:val="28"/>
          <w:szCs w:val="28"/>
          <w14:textFill>
            <w14:solidFill>
              <w14:schemeClr w14:val="tx1"/>
            </w14:solidFill>
          </w14:textFill>
        </w:rPr>
        <w:t>存在的各种安全</w:t>
      </w:r>
      <w:r>
        <w:rPr>
          <w:rFonts w:hint="eastAsia" w:hAnsi="宋体" w:cs="宋体"/>
          <w:color w:val="000000" w:themeColor="text1"/>
          <w:kern w:val="2"/>
          <w:sz w:val="28"/>
          <w:szCs w:val="28"/>
          <w14:textFill>
            <w14:solidFill>
              <w14:schemeClr w14:val="tx1"/>
            </w14:solidFill>
          </w14:textFill>
        </w:rPr>
        <w:t>漏洞、</w:t>
      </w:r>
      <w:r>
        <w:rPr>
          <w:rFonts w:hAnsi="宋体" w:cs="宋体"/>
          <w:color w:val="000000" w:themeColor="text1"/>
          <w:kern w:val="2"/>
          <w:sz w:val="28"/>
          <w:szCs w:val="28"/>
          <w14:textFill>
            <w14:solidFill>
              <w14:schemeClr w14:val="tx1"/>
            </w14:solidFill>
          </w14:textFill>
        </w:rPr>
        <w:t>隐患，以及系统运行状态，</w:t>
      </w:r>
      <w:r>
        <w:rPr>
          <w:rFonts w:hint="eastAsia" w:hAnsi="宋体" w:cs="宋体"/>
          <w:color w:val="000000" w:themeColor="text1"/>
          <w:kern w:val="2"/>
          <w:sz w:val="28"/>
          <w:szCs w:val="28"/>
          <w14:textFill>
            <w14:solidFill>
              <w14:schemeClr w14:val="tx1"/>
            </w14:solidFill>
          </w14:textFill>
        </w:rPr>
        <w:t>安全扫描</w:t>
      </w:r>
      <w:r>
        <w:rPr>
          <w:rFonts w:hAnsi="宋体" w:cs="宋体"/>
          <w:color w:val="000000" w:themeColor="text1"/>
          <w:kern w:val="2"/>
          <w:sz w:val="28"/>
          <w:szCs w:val="28"/>
          <w14:textFill>
            <w14:solidFill>
              <w14:schemeClr w14:val="tx1"/>
            </w14:solidFill>
          </w14:textFill>
        </w:rPr>
        <w:t>完毕后提供</w:t>
      </w:r>
      <w:r>
        <w:rPr>
          <w:rFonts w:hint="eastAsia" w:hAnsi="宋体" w:cs="宋体"/>
          <w:color w:val="000000" w:themeColor="text1"/>
          <w:kern w:val="2"/>
          <w:sz w:val="28"/>
          <w:szCs w:val="28"/>
          <w14:textFill>
            <w14:solidFill>
              <w14:schemeClr w14:val="tx1"/>
            </w14:solidFill>
          </w14:textFill>
        </w:rPr>
        <w:t>检测</w:t>
      </w:r>
      <w:r>
        <w:rPr>
          <w:rFonts w:hAnsi="宋体" w:cs="宋体"/>
          <w:color w:val="000000" w:themeColor="text1"/>
          <w:kern w:val="2"/>
          <w:sz w:val="28"/>
          <w:szCs w:val="28"/>
          <w14:textFill>
            <w14:solidFill>
              <w14:schemeClr w14:val="tx1"/>
            </w14:solidFill>
          </w14:textFill>
        </w:rPr>
        <w:t>报告，提出系统加固建议以及相关的</w:t>
      </w:r>
      <w:r>
        <w:rPr>
          <w:rFonts w:hint="eastAsia" w:hAnsi="宋体" w:cs="宋体"/>
          <w:color w:val="000000" w:themeColor="text1"/>
          <w:kern w:val="2"/>
          <w:sz w:val="28"/>
          <w:szCs w:val="28"/>
          <w14:textFill>
            <w14:solidFill>
              <w14:schemeClr w14:val="tx1"/>
            </w14:solidFill>
          </w14:textFill>
        </w:rPr>
        <w:t>处置</w:t>
      </w:r>
      <w:r>
        <w:rPr>
          <w:rFonts w:hAnsi="宋体" w:cs="宋体"/>
          <w:color w:val="000000" w:themeColor="text1"/>
          <w:kern w:val="2"/>
          <w:sz w:val="28"/>
          <w:szCs w:val="28"/>
          <w14:textFill>
            <w14:solidFill>
              <w14:schemeClr w14:val="tx1"/>
            </w14:solidFill>
          </w14:textFill>
        </w:rPr>
        <w:t>措施</w:t>
      </w:r>
      <w:r>
        <w:rPr>
          <w:rFonts w:hint="eastAsia" w:hAnsi="宋体" w:cs="宋体"/>
          <w:color w:val="000000" w:themeColor="text1"/>
          <w:kern w:val="2"/>
          <w:sz w:val="28"/>
          <w:szCs w:val="28"/>
          <w14:textFill>
            <w14:solidFill>
              <w14:schemeClr w14:val="tx1"/>
            </w14:solidFill>
          </w14:textFill>
        </w:rPr>
        <w:t>，并在完成整改后进行复扫，直至整改完成。</w:t>
      </w:r>
    </w:p>
    <w:p>
      <w:pPr>
        <w:pStyle w:val="2"/>
        <w:numPr>
          <w:ilvl w:val="0"/>
          <w:numId w:val="16"/>
        </w:numPr>
        <w:ind w:firstLine="56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渗透检测</w:t>
      </w:r>
    </w:p>
    <w:p>
      <w:pPr>
        <w:tabs>
          <w:tab w:val="left" w:pos="4111"/>
        </w:tabs>
        <w:spacing w:line="360" w:lineRule="auto"/>
        <w:ind w:firstLine="560" w:firstLineChars="20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不定期（每年至少1次），利用网络安全测试工具，对省中心网络设备和信息系统进行非破坏性模拟黑客攻击，入侵目标系统过程和细节，以书面报告呈现，真实、深入地找出省中心当前信息安全问题和隐患，提出解决和处理方案，并配合省中心进行逐一整改，</w:t>
      </w:r>
      <w:r>
        <w:rPr>
          <w:rFonts w:hint="eastAsia" w:hAnsi="宋体" w:cs="宋体"/>
          <w:color w:val="000000" w:themeColor="text1"/>
          <w:kern w:val="2"/>
          <w:sz w:val="28"/>
          <w:szCs w:val="28"/>
          <w14:textFill>
            <w14:solidFill>
              <w14:schemeClr w14:val="tx1"/>
            </w14:solidFill>
          </w14:textFill>
        </w:rPr>
        <w:t>并在完成整改后进行复扫，直至整改完成。</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8．数据流向梳理</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通过工具对网络结构、路由配置、网络数据包进行分析，梳理网络数据通信情况，提出链路调整、路由优化建议，提高网络通信效率。</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9．安全策略完善</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从管理、技术两个维度完善网络安全策略，并进行定期修订。</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10．安全配置核查</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依据网络安全策略、网络安全预警信息和国家、行业相关标准，核查路由交换设备、网络安全设备、服务器、数据库、用户终端、应用系统等的安全配置，及时发现配置错误、缺失，并进行修正完善。</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11．安全应急处理</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t>在</w:t>
      </w:r>
      <w:r>
        <w:rPr>
          <w:rFonts w:hint="eastAsia" w:ascii="宋体" w:hAnsi="宋体" w:cs="宋体"/>
          <w:color w:val="000000" w:themeColor="text1"/>
          <w:szCs w:val="28"/>
          <w14:textFill>
            <w14:solidFill>
              <w14:schemeClr w14:val="tx1"/>
            </w14:solidFill>
          </w14:textFill>
        </w:rPr>
        <w:t>省中心</w:t>
      </w:r>
      <w:r>
        <w:rPr>
          <w:rFonts w:ascii="宋体" w:hAnsi="宋体" w:cs="宋体"/>
          <w:color w:val="000000" w:themeColor="text1"/>
          <w:szCs w:val="28"/>
          <w14:textFill>
            <w14:solidFill>
              <w14:schemeClr w14:val="tx1"/>
            </w14:solidFill>
          </w14:textFill>
        </w:rPr>
        <w:t>发生确切的安全事件时，应急响应实施人员及时采取行动限制事件扩散和影响的范围，限制潜在的损失与破坏，实施人员协助省中心检查所有受影响的系统，在准确判断安全事件原因的基础上，提出基于安全事件整体安全解决方案，排除系统安全风险并协助追查事件来源、提出解决方案、协助后续处置。</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12．安全日常管理</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对网络安全保障工作进行日常管理，提高单位网络安全保障水平。</w:t>
      </w:r>
    </w:p>
    <w:p>
      <w:pPr>
        <w:pStyle w:val="255"/>
        <w:numPr>
          <w:ilvl w:val="0"/>
          <w:numId w:val="17"/>
        </w:numPr>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安全意识教育和培训</w:t>
      </w:r>
    </w:p>
    <w:p>
      <w:pPr>
        <w:pStyle w:val="255"/>
        <w:spacing w:line="360" w:lineRule="auto"/>
        <w:ind w:firstLine="560"/>
        <w:rPr>
          <w:rFonts w:hint="eastAsia"/>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全年至少2次，按照相关要求，针对不同人员，对省中心各类人员进行安全意识教育和岗位技能培训，并告知相关的安全责任和惩戒措施；针对不同岗位制定不同的培训计划，对安全基础知识、岗位操作规程等进行培训；定期对不同岗位的人员进行技能考核。供应商按照省中心邀请的专家进行内容培训，省中心不再支付培训及专家费用。</w:t>
      </w:r>
    </w:p>
    <w:p>
      <w:pPr>
        <w:pStyle w:val="255"/>
        <w:spacing w:line="360" w:lineRule="auto"/>
        <w:ind w:firstLine="56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14．协助处理其他安全任务</w:t>
      </w:r>
    </w:p>
    <w:p>
      <w:pPr>
        <w:pStyle w:val="6"/>
        <w:numPr>
          <w:ilvl w:val="0"/>
          <w:numId w:val="0"/>
        </w:numPr>
        <w:ind w:firstLine="560" w:firstLineChars="200"/>
        <w:rPr>
          <w:rFonts w:hint="default"/>
          <w:color w:val="000000" w:themeColor="text1"/>
          <w:lang w:val="en-US" w:eastAsia="zh-CN"/>
          <w14:textFill>
            <w14:solidFill>
              <w14:schemeClr w14:val="tx1"/>
            </w14:solidFill>
          </w14:textFill>
        </w:rPr>
      </w:pPr>
      <w:r>
        <w:rPr>
          <w:rFonts w:hint="eastAsia" w:hAnsi="宋体" w:cs="宋体"/>
          <w:color w:val="000000" w:themeColor="text1"/>
          <w:kern w:val="2"/>
          <w:sz w:val="28"/>
          <w:szCs w:val="28"/>
          <w14:textFill>
            <w14:solidFill>
              <w14:schemeClr w14:val="tx1"/>
            </w14:solidFill>
          </w14:textFill>
        </w:rPr>
        <w:t>根据省中心要求，协助处理其他安全任务。</w:t>
      </w:r>
    </w:p>
    <w:p>
      <w:pPr>
        <w:pStyle w:val="3"/>
        <w:spacing w:before="0" w:after="0" w:line="540" w:lineRule="exact"/>
        <w:rPr>
          <w:rFonts w:ascii="仿宋" w:hAnsi="仿宋" w:eastAsia="仿宋" w:cs="仿宋"/>
          <w:b/>
          <w:color w:val="000000" w:themeColor="text1"/>
          <w:sz w:val="32"/>
          <w:szCs w:val="32"/>
          <w14:textFill>
            <w14:solidFill>
              <w14:schemeClr w14:val="tx1"/>
            </w14:solidFill>
          </w14:textFill>
        </w:rPr>
      </w:pPr>
      <w:bookmarkStart w:id="12" w:name="_Toc468808807"/>
      <w:r>
        <w:rPr>
          <w:rFonts w:hint="eastAsia" w:ascii="仿宋" w:hAnsi="仿宋" w:eastAsia="仿宋" w:cs="仿宋"/>
          <w:b/>
          <w:color w:val="000000" w:themeColor="text1"/>
          <w:sz w:val="32"/>
          <w:szCs w:val="32"/>
          <w14:textFill>
            <w14:solidFill>
              <w14:schemeClr w14:val="tx1"/>
            </w14:solidFill>
          </w14:textFill>
        </w:rPr>
        <w:t>第三章</w:t>
      </w:r>
      <w:r>
        <w:rPr>
          <w:rFonts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评审办法</w:t>
      </w:r>
      <w:bookmarkEnd w:id="10"/>
      <w:bookmarkEnd w:id="11"/>
      <w:r>
        <w:rPr>
          <w:rFonts w:hint="eastAsia" w:ascii="仿宋" w:hAnsi="仿宋" w:eastAsia="仿宋" w:cs="仿宋"/>
          <w:b/>
          <w:color w:val="000000" w:themeColor="text1"/>
          <w:sz w:val="32"/>
          <w:szCs w:val="32"/>
          <w14:textFill>
            <w14:solidFill>
              <w14:schemeClr w14:val="tx1"/>
            </w14:solidFill>
          </w14:textFill>
        </w:rPr>
        <w:t>（综合评分法）</w:t>
      </w:r>
      <w:bookmarkEnd w:id="12"/>
    </w:p>
    <w:p>
      <w:pPr>
        <w:pStyle w:val="4"/>
        <w:spacing w:before="0" w:after="0" w:line="540" w:lineRule="exact"/>
        <w:rPr>
          <w:rFonts w:ascii="仿宋" w:hAnsi="仿宋" w:eastAsia="仿宋" w:cs="仿宋"/>
          <w:b/>
          <w:color w:val="000000" w:themeColor="text1"/>
          <w:sz w:val="32"/>
          <w14:textFill>
            <w14:solidFill>
              <w14:schemeClr w14:val="tx1"/>
            </w14:solidFill>
          </w14:textFill>
        </w:rPr>
      </w:pPr>
      <w:bookmarkStart w:id="13" w:name="_Toc406313792"/>
      <w:bookmarkStart w:id="14" w:name="_Toc385507152"/>
      <w:bookmarkStart w:id="15" w:name="_Toc406413564"/>
      <w:bookmarkStart w:id="16" w:name="_Toc468808809"/>
      <w:bookmarkStart w:id="17" w:name="_Toc227057964"/>
      <w:bookmarkStart w:id="18" w:name="_Toc396318580"/>
      <w:bookmarkStart w:id="19" w:name="_Toc378497710"/>
      <w:bookmarkStart w:id="20" w:name="_Toc226969358"/>
      <w:bookmarkStart w:id="21" w:name="_Toc226969359"/>
      <w:bookmarkStart w:id="22" w:name="_Toc227057965"/>
      <w:bookmarkStart w:id="23" w:name="_Toc107822557"/>
      <w:r>
        <w:rPr>
          <w:rFonts w:ascii="仿宋" w:hAnsi="仿宋" w:eastAsia="仿宋" w:cs="仿宋"/>
          <w:b/>
          <w:color w:val="000000" w:themeColor="text1"/>
          <w:sz w:val="32"/>
          <w14:textFill>
            <w14:solidFill>
              <w14:schemeClr w14:val="tx1"/>
            </w14:solidFill>
          </w14:textFill>
        </w:rPr>
        <w:t>3.</w:t>
      </w:r>
      <w:r>
        <w:rPr>
          <w:rFonts w:hint="eastAsia" w:ascii="仿宋" w:hAnsi="仿宋" w:eastAsia="仿宋" w:cs="仿宋"/>
          <w:b/>
          <w:color w:val="000000" w:themeColor="text1"/>
          <w:sz w:val="32"/>
          <w:lang w:val="en-US" w:eastAsia="zh-CN"/>
          <w14:textFill>
            <w14:solidFill>
              <w14:schemeClr w14:val="tx1"/>
            </w14:solidFill>
          </w14:textFill>
        </w:rPr>
        <w:t>1</w:t>
      </w:r>
      <w:r>
        <w:rPr>
          <w:rFonts w:hint="eastAsia" w:ascii="仿宋" w:hAnsi="仿宋" w:eastAsia="仿宋" w:cs="仿宋"/>
          <w:b/>
          <w:color w:val="000000" w:themeColor="text1"/>
          <w:sz w:val="32"/>
          <w14:textFill>
            <w14:solidFill>
              <w14:schemeClr w14:val="tx1"/>
            </w14:solidFill>
          </w14:textFill>
        </w:rPr>
        <w:t>评审的量化因素及权重比值</w:t>
      </w:r>
      <w:bookmarkEnd w:id="13"/>
      <w:bookmarkEnd w:id="14"/>
      <w:bookmarkEnd w:id="15"/>
      <w:bookmarkEnd w:id="16"/>
      <w:bookmarkEnd w:id="17"/>
      <w:bookmarkEnd w:id="18"/>
      <w:bookmarkEnd w:id="19"/>
      <w:bookmarkEnd w:id="20"/>
    </w:p>
    <w:p>
      <w:pPr>
        <w:spacing w:line="54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本项目采用综合评分方式确定中标候选人排名</w:t>
      </w:r>
      <w:r>
        <w:rPr>
          <w:rFonts w:hint="eastAsia" w:ascii="仿宋" w:hAnsi="仿宋" w:eastAsia="仿宋" w:cs="仿宋"/>
          <w:color w:val="000000" w:themeColor="text1"/>
          <w:sz w:val="32"/>
          <w:szCs w:val="32"/>
          <w14:textFill>
            <w14:solidFill>
              <w14:schemeClr w14:val="tx1"/>
            </w14:solidFill>
          </w14:textFill>
        </w:rPr>
        <w:t>。综合评分包括：</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价格评分（</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技术服务方案（</w:t>
      </w:r>
      <w:r>
        <w:rPr>
          <w:rFonts w:hint="eastAsia" w:ascii="仿宋" w:hAnsi="仿宋" w:eastAsia="仿宋" w:cs="仿宋"/>
          <w:color w:val="000000" w:themeColor="text1"/>
          <w:sz w:val="32"/>
          <w:szCs w:val="32"/>
          <w:lang w:val="en-US" w:eastAsia="zh-CN"/>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供应商综合实力（</w:t>
      </w:r>
      <w:r>
        <w:rPr>
          <w:rFonts w:hint="eastAsia" w:ascii="仿宋" w:hAnsi="仿宋" w:eastAsia="仿宋" w:cs="仿宋"/>
          <w:color w:val="000000" w:themeColor="text1"/>
          <w:sz w:val="32"/>
          <w:szCs w:val="32"/>
          <w:lang w:val="en-US" w:eastAsia="zh-CN"/>
          <w14:textFill>
            <w14:solidFill>
              <w14:schemeClr w14:val="tx1"/>
            </w14:solidFill>
          </w14:textFill>
        </w:rPr>
        <w:t>34</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+售后服务（10分）+履约能力（10分）+文件规范性（1分）</w:t>
      </w:r>
      <w:r>
        <w:rPr>
          <w:rFonts w:hint="eastAsia" w:ascii="仿宋" w:hAnsi="仿宋" w:eastAsia="仿宋" w:cs="仿宋"/>
          <w:color w:val="000000" w:themeColor="text1"/>
          <w:sz w:val="32"/>
          <w:szCs w:val="32"/>
          <w14:textFill>
            <w14:solidFill>
              <w14:schemeClr w14:val="tx1"/>
            </w14:solidFill>
          </w14:textFill>
        </w:rPr>
        <w:t>。</w:t>
      </w:r>
    </w:p>
    <w:p>
      <w:pPr>
        <w:spacing w:line="540" w:lineRule="exact"/>
        <w:ind w:left="141" w:leftChars="67"/>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谈判人最终得分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价格评审得分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技术服务方案</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供应商综合实力</w:t>
      </w:r>
      <w:r>
        <w:rPr>
          <w:rFonts w:hint="eastAsia" w:ascii="仿宋" w:hAnsi="仿宋" w:eastAsia="仿宋" w:cs="仿宋"/>
          <w:color w:val="000000" w:themeColor="text1"/>
          <w:sz w:val="32"/>
          <w:szCs w:val="32"/>
          <w:lang w:val="en-US" w:eastAsia="zh-CN"/>
          <w14:textFill>
            <w14:solidFill>
              <w14:schemeClr w14:val="tx1"/>
            </w14:solidFill>
          </w14:textFill>
        </w:rPr>
        <w:t>+售后服务+履约能力+文件规范性</w:t>
      </w:r>
    </w:p>
    <w:p>
      <w:pPr>
        <w:pStyle w:val="4"/>
        <w:spacing w:line="540" w:lineRule="exact"/>
        <w:rPr>
          <w:rFonts w:ascii="仿宋" w:hAnsi="仿宋" w:eastAsia="仿宋" w:cs="仿宋"/>
          <w:b/>
          <w:color w:val="000000" w:themeColor="text1"/>
          <w:sz w:val="32"/>
          <w14:textFill>
            <w14:solidFill>
              <w14:schemeClr w14:val="tx1"/>
            </w14:solidFill>
          </w14:textFill>
        </w:rPr>
      </w:pPr>
      <w:bookmarkStart w:id="24" w:name="_Toc468808810"/>
      <w:r>
        <w:rPr>
          <w:rFonts w:ascii="仿宋" w:hAnsi="仿宋" w:eastAsia="仿宋" w:cs="仿宋"/>
          <w:b/>
          <w:bCs w:val="0"/>
          <w:color w:val="000000" w:themeColor="text1"/>
          <w:sz w:val="32"/>
          <w14:textFill>
            <w14:solidFill>
              <w14:schemeClr w14:val="tx1"/>
            </w14:solidFill>
          </w14:textFill>
        </w:rPr>
        <w:t xml:space="preserve">3.3 </w:t>
      </w:r>
      <w:bookmarkStart w:id="25" w:name="_Toc263964481"/>
      <w:bookmarkStart w:id="26" w:name="_Toc420655597"/>
      <w:bookmarkStart w:id="27" w:name="_Toc263964579"/>
      <w:bookmarkStart w:id="28" w:name="_Toc229558393"/>
      <w:bookmarkStart w:id="29" w:name="_Toc224619345"/>
      <w:bookmarkStart w:id="30" w:name="_Toc196153992"/>
      <w:bookmarkStart w:id="31" w:name="_Toc263963173"/>
      <w:bookmarkStart w:id="32" w:name="_Toc400970099"/>
      <w:bookmarkStart w:id="33" w:name="_Toc197247444"/>
      <w:bookmarkStart w:id="34" w:name="_Toc196153893"/>
      <w:bookmarkStart w:id="35" w:name="_Toc196153694"/>
      <w:bookmarkStart w:id="36" w:name="_Toc319905129"/>
      <w:bookmarkStart w:id="37" w:name="_Toc408249246"/>
      <w:bookmarkStart w:id="38" w:name="_Toc192354826"/>
      <w:bookmarkStart w:id="39" w:name="_Toc193268467"/>
      <w:r>
        <w:rPr>
          <w:rFonts w:hint="eastAsia" w:ascii="仿宋" w:hAnsi="仿宋" w:eastAsia="仿宋" w:cs="仿宋"/>
          <w:b/>
          <w:color w:val="000000" w:themeColor="text1"/>
          <w:sz w:val="32"/>
          <w14:textFill>
            <w14:solidFill>
              <w14:schemeClr w14:val="tx1"/>
            </w14:solidFill>
          </w14:textFill>
        </w:rPr>
        <w:t>评审方法</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40" w:name="_Toc196153894"/>
      <w:bookmarkStart w:id="41" w:name="_Toc196153695"/>
      <w:bookmarkStart w:id="42" w:name="_Toc196153993"/>
    </w:p>
    <w:p>
      <w:pPr>
        <w:spacing w:line="540" w:lineRule="exact"/>
        <w:rPr>
          <w:rFonts w:ascii="仿宋" w:hAnsi="仿宋" w:eastAsia="仿宋" w:cs="仿宋"/>
          <w:b/>
          <w:color w:val="000000" w:themeColor="text1"/>
          <w:sz w:val="32"/>
          <w:szCs w:val="32"/>
          <w14:textFill>
            <w14:solidFill>
              <w14:schemeClr w14:val="tx1"/>
            </w14:solidFill>
          </w14:textFill>
        </w:rPr>
      </w:pPr>
      <w:bookmarkStart w:id="43" w:name="_Toc408249247"/>
      <w:bookmarkStart w:id="44" w:name="_Toc197247445"/>
      <w:bookmarkStart w:id="45" w:name="_Toc400970100"/>
      <w:bookmarkStart w:id="46" w:name="_Toc263964482"/>
      <w:r>
        <w:rPr>
          <w:rFonts w:ascii="仿宋" w:hAnsi="仿宋" w:eastAsia="仿宋" w:cs="仿宋"/>
          <w:b/>
          <w:color w:val="000000" w:themeColor="text1"/>
          <w:sz w:val="32"/>
          <w:szCs w:val="32"/>
          <w14:textFill>
            <w14:solidFill>
              <w14:schemeClr w14:val="tx1"/>
            </w14:solidFill>
          </w14:textFill>
        </w:rPr>
        <w:t>3.3.1</w:t>
      </w:r>
      <w:r>
        <w:rPr>
          <w:rFonts w:hint="eastAsia" w:ascii="仿宋" w:hAnsi="仿宋" w:eastAsia="仿宋" w:cs="仿宋"/>
          <w:b/>
          <w:color w:val="000000" w:themeColor="text1"/>
          <w:sz w:val="32"/>
          <w:szCs w:val="32"/>
          <w14:textFill>
            <w14:solidFill>
              <w14:schemeClr w14:val="tx1"/>
            </w14:solidFill>
          </w14:textFill>
        </w:rPr>
        <w:t>谈判申请文件的初步评审</w:t>
      </w:r>
      <w:bookmarkEnd w:id="38"/>
      <w:bookmarkEnd w:id="39"/>
      <w:bookmarkEnd w:id="40"/>
      <w:bookmarkEnd w:id="41"/>
      <w:bookmarkEnd w:id="42"/>
      <w:bookmarkEnd w:id="43"/>
      <w:bookmarkEnd w:id="44"/>
      <w:bookmarkEnd w:id="45"/>
      <w:bookmarkEnd w:id="46"/>
    </w:p>
    <w:p>
      <w:pPr>
        <w:spacing w:line="540" w:lineRule="exact"/>
        <w:ind w:left="425"/>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3.3.1.1</w:t>
      </w:r>
      <w:r>
        <w:rPr>
          <w:rFonts w:hint="eastAsia" w:ascii="仿宋" w:hAnsi="仿宋" w:eastAsia="仿宋" w:cs="仿宋"/>
          <w:color w:val="000000" w:themeColor="text1"/>
          <w:sz w:val="32"/>
          <w:szCs w:val="32"/>
          <w14:textFill>
            <w14:solidFill>
              <w14:schemeClr w14:val="tx1"/>
            </w14:solidFill>
          </w14:textFill>
        </w:rPr>
        <w:t>在初步评审中，评审小组将首先审定每份谈判申请文件是否响应了谈判文件的下述要求。</w:t>
      </w:r>
    </w:p>
    <w:p>
      <w:pPr>
        <w:spacing w:line="540" w:lineRule="exact"/>
        <w:ind w:left="425"/>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3.3.1.2</w:t>
      </w:r>
      <w:r>
        <w:rPr>
          <w:rFonts w:hint="eastAsia" w:ascii="仿宋" w:hAnsi="仿宋" w:eastAsia="仿宋" w:cs="仿宋"/>
          <w:bCs/>
          <w:color w:val="000000" w:themeColor="text1"/>
          <w:sz w:val="32"/>
          <w:szCs w:val="32"/>
          <w14:textFill>
            <w14:solidFill>
              <w14:schemeClr w14:val="tx1"/>
            </w14:solidFill>
          </w14:textFill>
        </w:rPr>
        <w:t>如发现下列情况之一的，其</w:t>
      </w:r>
      <w:r>
        <w:rPr>
          <w:rFonts w:hint="eastAsia" w:ascii="仿宋" w:hAnsi="仿宋" w:eastAsia="仿宋" w:cs="仿宋"/>
          <w:color w:val="000000" w:themeColor="text1"/>
          <w:sz w:val="32"/>
          <w:szCs w:val="32"/>
          <w14:textFill>
            <w14:solidFill>
              <w14:schemeClr w14:val="tx1"/>
            </w14:solidFill>
          </w14:textFill>
        </w:rPr>
        <w:t>谈判</w:t>
      </w:r>
      <w:r>
        <w:rPr>
          <w:rFonts w:hint="eastAsia" w:ascii="仿宋" w:hAnsi="仿宋" w:eastAsia="仿宋" w:cs="仿宋"/>
          <w:bCs/>
          <w:color w:val="000000" w:themeColor="text1"/>
          <w:sz w:val="32"/>
          <w:szCs w:val="32"/>
          <w14:textFill>
            <w14:solidFill>
              <w14:schemeClr w14:val="tx1"/>
            </w14:solidFill>
          </w14:textFill>
        </w:rPr>
        <w:t>将被</w:t>
      </w:r>
      <w:r>
        <w:rPr>
          <w:rFonts w:hint="eastAsia" w:ascii="仿宋" w:hAnsi="仿宋" w:eastAsia="仿宋" w:cs="仿宋"/>
          <w:color w:val="000000" w:themeColor="text1"/>
          <w:sz w:val="32"/>
          <w:szCs w:val="32"/>
          <w14:textFill>
            <w14:solidFill>
              <w14:schemeClr w14:val="tx1"/>
            </w14:solidFill>
          </w14:textFill>
        </w:rPr>
        <w:t>评审小组</w:t>
      </w:r>
      <w:r>
        <w:rPr>
          <w:rFonts w:hint="eastAsia" w:ascii="仿宋" w:hAnsi="仿宋" w:eastAsia="仿宋" w:cs="仿宋"/>
          <w:bCs/>
          <w:color w:val="000000" w:themeColor="text1"/>
          <w:sz w:val="32"/>
          <w:szCs w:val="32"/>
          <w14:textFill>
            <w14:solidFill>
              <w14:schemeClr w14:val="tx1"/>
            </w14:solidFill>
          </w14:textFill>
        </w:rPr>
        <w:t>否决：</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）投标文件未按招标文件要求进行签署、盖章的；</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）资格证明文件不全的；</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）同一投标人提交两个以上不同的投标文件或者报价，以及投标文件没有提交谈判报价的；</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）投标文件载明的招标项目完成期限超过谈判文件规定的期限；</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）经评审小组认定投标人的报价低于成本价形成恶性竞争的；</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）明显不符合招标文件服务标准的要求；</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）投标文件附有采购人不能接受的条件；</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）报价超过招标文件规定的限价；</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）其他不符合招标文件实质性要求及法律、法规规定的其他情形。</w:t>
      </w:r>
    </w:p>
    <w:p>
      <w:pPr>
        <w:spacing w:line="540" w:lineRule="exact"/>
        <w:rPr>
          <w:rFonts w:ascii="仿宋" w:hAnsi="仿宋" w:eastAsia="仿宋" w:cs="仿宋"/>
          <w:b/>
          <w:color w:val="000000" w:themeColor="text1"/>
          <w:sz w:val="32"/>
          <w:szCs w:val="32"/>
          <w14:textFill>
            <w14:solidFill>
              <w14:schemeClr w14:val="tx1"/>
            </w14:solidFill>
          </w14:textFill>
        </w:rPr>
      </w:pPr>
      <w:bookmarkStart w:id="47" w:name="_Toc193268468"/>
      <w:bookmarkStart w:id="48" w:name="_Toc196153895"/>
      <w:bookmarkStart w:id="49" w:name="_Toc197247446"/>
      <w:bookmarkStart w:id="50" w:name="_Toc196153994"/>
      <w:bookmarkStart w:id="51" w:name="_Toc400970101"/>
      <w:bookmarkStart w:id="52" w:name="_Toc192354827"/>
      <w:bookmarkStart w:id="53" w:name="_Toc263964483"/>
      <w:bookmarkStart w:id="54" w:name="_Toc196153696"/>
      <w:bookmarkStart w:id="55" w:name="_Toc408249248"/>
      <w:r>
        <w:rPr>
          <w:rFonts w:ascii="仿宋" w:hAnsi="仿宋" w:eastAsia="仿宋" w:cs="仿宋"/>
          <w:b/>
          <w:color w:val="000000" w:themeColor="text1"/>
          <w:sz w:val="32"/>
          <w:szCs w:val="32"/>
          <w14:textFill>
            <w14:solidFill>
              <w14:schemeClr w14:val="tx1"/>
            </w14:solidFill>
          </w14:textFill>
        </w:rPr>
        <w:t xml:space="preserve">3.3.2 </w:t>
      </w:r>
      <w:r>
        <w:rPr>
          <w:rFonts w:hint="eastAsia" w:ascii="仿宋" w:hAnsi="仿宋" w:eastAsia="仿宋" w:cs="仿宋"/>
          <w:b/>
          <w:color w:val="000000" w:themeColor="text1"/>
          <w:sz w:val="32"/>
          <w:szCs w:val="32"/>
          <w14:textFill>
            <w14:solidFill>
              <w14:schemeClr w14:val="tx1"/>
            </w14:solidFill>
          </w14:textFill>
        </w:rPr>
        <w:t>报价计算错误的修正原则</w:t>
      </w:r>
      <w:bookmarkEnd w:id="47"/>
      <w:bookmarkEnd w:id="48"/>
      <w:bookmarkEnd w:id="49"/>
      <w:bookmarkEnd w:id="50"/>
      <w:bookmarkEnd w:id="51"/>
      <w:bookmarkEnd w:id="52"/>
      <w:bookmarkEnd w:id="53"/>
      <w:bookmarkEnd w:id="54"/>
      <w:bookmarkEnd w:id="55"/>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 xml:space="preserve">3.3.2.1 </w:t>
      </w:r>
      <w:r>
        <w:rPr>
          <w:rFonts w:hint="eastAsia" w:ascii="仿宋" w:hAnsi="仿宋" w:eastAsia="仿宋" w:cs="仿宋"/>
          <w:color w:val="000000" w:themeColor="text1"/>
          <w:sz w:val="32"/>
          <w:szCs w:val="32"/>
          <w14:textFill>
            <w14:solidFill>
              <w14:schemeClr w14:val="tx1"/>
            </w14:solidFill>
          </w14:textFill>
        </w:rPr>
        <w:t>评审小组将对确定为实质上响应招标文件要求的投标文件进行校核，看其是否有计算上或汇总上的算术错误，修正错误的原则如下：</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）投标文件中的大写金额与小写金额不一致的，以大写金额为准；</w:t>
      </w:r>
    </w:p>
    <w:p>
      <w:pPr>
        <w:spacing w:line="540" w:lineRule="exact"/>
        <w:rPr>
          <w:rFonts w:ascii="仿宋" w:hAnsi="仿宋" w:eastAsia="仿宋" w:cs="仿宋"/>
          <w:b/>
          <w:color w:val="000000" w:themeColor="text1"/>
          <w:sz w:val="32"/>
          <w:szCs w:val="32"/>
          <w14:textFill>
            <w14:solidFill>
              <w14:schemeClr w14:val="tx1"/>
            </w14:solidFill>
          </w14:textFill>
        </w:rPr>
      </w:pPr>
      <w:bookmarkStart w:id="56" w:name="_Toc196153995"/>
      <w:bookmarkStart w:id="57" w:name="_Toc408249249"/>
      <w:bookmarkStart w:id="58" w:name="_Toc192354828"/>
      <w:bookmarkStart w:id="59" w:name="_Toc196153896"/>
      <w:bookmarkStart w:id="60" w:name="_Toc196153697"/>
      <w:bookmarkStart w:id="61" w:name="_Toc197247447"/>
      <w:bookmarkStart w:id="62" w:name="_Toc400970102"/>
      <w:bookmarkStart w:id="63" w:name="_Toc193268469"/>
      <w:bookmarkStart w:id="64" w:name="_Toc263964484"/>
      <w:r>
        <w:rPr>
          <w:rFonts w:ascii="仿宋" w:hAnsi="仿宋" w:eastAsia="仿宋" w:cs="仿宋"/>
          <w:b/>
          <w:color w:val="000000" w:themeColor="text1"/>
          <w:sz w:val="32"/>
          <w:szCs w:val="32"/>
          <w14:textFill>
            <w14:solidFill>
              <w14:schemeClr w14:val="tx1"/>
            </w14:solidFill>
          </w14:textFill>
        </w:rPr>
        <w:t xml:space="preserve">3.3.3 </w:t>
      </w:r>
      <w:r>
        <w:rPr>
          <w:rFonts w:hint="eastAsia" w:ascii="仿宋" w:hAnsi="仿宋" w:eastAsia="仿宋" w:cs="仿宋"/>
          <w:b/>
          <w:color w:val="000000" w:themeColor="text1"/>
          <w:sz w:val="32"/>
          <w:szCs w:val="32"/>
          <w14:textFill>
            <w14:solidFill>
              <w14:schemeClr w14:val="tx1"/>
            </w14:solidFill>
          </w14:textFill>
        </w:rPr>
        <w:t>谈判申请文件的详细评审</w:t>
      </w:r>
      <w:bookmarkEnd w:id="56"/>
      <w:bookmarkEnd w:id="57"/>
      <w:bookmarkEnd w:id="58"/>
      <w:bookmarkEnd w:id="59"/>
      <w:bookmarkEnd w:id="60"/>
      <w:bookmarkEnd w:id="61"/>
      <w:bookmarkEnd w:id="62"/>
      <w:bookmarkEnd w:id="63"/>
      <w:bookmarkEnd w:id="64"/>
    </w:p>
    <w:p>
      <w:pPr>
        <w:spacing w:line="54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综合评审包括：价格评审得分+项目实施方案+产品系统技术框架+产品系统功能符合度+培训计划+本地化服务。</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评委将根据评分标准，依据综合评分结果排名。</w:t>
      </w:r>
    </w:p>
    <w:p>
      <w:pPr>
        <w:spacing w:line="560" w:lineRule="exac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评分标准</w:t>
      </w:r>
    </w:p>
    <w:tbl>
      <w:tblPr>
        <w:tblStyle w:val="53"/>
        <w:tblW w:w="49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
        <w:gridCol w:w="731"/>
        <w:gridCol w:w="323"/>
        <w:gridCol w:w="5561"/>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序号</w:t>
            </w:r>
          </w:p>
        </w:tc>
        <w:tc>
          <w:tcPr>
            <w:tcW w:w="448"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评分</w:t>
            </w:r>
          </w:p>
          <w:p>
            <w:pPr>
              <w:snapToGrid w:val="0"/>
              <w:spacing w:line="360" w:lineRule="auto"/>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因素及</w:t>
            </w:r>
          </w:p>
          <w:p>
            <w:pPr>
              <w:snapToGrid w:val="0"/>
              <w:spacing w:line="360" w:lineRule="auto"/>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权重</w:t>
            </w:r>
          </w:p>
        </w:tc>
        <w:tc>
          <w:tcPr>
            <w:tcW w:w="1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分值</w:t>
            </w:r>
          </w:p>
        </w:tc>
        <w:tc>
          <w:tcPr>
            <w:tcW w:w="3244"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评分标准</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w:t>
            </w:r>
          </w:p>
        </w:tc>
        <w:tc>
          <w:tcPr>
            <w:tcW w:w="448"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报价（10%）</w:t>
            </w:r>
          </w:p>
        </w:tc>
        <w:tc>
          <w:tcPr>
            <w:tcW w:w="1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10分</w:t>
            </w:r>
          </w:p>
        </w:tc>
        <w:tc>
          <w:tcPr>
            <w:tcW w:w="3244"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以本项目有效参选报价的最低价为基准价，参选报价得分=(基准价／投标报价)×10；</w:t>
            </w:r>
          </w:p>
          <w:p>
            <w:pPr>
              <w:snapToGrid w:val="0"/>
              <w:spacing w:line="360" w:lineRule="auto"/>
              <w:jc w:val="lef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1.根据《政府采购促进中小企业发展暂行办法》（财库[2011]181号）规定，对小型和微型企业产品和服务的价格（如涉及）给予10%的价格扣除，用扣除后的价格参与评审。</w:t>
            </w:r>
          </w:p>
          <w:p>
            <w:pPr>
              <w:snapToGrid w:val="0"/>
              <w:spacing w:line="360" w:lineRule="auto"/>
              <w:jc w:val="lef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对记入诚信档案的且在有效期内的供应商，在参加政府采购活动中实行10%的报价加成，以加成后报价作为该供应商报价评审，供应商失信行为惩戒可以实行无限制累加制，因其失信行为进行报价加成惩戒后报价超过政府采购预算的，其投标、响应文件按照无效处理。</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经济类评分因素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91" w:type="pct"/>
            <w:tcBorders>
              <w:top w:val="single" w:color="auto" w:sz="4" w:space="0"/>
              <w:left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w:t>
            </w:r>
          </w:p>
        </w:tc>
        <w:tc>
          <w:tcPr>
            <w:tcW w:w="448" w:type="pct"/>
            <w:tcBorders>
              <w:top w:val="single" w:color="auto" w:sz="4" w:space="0"/>
              <w:left w:val="single" w:color="auto" w:sz="4" w:space="0"/>
              <w:right w:val="single" w:color="auto" w:sz="4" w:space="0"/>
            </w:tcBorders>
            <w:noWrap/>
            <w:vAlign w:val="center"/>
          </w:tcPr>
          <w:p>
            <w:pPr>
              <w:snapToGrid w:val="0"/>
              <w:spacing w:line="360" w:lineRule="auto"/>
              <w:jc w:val="center"/>
              <w:rPr>
                <w:rFonts w:hint="eastAsia"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技术服务方案（35%）</w:t>
            </w:r>
          </w:p>
        </w:tc>
        <w:tc>
          <w:tcPr>
            <w:tcW w:w="189" w:type="pct"/>
            <w:tcBorders>
              <w:top w:val="single" w:color="auto" w:sz="4" w:space="0"/>
              <w:left w:val="single" w:color="auto" w:sz="4" w:space="0"/>
              <w:right w:val="single" w:color="auto" w:sz="4" w:space="0"/>
            </w:tcBorders>
            <w:noWrap/>
            <w:vAlign w:val="center"/>
          </w:tcPr>
          <w:p>
            <w:pPr>
              <w:snapToGrid w:val="0"/>
              <w:spacing w:line="360" w:lineRule="auto"/>
              <w:jc w:val="left"/>
              <w:rPr>
                <w:rFonts w:hint="eastAsia"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35分</w:t>
            </w:r>
          </w:p>
        </w:tc>
        <w:tc>
          <w:tcPr>
            <w:tcW w:w="3244" w:type="pct"/>
            <w:tcBorders>
              <w:top w:val="single" w:color="auto" w:sz="4" w:space="0"/>
              <w:left w:val="single" w:color="auto" w:sz="4" w:space="0"/>
              <w:right w:val="single" w:color="auto" w:sz="4" w:space="0"/>
            </w:tcBorders>
            <w:noWrap/>
            <w:vAlign w:val="center"/>
          </w:tcPr>
          <w:p>
            <w:pPr>
              <w:snapToGrid w:val="0"/>
              <w:spacing w:line="360" w:lineRule="auto"/>
              <w:jc w:val="left"/>
              <w:rPr>
                <w:rFonts w:hint="eastAsia"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1．供应商的技术方案中，对项目实施进行充分准备，对项目实际情况和需求描述最好、无漏项的得15分，对项目实际情况和需求描述基本完整、细微不足的得10分，部分满足的得5分，不满足的不得分。</w:t>
            </w:r>
          </w:p>
          <w:p>
            <w:pPr>
              <w:snapToGrid w:val="0"/>
              <w:spacing w:line="360" w:lineRule="auto"/>
              <w:jc w:val="left"/>
              <w:rPr>
                <w:rFonts w:hint="eastAsia"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根据供应商的整体项目服务方案进行对比，方案详细完整的体现供应商设置的实施组织、实施进度安排、实施进度保障措施、实施质量保障措施等、风险控制等关键因素进行详细阐述，横向综合对比供应商实施方案后，完全满足并优于采购人实际需要的得10分，能够基本满足采购人实际需要的得7分，部分满足采购人实际需要的得4分；不满足的不得分。</w:t>
            </w:r>
          </w:p>
          <w:p>
            <w:pPr>
              <w:snapToGrid w:val="0"/>
              <w:spacing w:line="360" w:lineRule="auto"/>
              <w:jc w:val="left"/>
              <w:rPr>
                <w:rFonts w:hint="eastAsia"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3.服务方案的完整性、可行性、先进性。经综合评审后：完全满足并优于采购人实际需要的得10分，能够基本满足采购人实际需要的得7分，部分满足采购人实际需要的得4分，不满足的不得分。</w:t>
            </w:r>
          </w:p>
        </w:tc>
        <w:tc>
          <w:tcPr>
            <w:tcW w:w="926" w:type="pct"/>
            <w:tcBorders>
              <w:top w:val="single" w:color="auto" w:sz="4" w:space="0"/>
              <w:left w:val="single" w:color="auto" w:sz="4" w:space="0"/>
              <w:right w:val="single" w:color="auto" w:sz="4" w:space="0"/>
            </w:tcBorders>
            <w:noWrap/>
            <w:vAlign w:val="center"/>
          </w:tcPr>
          <w:p>
            <w:pPr>
              <w:snapToGrid w:val="0"/>
              <w:spacing w:line="360" w:lineRule="auto"/>
              <w:ind w:firstLine="480"/>
              <w:rPr>
                <w:rFonts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1" w:type="pct"/>
            <w:tcBorders>
              <w:top w:val="single" w:color="auto" w:sz="4" w:space="0"/>
              <w:left w:val="single" w:color="auto" w:sz="4" w:space="0"/>
              <w:right w:val="single" w:color="auto" w:sz="4" w:space="0"/>
            </w:tcBorders>
            <w:noWrap/>
            <w:vAlign w:val="center"/>
          </w:tcPr>
          <w:p>
            <w:pPr>
              <w:snapToGrid w:val="0"/>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w:t>
            </w:r>
          </w:p>
        </w:tc>
        <w:tc>
          <w:tcPr>
            <w:tcW w:w="448" w:type="pct"/>
            <w:tcBorders>
              <w:top w:val="single" w:color="auto" w:sz="4" w:space="0"/>
              <w:left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供应商综合实力（34%）</w:t>
            </w:r>
          </w:p>
        </w:tc>
        <w:tc>
          <w:tcPr>
            <w:tcW w:w="189" w:type="pct"/>
            <w:tcBorders>
              <w:top w:val="single" w:color="auto" w:sz="4" w:space="0"/>
              <w:left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34分</w:t>
            </w:r>
          </w:p>
        </w:tc>
        <w:tc>
          <w:tcPr>
            <w:tcW w:w="3244" w:type="pct"/>
            <w:tcBorders>
              <w:top w:val="single" w:color="auto" w:sz="4" w:space="0"/>
              <w:left w:val="single" w:color="auto" w:sz="4" w:space="0"/>
              <w:bottom w:val="single" w:color="auto" w:sz="4" w:space="0"/>
              <w:right w:val="single" w:color="auto" w:sz="4" w:space="0"/>
            </w:tcBorders>
            <w:noWrap/>
            <w:vAlign w:val="center"/>
          </w:tcPr>
          <w:p>
            <w:pP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1.供应商具有ISO9001质量管理体系认证证书、ISO14001环境管理体系认证证书、ISO45001职业健康安全管理体系认证证书，ISO27001信息安全管理体系认证证书，每提供1个证明材料的得5分，共20分，未提供不得分；</w:t>
            </w:r>
          </w:p>
          <w:p>
            <w:pP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2.供应商具有ISO20000-1信息技术服务管理体系认证证书（提供计算机信息系统软硬件运维的服务管理体系范围）的得2分；</w:t>
            </w:r>
          </w:p>
          <w:p>
            <w:pP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3.供应商具有国家信息安全测评信息安全服务资质证书（风险评估）的得1分；</w:t>
            </w:r>
          </w:p>
          <w:p>
            <w:pP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4.供应商具有高新技术企业证书的得2分；</w:t>
            </w:r>
          </w:p>
          <w:p>
            <w:pP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5.供应商具有AAA级信用等级证书的得5分；</w:t>
            </w:r>
          </w:p>
          <w:p>
            <w:pP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7.供应商拟派本项目技术人员，具有高级项目经理证书的得2分；具有项目经理证书的得2分，未提供的不得分。（涉及人员的需提供投标单位劳动关系证明加盖公章）</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提供相关有效期内的证书复印件加盖供应商鲜章，未提供不得分。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w:t>
            </w:r>
          </w:p>
        </w:tc>
        <w:tc>
          <w:tcPr>
            <w:tcW w:w="448"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售后服务（10%）</w:t>
            </w:r>
          </w:p>
        </w:tc>
        <w:tc>
          <w:tcPr>
            <w:tcW w:w="1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10分</w:t>
            </w:r>
          </w:p>
        </w:tc>
        <w:tc>
          <w:tcPr>
            <w:tcW w:w="3244"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根据供应商提供的售后服务方案进行对比，方案详细完整的体现售后服务组织、售后服务机构、售后服务人员、售后服务流程、售后服务响应时间、售后服务方式、售后服务内容、售后服务质量保障措施等关键因素。供应商售后服务方案完全包含以上几点要求且切实可行的得8分，每缺少一项或每有一项不切实可行扣1分，扣完为止。</w:t>
            </w:r>
          </w:p>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2.根据供应商售后服务方案中质保期内的应急响应时间进行评价，应急响应时间≤2小时得2分，2小时＜应急响应时间≤4 小时得1分，其余的不得分；</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5</w:t>
            </w:r>
          </w:p>
        </w:tc>
        <w:tc>
          <w:tcPr>
            <w:tcW w:w="448"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履约能力（10%）</w:t>
            </w:r>
          </w:p>
        </w:tc>
        <w:tc>
          <w:tcPr>
            <w:tcW w:w="1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10分</w:t>
            </w:r>
          </w:p>
        </w:tc>
        <w:tc>
          <w:tcPr>
            <w:tcW w:w="3244"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供应商提供近三年（2017年1月1日至本项目开标之日）安全服务类项目履约证明材料，每提供1个证明材料得2分，最多得10分。未提供不得分；（须提供合同复印件关键页加盖供应商公章作为履约证明材料）</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6</w:t>
            </w:r>
          </w:p>
        </w:tc>
        <w:tc>
          <w:tcPr>
            <w:tcW w:w="448"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文件规范性（1%）</w:t>
            </w:r>
          </w:p>
        </w:tc>
        <w:tc>
          <w:tcPr>
            <w:tcW w:w="1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1分</w:t>
            </w:r>
          </w:p>
        </w:tc>
        <w:tc>
          <w:tcPr>
            <w:tcW w:w="3244"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响应文件制作规范，没有细微偏差情形的得1分；有一项细微偏差扣0.5分，扣完为止。</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共同评分因素</w:t>
            </w:r>
          </w:p>
        </w:tc>
      </w:tr>
    </w:tbl>
    <w:p>
      <w:pPr>
        <w:keepNext/>
        <w:keepLines/>
        <w:tabs>
          <w:tab w:val="left" w:pos="576"/>
        </w:tabs>
        <w:spacing w:before="260" w:after="260" w:line="480" w:lineRule="exact"/>
        <w:outlineLvl w:val="1"/>
        <w:rPr>
          <w:rFonts w:hint="eastAsia" w:ascii="华文细黑" w:hAnsi="华文细黑" w:eastAsia="华文细黑"/>
          <w:b/>
          <w:bCs/>
          <w:color w:val="000000" w:themeColor="text1"/>
          <w:sz w:val="24"/>
          <w14:textFill>
            <w14:solidFill>
              <w14:schemeClr w14:val="tx1"/>
            </w14:solidFill>
          </w14:textFill>
        </w:rPr>
      </w:pPr>
      <w:bookmarkStart w:id="65" w:name="_Toc468808811"/>
    </w:p>
    <w:p>
      <w:pPr>
        <w:keepNext/>
        <w:keepLines/>
        <w:tabs>
          <w:tab w:val="left" w:pos="576"/>
        </w:tabs>
        <w:spacing w:before="260" w:after="260" w:line="480" w:lineRule="exact"/>
        <w:outlineLvl w:val="1"/>
        <w:rPr>
          <w:rFonts w:ascii="华文细黑" w:hAnsi="华文细黑" w:eastAsia="华文细黑"/>
          <w:b/>
          <w:bCs/>
          <w:color w:val="000000" w:themeColor="text1"/>
          <w:sz w:val="24"/>
          <w14:textFill>
            <w14:solidFill>
              <w14:schemeClr w14:val="tx1"/>
            </w14:solidFill>
          </w14:textFill>
        </w:rPr>
      </w:pPr>
      <w:r>
        <w:rPr>
          <w:rFonts w:hint="eastAsia" w:ascii="华文细黑" w:hAnsi="华文细黑" w:eastAsia="华文细黑"/>
          <w:b/>
          <w:bCs/>
          <w:color w:val="000000" w:themeColor="text1"/>
          <w:sz w:val="24"/>
          <w14:textFill>
            <w14:solidFill>
              <w14:schemeClr w14:val="tx1"/>
            </w14:solidFill>
          </w14:textFill>
        </w:rPr>
        <w:t>符合性审查</w:t>
      </w:r>
      <w:bookmarkEnd w:id="65"/>
    </w:p>
    <w:tbl>
      <w:tblPr>
        <w:tblStyle w:val="53"/>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restart"/>
            <w:vAlign w:val="center"/>
          </w:tcPr>
          <w:p>
            <w:pPr>
              <w:spacing w:line="480" w:lineRule="exact"/>
              <w:ind w:left="141" w:leftChars="67"/>
              <w:jc w:val="center"/>
              <w:rPr>
                <w:rFonts w:ascii="方正粗黑宋简体" w:hAnsi="方正粗黑宋简体" w:eastAsia="方正粗黑宋简体" w:cs="方正粗黑宋简体"/>
                <w:color w:val="000000" w:themeColor="text1"/>
                <w:sz w:val="24"/>
                <w14:textFill>
                  <w14:solidFill>
                    <w14:schemeClr w14:val="tx1"/>
                  </w14:solidFill>
                </w14:textFill>
              </w:rPr>
            </w:pPr>
          </w:p>
          <w:p>
            <w:pPr>
              <w:spacing w:line="480" w:lineRule="exact"/>
              <w:ind w:left="141" w:leftChars="67"/>
              <w:jc w:val="center"/>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符合性审查</w:t>
            </w:r>
          </w:p>
        </w:tc>
        <w:tc>
          <w:tcPr>
            <w:tcW w:w="7513" w:type="dxa"/>
          </w:tcPr>
          <w:p>
            <w:pPr>
              <w:spacing w:line="480" w:lineRule="exact"/>
              <w:ind w:left="621" w:leftChars="67" w:hanging="480" w:hangingChars="200"/>
              <w:jc w:val="center"/>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资格证明文件不全的或招标人资格条件不满足招标文件要求的；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投标文件没有投标人授权代表签字和加盖单位章；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投标标文件没有报价的或投标人投报两个或多个报价的；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明显不符合技术规范书的要求；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投标文件附有招标人不能接受的条件；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存在恶意报价行为且损害招标人利益的；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spacing w:line="480" w:lineRule="exact"/>
              <w:ind w:left="621" w:leftChars="67" w:hanging="480" w:hangingChars="200"/>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spacing w:line="480" w:lineRule="exact"/>
              <w:ind w:left="141" w:leftChars="67"/>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其他不符合招标文件实质性要求及法律、法规规定的其他情形；</w:t>
            </w:r>
          </w:p>
        </w:tc>
      </w:tr>
    </w:tbl>
    <w:p>
      <w:pPr>
        <w:tabs>
          <w:tab w:val="left" w:pos="0"/>
        </w:tabs>
        <w:spacing w:beforeLines="50" w:afterLines="50" w:line="480" w:lineRule="exact"/>
        <w:ind w:left="141" w:leftChars="67" w:firstLine="480" w:firstLineChars="200"/>
        <w:rPr>
          <w:rFonts w:ascii="华文细黑" w:hAnsi="华文细黑" w:eastAsia="华文细黑"/>
          <w:color w:val="000000" w:themeColor="text1"/>
          <w:sz w:val="24"/>
          <w14:textFill>
            <w14:solidFill>
              <w14:schemeClr w14:val="tx1"/>
            </w14:solidFill>
          </w14:textFill>
        </w:rPr>
      </w:pPr>
      <w:r>
        <w:rPr>
          <w:rFonts w:hint="eastAsia" w:ascii="华文细黑" w:hAnsi="华文细黑" w:eastAsia="华文细黑"/>
          <w:color w:val="000000" w:themeColor="text1"/>
          <w:sz w:val="24"/>
          <w14:textFill>
            <w14:solidFill>
              <w14:schemeClr w14:val="tx1"/>
            </w14:solidFill>
          </w14:textFill>
        </w:rPr>
        <w:t>在详细评审之前，评审小组将首先根据谈判文件中载明的资格审查标准对谈判申请人递交的谈判文件进行审查，有任何一项因素不符合审查标准的，不能通过资格审查，同时审定每份投标文件是否在实质上响应了谈判文件的要求。</w:t>
      </w:r>
    </w:p>
    <w:p>
      <w:pPr>
        <w:tabs>
          <w:tab w:val="left" w:pos="0"/>
        </w:tabs>
        <w:spacing w:beforeLines="50" w:afterLines="50" w:line="480" w:lineRule="exact"/>
        <w:ind w:left="141" w:leftChars="67" w:firstLine="480" w:firstLineChars="200"/>
        <w:rPr>
          <w:rFonts w:ascii="华文细黑" w:hAnsi="华文细黑" w:eastAsia="华文细黑"/>
          <w:color w:val="000000" w:themeColor="text1"/>
          <w:sz w:val="24"/>
          <w14:textFill>
            <w14:solidFill>
              <w14:schemeClr w14:val="tx1"/>
            </w14:solidFill>
          </w14:textFill>
        </w:rPr>
      </w:pPr>
      <w:r>
        <w:rPr>
          <w:rFonts w:hint="eastAsia" w:ascii="华文细黑" w:hAnsi="华文细黑" w:eastAsia="华文细黑"/>
          <w:color w:val="000000" w:themeColor="text1"/>
          <w:sz w:val="24"/>
          <w14:textFill>
            <w14:solidFill>
              <w14:schemeClr w14:val="tx1"/>
            </w14:solidFill>
          </w14:textFill>
        </w:rPr>
        <w:t>只有资格审查满足要求及符合性审查合格的投标人人，其投标文件才能参与评价与比较。</w:t>
      </w:r>
    </w:p>
    <w:p>
      <w:pPr>
        <w:widowControl/>
        <w:spacing w:line="480" w:lineRule="exact"/>
        <w:jc w:val="left"/>
        <w:rPr>
          <w:rFonts w:hint="eastAsia" w:ascii="华文细黑" w:hAnsi="华文细黑" w:eastAsia="华文细黑"/>
          <w:b/>
          <w:bCs/>
          <w:color w:val="000000" w:themeColor="text1"/>
          <w:sz w:val="24"/>
          <w14:textFill>
            <w14:solidFill>
              <w14:schemeClr w14:val="tx1"/>
            </w14:solidFill>
          </w14:textFill>
        </w:rPr>
      </w:pPr>
    </w:p>
    <w:p>
      <w:pPr>
        <w:widowControl/>
        <w:spacing w:line="480" w:lineRule="exact"/>
        <w:jc w:val="left"/>
        <w:rPr>
          <w:rFonts w:hint="eastAsia" w:ascii="华文细黑" w:hAnsi="华文细黑" w:eastAsia="华文细黑"/>
          <w:b/>
          <w:bCs/>
          <w:color w:val="000000" w:themeColor="text1"/>
          <w:sz w:val="24"/>
          <w14:textFill>
            <w14:solidFill>
              <w14:schemeClr w14:val="tx1"/>
            </w14:solidFill>
          </w14:textFill>
        </w:rPr>
      </w:pPr>
    </w:p>
    <w:p>
      <w:pPr>
        <w:widowControl/>
        <w:spacing w:line="480" w:lineRule="exact"/>
        <w:jc w:val="left"/>
        <w:rPr>
          <w:rFonts w:hint="eastAsia" w:ascii="华文细黑" w:hAnsi="华文细黑" w:eastAsia="华文细黑"/>
          <w:b/>
          <w:bCs/>
          <w:color w:val="000000" w:themeColor="text1"/>
          <w:sz w:val="24"/>
          <w14:textFill>
            <w14:solidFill>
              <w14:schemeClr w14:val="tx1"/>
            </w14:solidFill>
          </w14:textFill>
        </w:rPr>
      </w:pPr>
    </w:p>
    <w:p>
      <w:pPr>
        <w:widowControl/>
        <w:spacing w:line="480" w:lineRule="exact"/>
        <w:jc w:val="left"/>
        <w:rPr>
          <w:rFonts w:ascii="华文细黑" w:hAnsi="华文细黑" w:eastAsia="华文细黑"/>
          <w:b/>
          <w:bCs/>
          <w:color w:val="000000" w:themeColor="text1"/>
          <w:sz w:val="24"/>
          <w14:textFill>
            <w14:solidFill>
              <w14:schemeClr w14:val="tx1"/>
            </w14:solidFill>
          </w14:textFill>
        </w:rPr>
      </w:pPr>
      <w:r>
        <w:rPr>
          <w:rFonts w:hint="eastAsia" w:ascii="华文细黑" w:hAnsi="华文细黑" w:eastAsia="华文细黑"/>
          <w:b/>
          <w:bCs/>
          <w:color w:val="000000" w:themeColor="text1"/>
          <w:sz w:val="24"/>
          <w14:textFill>
            <w14:solidFill>
              <w14:schemeClr w14:val="tx1"/>
            </w14:solidFill>
          </w14:textFill>
        </w:rPr>
        <w:t>附：资格审查标准</w:t>
      </w:r>
    </w:p>
    <w:p>
      <w:pPr>
        <w:spacing w:line="480" w:lineRule="exact"/>
        <w:rPr>
          <w:rFonts w:ascii="华文细黑" w:hAnsi="华文细黑" w:eastAsia="华文细黑"/>
          <w:b/>
          <w:color w:val="000000" w:themeColor="text1"/>
          <w:sz w:val="28"/>
          <w:szCs w:val="28"/>
          <w14:textFill>
            <w14:solidFill>
              <w14:schemeClr w14:val="tx1"/>
            </w14:solidFill>
          </w14:textFill>
        </w:rPr>
      </w:pPr>
    </w:p>
    <w:tbl>
      <w:tblPr>
        <w:tblStyle w:val="53"/>
        <w:tblW w:w="9180" w:type="dxa"/>
        <w:tblInd w:w="0" w:type="dxa"/>
        <w:tblLayout w:type="fixed"/>
        <w:tblCellMar>
          <w:top w:w="0" w:type="dxa"/>
          <w:left w:w="108" w:type="dxa"/>
          <w:bottom w:w="0" w:type="dxa"/>
          <w:right w:w="108" w:type="dxa"/>
        </w:tblCellMar>
      </w:tblPr>
      <w:tblGrid>
        <w:gridCol w:w="877"/>
        <w:gridCol w:w="2775"/>
        <w:gridCol w:w="5528"/>
      </w:tblGrid>
      <w:tr>
        <w:tblPrEx>
          <w:tblCellMar>
            <w:top w:w="0" w:type="dxa"/>
            <w:left w:w="108" w:type="dxa"/>
            <w:bottom w:w="0" w:type="dxa"/>
            <w:right w:w="108" w:type="dxa"/>
          </w:tblCellMar>
        </w:tblPrEx>
        <w:trPr>
          <w:trHeight w:val="375" w:hRule="atLeast"/>
        </w:trPr>
        <w:tc>
          <w:tcPr>
            <w:tcW w:w="9180" w:type="dxa"/>
            <w:gridSpan w:val="3"/>
            <w:tcBorders>
              <w:top w:val="single" w:color="auto" w:sz="8" w:space="0"/>
              <w:left w:val="single" w:color="auto" w:sz="8" w:space="0"/>
              <w:bottom w:val="single" w:color="auto" w:sz="8" w:space="0"/>
              <w:right w:val="single" w:color="000000" w:sz="8" w:space="0"/>
            </w:tcBorders>
            <w:vAlign w:val="center"/>
          </w:tcPr>
          <w:p>
            <w:pPr>
              <w:widowControl/>
              <w:spacing w:line="480" w:lineRule="exact"/>
              <w:jc w:val="center"/>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谈判申请人资格审查标准</w:t>
            </w:r>
          </w:p>
        </w:tc>
      </w:tr>
      <w:tr>
        <w:tblPrEx>
          <w:tblCellMar>
            <w:top w:w="0" w:type="dxa"/>
            <w:left w:w="108" w:type="dxa"/>
            <w:bottom w:w="0" w:type="dxa"/>
            <w:right w:w="108" w:type="dxa"/>
          </w:tblCellMar>
        </w:tblPrEx>
        <w:trPr>
          <w:trHeight w:val="375" w:hRule="atLeast"/>
        </w:trPr>
        <w:tc>
          <w:tcPr>
            <w:tcW w:w="877" w:type="dxa"/>
            <w:tcBorders>
              <w:top w:val="nil"/>
              <w:left w:val="single" w:color="auto" w:sz="8" w:space="0"/>
              <w:bottom w:val="single" w:color="auto" w:sz="8" w:space="0"/>
              <w:right w:val="single" w:color="auto" w:sz="8" w:space="0"/>
            </w:tcBorders>
            <w:vAlign w:val="center"/>
          </w:tcPr>
          <w:p>
            <w:pPr>
              <w:widowControl/>
              <w:spacing w:line="480" w:lineRule="exact"/>
              <w:jc w:val="center"/>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序号</w:t>
            </w:r>
          </w:p>
        </w:tc>
        <w:tc>
          <w:tcPr>
            <w:tcW w:w="2775" w:type="dxa"/>
            <w:tcBorders>
              <w:top w:val="nil"/>
              <w:left w:val="nil"/>
              <w:bottom w:val="single" w:color="auto" w:sz="8" w:space="0"/>
              <w:right w:val="single" w:color="auto" w:sz="8" w:space="0"/>
            </w:tcBorders>
            <w:vAlign w:val="center"/>
          </w:tcPr>
          <w:p>
            <w:pPr>
              <w:widowControl/>
              <w:spacing w:line="480" w:lineRule="exact"/>
              <w:jc w:val="center"/>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审查内容</w:t>
            </w:r>
          </w:p>
        </w:tc>
        <w:tc>
          <w:tcPr>
            <w:tcW w:w="5528" w:type="dxa"/>
            <w:tcBorders>
              <w:top w:val="nil"/>
              <w:left w:val="nil"/>
              <w:bottom w:val="single" w:color="auto" w:sz="8" w:space="0"/>
              <w:right w:val="single" w:color="auto" w:sz="8" w:space="0"/>
            </w:tcBorders>
            <w:vAlign w:val="center"/>
          </w:tcPr>
          <w:p>
            <w:pPr>
              <w:widowControl/>
              <w:spacing w:line="480" w:lineRule="exact"/>
              <w:jc w:val="center"/>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审查标准</w:t>
            </w:r>
          </w:p>
        </w:tc>
      </w:tr>
      <w:tr>
        <w:tblPrEx>
          <w:tblCellMar>
            <w:top w:w="0" w:type="dxa"/>
            <w:left w:w="108" w:type="dxa"/>
            <w:bottom w:w="0" w:type="dxa"/>
            <w:right w:w="108" w:type="dxa"/>
          </w:tblCellMar>
        </w:tblPrEx>
        <w:trPr>
          <w:trHeight w:val="1455" w:hRule="atLeast"/>
        </w:trPr>
        <w:tc>
          <w:tcPr>
            <w:tcW w:w="877" w:type="dxa"/>
            <w:tcBorders>
              <w:top w:val="nil"/>
              <w:left w:val="single" w:color="auto" w:sz="8" w:space="0"/>
              <w:bottom w:val="single" w:color="auto" w:sz="8"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1</w:t>
            </w:r>
          </w:p>
        </w:tc>
        <w:tc>
          <w:tcPr>
            <w:tcW w:w="2775" w:type="dxa"/>
            <w:tcBorders>
              <w:top w:val="nil"/>
              <w:left w:val="nil"/>
              <w:bottom w:val="single" w:color="auto" w:sz="8"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具有独立承担民事责任的能力</w:t>
            </w:r>
          </w:p>
        </w:tc>
        <w:tc>
          <w:tcPr>
            <w:tcW w:w="5528" w:type="dxa"/>
            <w:tcBorders>
              <w:top w:val="nil"/>
              <w:left w:val="nil"/>
              <w:bottom w:val="single" w:color="auto" w:sz="8" w:space="0"/>
              <w:right w:val="single" w:color="auto" w:sz="8" w:space="0"/>
            </w:tcBorders>
            <w:vAlign w:val="center"/>
          </w:tcPr>
          <w:p>
            <w:pPr>
              <w:widowControl/>
              <w:spacing w:line="480" w:lineRule="exact"/>
              <w:jc w:val="left"/>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或其它有效“身份证明材料”。以上材料均提供复印件</w:t>
            </w:r>
          </w:p>
        </w:tc>
      </w:tr>
      <w:tr>
        <w:tblPrEx>
          <w:tblCellMar>
            <w:top w:w="0" w:type="dxa"/>
            <w:left w:w="108" w:type="dxa"/>
            <w:bottom w:w="0" w:type="dxa"/>
            <w:right w:w="108" w:type="dxa"/>
          </w:tblCellMar>
        </w:tblPrEx>
        <w:trPr>
          <w:trHeight w:val="735" w:hRule="atLeast"/>
        </w:trPr>
        <w:tc>
          <w:tcPr>
            <w:tcW w:w="877" w:type="dxa"/>
            <w:tcBorders>
              <w:top w:val="nil"/>
              <w:left w:val="single" w:color="auto" w:sz="8" w:space="0"/>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2</w:t>
            </w:r>
          </w:p>
        </w:tc>
        <w:tc>
          <w:tcPr>
            <w:tcW w:w="2775" w:type="dxa"/>
            <w:tcBorders>
              <w:top w:val="nil"/>
              <w:left w:val="nil"/>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具备良好商业信誉的证明材料</w:t>
            </w:r>
          </w:p>
        </w:tc>
        <w:tc>
          <w:tcPr>
            <w:tcW w:w="5528" w:type="dxa"/>
            <w:tcBorders>
              <w:top w:val="nil"/>
              <w:left w:val="nil"/>
              <w:bottom w:val="single" w:color="auto" w:sz="4" w:space="0"/>
              <w:right w:val="single" w:color="auto" w:sz="8" w:space="0"/>
            </w:tcBorders>
            <w:vAlign w:val="center"/>
          </w:tcPr>
          <w:p>
            <w:pPr>
              <w:widowControl/>
              <w:spacing w:line="480" w:lineRule="exact"/>
              <w:jc w:val="left"/>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3</w:t>
            </w:r>
          </w:p>
        </w:tc>
        <w:tc>
          <w:tcPr>
            <w:tcW w:w="2775" w:type="dxa"/>
            <w:tcBorders>
              <w:top w:val="single" w:color="auto" w:sz="4" w:space="0"/>
              <w:left w:val="nil"/>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具备健全的财务会计制度的证明材料</w:t>
            </w:r>
          </w:p>
        </w:tc>
        <w:tc>
          <w:tcPr>
            <w:tcW w:w="5528" w:type="dxa"/>
            <w:tcBorders>
              <w:top w:val="single" w:color="auto" w:sz="4" w:space="0"/>
              <w:left w:val="nil"/>
              <w:bottom w:val="single" w:color="auto" w:sz="4" w:space="0"/>
              <w:right w:val="single" w:color="auto" w:sz="8" w:space="0"/>
            </w:tcBorders>
            <w:vAlign w:val="center"/>
          </w:tcPr>
          <w:p>
            <w:pPr>
              <w:widowControl/>
              <w:spacing w:line="480" w:lineRule="exact"/>
              <w:jc w:val="left"/>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①可提供</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或</w:t>
            </w:r>
            <w:r>
              <w:rPr>
                <w:rFonts w:ascii="方正粗黑宋简体" w:hAnsi="方正粗黑宋简体" w:eastAsia="方正粗黑宋简体" w:cs="方正粗黑宋简体"/>
                <w:color w:val="000000" w:themeColor="text1"/>
                <w:kern w:val="0"/>
                <w:sz w:val="24"/>
                <w14:textFill>
                  <w14:solidFill>
                    <w14:schemeClr w14:val="tx1"/>
                  </w14:solidFill>
                </w14:textFill>
              </w:rPr>
              <w:t>2019</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年度经审计的财务报告复印件；②也可提供</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或</w:t>
            </w:r>
            <w:r>
              <w:rPr>
                <w:rFonts w:ascii="方正粗黑宋简体" w:hAnsi="方正粗黑宋简体" w:eastAsia="方正粗黑宋简体" w:cs="方正粗黑宋简体"/>
                <w:color w:val="000000" w:themeColor="text1"/>
                <w:kern w:val="0"/>
                <w:sz w:val="24"/>
                <w14:textFill>
                  <w14:solidFill>
                    <w14:schemeClr w14:val="tx1"/>
                  </w14:solidFill>
                </w14:textFill>
              </w:rPr>
              <w:t>2019</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度供应商内部的财务报表复印件（至少包含资产负债表和利润表）；③也可提供投标文件递交截止日前一年内银行出具的有效资信证明；④供应商注册时间距投标文件递交截止日不足一年的，提供成立后任意时段的资产负债表复印件。⑤也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p>
        </w:tc>
        <w:tc>
          <w:tcPr>
            <w:tcW w:w="2775" w:type="dxa"/>
            <w:tcBorders>
              <w:top w:val="single" w:color="auto" w:sz="4" w:space="0"/>
              <w:left w:val="nil"/>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具有依法缴纳税收和社会保障资金良好记录的证明材料</w:t>
            </w:r>
          </w:p>
        </w:tc>
        <w:tc>
          <w:tcPr>
            <w:tcW w:w="5528" w:type="dxa"/>
            <w:tcBorders>
              <w:top w:val="single" w:color="auto" w:sz="4" w:space="0"/>
              <w:left w:val="nil"/>
              <w:bottom w:val="single" w:color="auto" w:sz="4" w:space="0"/>
              <w:right w:val="single" w:color="auto" w:sz="8" w:space="0"/>
            </w:tcBorders>
            <w:vAlign w:val="center"/>
          </w:tcPr>
          <w:p>
            <w:pPr>
              <w:widowControl/>
              <w:spacing w:line="480" w:lineRule="exact"/>
              <w:jc w:val="left"/>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w:t>
            </w:r>
            <w:r>
              <w:rPr>
                <w:rFonts w:ascii="方正粗黑宋简体" w:hAnsi="方正粗黑宋简体" w:eastAsia="方正粗黑宋简体" w:cs="方正粗黑宋简体"/>
                <w:color w:val="000000" w:themeColor="text1"/>
                <w:kern w:val="0"/>
                <w:sz w:val="24"/>
                <w14:textFill>
                  <w14:solidFill>
                    <w14:schemeClr w14:val="tx1"/>
                  </w14:solidFill>
                </w14:textFill>
              </w:rPr>
              <w:t>1</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月至今任意三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②也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4</w:t>
            </w:r>
          </w:p>
        </w:tc>
        <w:tc>
          <w:tcPr>
            <w:tcW w:w="2775" w:type="dxa"/>
            <w:tcBorders>
              <w:top w:val="single" w:color="auto" w:sz="4" w:space="0"/>
              <w:left w:val="nil"/>
              <w:bottom w:val="single" w:color="auto" w:sz="4"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具备履行合同所必需的设备和专业技术能力的证明材料</w:t>
            </w:r>
          </w:p>
        </w:tc>
        <w:tc>
          <w:tcPr>
            <w:tcW w:w="5528" w:type="dxa"/>
            <w:tcBorders>
              <w:top w:val="single" w:color="auto" w:sz="4" w:space="0"/>
              <w:left w:val="nil"/>
              <w:bottom w:val="single" w:color="auto" w:sz="4" w:space="0"/>
              <w:right w:val="single" w:color="auto" w:sz="8" w:space="0"/>
            </w:tcBorders>
            <w:vAlign w:val="center"/>
          </w:tcPr>
          <w:p>
            <w:pPr>
              <w:widowControl/>
              <w:spacing w:line="480" w:lineRule="exact"/>
              <w:jc w:val="left"/>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8"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5</w:t>
            </w:r>
          </w:p>
        </w:tc>
        <w:tc>
          <w:tcPr>
            <w:tcW w:w="2775" w:type="dxa"/>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参加采购活动前三年内在经营活动中没有重大违法记录的承诺函</w:t>
            </w:r>
          </w:p>
        </w:tc>
        <w:tc>
          <w:tcPr>
            <w:tcW w:w="5528" w:type="dxa"/>
            <w:tcBorders>
              <w:top w:val="single" w:color="auto" w:sz="4" w:space="0"/>
              <w:left w:val="nil"/>
              <w:bottom w:val="single" w:color="auto" w:sz="8" w:space="0"/>
              <w:right w:val="single" w:color="auto" w:sz="8" w:space="0"/>
            </w:tcBorders>
            <w:vAlign w:val="center"/>
          </w:tcPr>
          <w:p>
            <w:pPr>
              <w:widowControl/>
              <w:spacing w:line="480" w:lineRule="exact"/>
              <w:jc w:val="left"/>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bookmarkEnd w:id="21"/>
      <w:bookmarkEnd w:id="22"/>
      <w:bookmarkEnd w:id="23"/>
    </w:tbl>
    <w:p>
      <w:pPr>
        <w:keepNext/>
        <w:keepLines/>
        <w:tabs>
          <w:tab w:val="left" w:pos="576"/>
        </w:tabs>
        <w:spacing w:before="260" w:after="260" w:line="480" w:lineRule="exact"/>
        <w:outlineLvl w:val="1"/>
        <w:rPr>
          <w:rFonts w:ascii="华文细黑" w:hAnsi="华文细黑" w:eastAsia="华文细黑"/>
          <w:b/>
          <w:bCs/>
          <w:color w:val="000000" w:themeColor="text1"/>
          <w:sz w:val="24"/>
          <w14:textFill>
            <w14:solidFill>
              <w14:schemeClr w14:val="tx1"/>
            </w14:solidFill>
          </w14:textFill>
        </w:rPr>
      </w:pPr>
      <w:bookmarkStart w:id="66" w:name="_Toc468808812"/>
      <w:bookmarkStart w:id="67" w:name="_Toc227057966"/>
      <w:bookmarkStart w:id="68" w:name="_Toc226969360"/>
      <w:bookmarkStart w:id="69" w:name="_Toc107822558"/>
      <w:bookmarkStart w:id="70" w:name="_Toc488655907"/>
    </w:p>
    <w:p>
      <w:pPr>
        <w:keepNext/>
        <w:keepLines/>
        <w:tabs>
          <w:tab w:val="left" w:pos="576"/>
        </w:tabs>
        <w:spacing w:before="260" w:after="260" w:line="480" w:lineRule="exact"/>
        <w:outlineLvl w:val="1"/>
        <w:rPr>
          <w:rFonts w:ascii="华文细黑" w:hAnsi="华文细黑" w:eastAsia="华文细黑"/>
          <w:b/>
          <w:bCs/>
          <w:color w:val="000000" w:themeColor="text1"/>
          <w:sz w:val="24"/>
          <w14:textFill>
            <w14:solidFill>
              <w14:schemeClr w14:val="tx1"/>
            </w14:solidFill>
          </w14:textFill>
        </w:rPr>
      </w:pPr>
      <w:r>
        <w:rPr>
          <w:rFonts w:ascii="华文细黑" w:hAnsi="华文细黑" w:eastAsia="华文细黑"/>
          <w:b/>
          <w:bCs/>
          <w:color w:val="000000" w:themeColor="text1"/>
          <w:sz w:val="24"/>
          <w14:textFill>
            <w14:solidFill>
              <w14:schemeClr w14:val="tx1"/>
            </w14:solidFill>
          </w14:textFill>
        </w:rPr>
        <w:t xml:space="preserve">3.4  </w:t>
      </w:r>
      <w:bookmarkStart w:id="71" w:name="_Toc107822560"/>
      <w:bookmarkStart w:id="72" w:name="_Toc227057968"/>
      <w:bookmarkStart w:id="73" w:name="_Toc488655909"/>
      <w:bookmarkStart w:id="74" w:name="_Toc226969362"/>
      <w:r>
        <w:rPr>
          <w:rFonts w:hint="eastAsia" w:ascii="华文细黑" w:hAnsi="华文细黑" w:eastAsia="华文细黑"/>
          <w:b/>
          <w:bCs/>
          <w:color w:val="000000" w:themeColor="text1"/>
          <w:sz w:val="24"/>
          <w14:textFill>
            <w14:solidFill>
              <w14:schemeClr w14:val="tx1"/>
            </w14:solidFill>
          </w14:textFill>
        </w:rPr>
        <w:t>报价表（格式）</w:t>
      </w:r>
      <w:bookmarkEnd w:id="66"/>
    </w:p>
    <w:bookmarkEnd w:id="67"/>
    <w:bookmarkEnd w:id="68"/>
    <w:bookmarkEnd w:id="69"/>
    <w:bookmarkEnd w:id="70"/>
    <w:bookmarkEnd w:id="71"/>
    <w:bookmarkEnd w:id="72"/>
    <w:bookmarkEnd w:id="73"/>
    <w:bookmarkEnd w:id="74"/>
    <w:p>
      <w:pPr>
        <w:jc w:val="center"/>
        <w:rPr>
          <w:b/>
          <w:color w:val="000000" w:themeColor="text1"/>
          <w:sz w:val="32"/>
          <w:szCs w:val="32"/>
          <w14:textFill>
            <w14:solidFill>
              <w14:schemeClr w14:val="tx1"/>
            </w14:solidFill>
          </w14:textFill>
        </w:rPr>
      </w:pPr>
      <w:bookmarkStart w:id="75" w:name="_Toc516487564"/>
      <w:bookmarkStart w:id="76" w:name="_Toc527444256"/>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jc w:val="center"/>
        <w:rPr>
          <w:color w:val="000000" w:themeColor="text1"/>
          <w:sz w:val="28"/>
          <w:szCs w:val="28"/>
          <w14:textFill>
            <w14:solidFill>
              <w14:schemeClr w14:val="tx1"/>
            </w14:solidFill>
          </w14:textFill>
        </w:rPr>
      </w:pPr>
    </w:p>
    <w:p>
      <w:pPr>
        <w:spacing w:line="360" w:lineRule="auto"/>
        <w:ind w:firstLine="422" w:firstLineChars="150"/>
        <w:rPr>
          <w:rFonts w:hint="eastAsia" w:ascii="宋体" w:eastAsia="宋体" w:cs="宋体"/>
          <w:b/>
          <w:color w:val="000000" w:themeColor="text1"/>
          <w:sz w:val="32"/>
          <w:szCs w:val="32"/>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项</w:t>
      </w:r>
      <w:r>
        <w:rPr>
          <w:rFonts w:hint="eastAsia" w:ascii="宋体" w:hAnsi="宋体" w:cs="宋体"/>
          <w:b/>
          <w:color w:val="000000" w:themeColor="text1"/>
          <w:spacing w:val="-20"/>
          <w:sz w:val="28"/>
          <w:szCs w:val="28"/>
          <w14:textFill>
            <w14:solidFill>
              <w14:schemeClr w14:val="tx1"/>
            </w14:solidFill>
          </w14:textFill>
        </w:rPr>
        <w:t>目</w:t>
      </w:r>
      <w:r>
        <w:rPr>
          <w:rFonts w:hint="eastAsia" w:ascii="宋体" w:hAnsi="宋体" w:cs="宋体"/>
          <w:b/>
          <w:color w:val="000000" w:themeColor="text1"/>
          <w:spacing w:val="-20"/>
          <w:sz w:val="28"/>
          <w:szCs w:val="28"/>
          <w:lang w:val="en-US" w:eastAsia="zh-CN"/>
          <w14:textFill>
            <w14:solidFill>
              <w14:schemeClr w14:val="tx1"/>
            </w14:solidFill>
          </w14:textFill>
        </w:rPr>
        <w:t>名称</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u w:val="single"/>
          <w14:textFill>
            <w14:solidFill>
              <w14:schemeClr w14:val="tx1"/>
            </w14:solidFill>
          </w14:textFill>
        </w:rPr>
        <w:t>四川省政府政</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服</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和公共</w:t>
      </w:r>
      <w:r>
        <w:rPr>
          <w:rFonts w:hint="eastAsia" w:ascii="宋体" w:hAnsi="宋体" w:cs="宋体"/>
          <w:b/>
          <w:color w:val="000000" w:themeColor="text1"/>
          <w:sz w:val="28"/>
          <w:szCs w:val="28"/>
          <w:u w:val="single"/>
          <w:lang w:val="en-US" w:eastAsia="zh-CN"/>
          <w14:textFill>
            <w14:solidFill>
              <w14:schemeClr w14:val="tx1"/>
            </w14:solidFill>
          </w14:textFill>
        </w:rPr>
        <w:t>资源</w:t>
      </w:r>
      <w:r>
        <w:rPr>
          <w:rFonts w:hint="eastAsia" w:ascii="宋体" w:hAnsi="宋体" w:cs="宋体"/>
          <w:b/>
          <w:color w:val="000000" w:themeColor="text1"/>
          <w:sz w:val="28"/>
          <w:szCs w:val="28"/>
          <w:u w:val="single"/>
          <w14:textFill>
            <w14:solidFill>
              <w14:schemeClr w14:val="tx1"/>
            </w14:solidFill>
          </w14:textFill>
        </w:rPr>
        <w:t>交易服</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中心网络安全监测服务</w:t>
      </w:r>
      <w:r>
        <w:rPr>
          <w:rFonts w:hint="eastAsia" w:ascii="宋体" w:hAnsi="宋体" w:cs="宋体"/>
          <w:b/>
          <w:color w:val="000000" w:themeColor="text1"/>
          <w:sz w:val="28"/>
          <w:szCs w:val="28"/>
          <w:u w:val="single"/>
          <w:lang w:eastAsia="zh-CN"/>
          <w14:textFill>
            <w14:solidFill>
              <w14:schemeClr w14:val="tx1"/>
            </w14:solidFill>
          </w14:textFill>
        </w:rPr>
        <w:t>项目</w:t>
      </w:r>
      <w:r>
        <w:rPr>
          <w:rFonts w:hint="eastAsia" w:ascii="宋体" w:hAnsi="宋体" w:cs="宋体"/>
          <w:b/>
          <w:color w:val="000000" w:themeColor="text1"/>
          <w:sz w:val="28"/>
          <w:szCs w:val="28"/>
          <w:u w:val="single"/>
          <w:lang w:val="en-US" w:eastAsia="zh-CN"/>
          <w14:textFill>
            <w14:solidFill>
              <w14:schemeClr w14:val="tx1"/>
            </w14:solidFill>
          </w14:textFill>
        </w:rPr>
        <w:t>报价表</w:t>
      </w:r>
    </w:p>
    <w:p>
      <w:pPr>
        <w:pStyle w:val="34"/>
        <w:spacing w:line="360" w:lineRule="auto"/>
        <w:rPr>
          <w:rFonts w:ascii="宋体" w:hAnsi="宋体" w:eastAsia="宋体" w:cs="宋体"/>
          <w:color w:val="000000" w:themeColor="text1"/>
          <w14:textFill>
            <w14:solidFill>
              <w14:schemeClr w14:val="tx1"/>
            </w14:solidFill>
          </w14:textFill>
        </w:rPr>
      </w:pPr>
    </w:p>
    <w:tbl>
      <w:tblPr>
        <w:tblStyle w:val="5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spacing w:line="360" w:lineRule="auto"/>
              <w:jc w:val="center"/>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序</w:t>
            </w:r>
            <w:r>
              <w:rPr>
                <w:rFonts w:hint="eastAsia" w:ascii="宋体" w:hAnsi="宋体" w:cs="宋体"/>
                <w:b/>
                <w:color w:val="000000" w:themeColor="text1"/>
                <w:sz w:val="28"/>
                <w:szCs w:val="28"/>
                <w:lang w:val="en-US" w:eastAsia="zh-CN"/>
                <w14:textFill>
                  <w14:solidFill>
                    <w14:schemeClr w14:val="tx1"/>
                  </w14:solidFill>
                </w14:textFill>
              </w:rPr>
              <w:t>号</w:t>
            </w:r>
          </w:p>
        </w:tc>
        <w:tc>
          <w:tcPr>
            <w:tcW w:w="5244" w:type="dxa"/>
            <w:vAlign w:val="center"/>
          </w:tcPr>
          <w:p>
            <w:pPr>
              <w:spacing w:line="360" w:lineRule="auto"/>
              <w:jc w:val="center"/>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服</w:t>
            </w:r>
            <w:r>
              <w:rPr>
                <w:rFonts w:hint="eastAsia" w:ascii="宋体" w:hAnsi="宋体" w:cs="宋体"/>
                <w:b/>
                <w:color w:val="000000" w:themeColor="text1"/>
                <w:sz w:val="28"/>
                <w:szCs w:val="28"/>
                <w:lang w:val="en-US" w:eastAsia="zh-CN"/>
                <w14:textFill>
                  <w14:solidFill>
                    <w14:schemeClr w14:val="tx1"/>
                  </w14:solidFill>
                </w14:textFill>
              </w:rPr>
              <w:t>务内</w:t>
            </w:r>
            <w:r>
              <w:rPr>
                <w:rFonts w:hint="eastAsia" w:ascii="宋体" w:hAnsi="宋体" w:cs="宋体"/>
                <w:b/>
                <w:color w:val="000000" w:themeColor="text1"/>
                <w:sz w:val="28"/>
                <w:szCs w:val="28"/>
                <w14:textFill>
                  <w14:solidFill>
                    <w14:schemeClr w14:val="tx1"/>
                  </w14:solidFill>
                </w14:textFill>
              </w:rPr>
              <w:t>容</w:t>
            </w:r>
          </w:p>
        </w:tc>
        <w:tc>
          <w:tcPr>
            <w:tcW w:w="3348" w:type="dxa"/>
            <w:vAlign w:val="center"/>
          </w:tcPr>
          <w:p>
            <w:pPr>
              <w:spacing w:line="360" w:lineRule="auto"/>
              <w:jc w:val="center"/>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报</w:t>
            </w:r>
            <w:r>
              <w:rPr>
                <w:rFonts w:hint="eastAsia" w:ascii="宋体" w:hAnsi="宋体" w:cs="宋体"/>
                <w:b/>
                <w:color w:val="000000" w:themeColor="text1"/>
                <w:sz w:val="28"/>
                <w:szCs w:val="28"/>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p>
        </w:tc>
        <w:tc>
          <w:tcPr>
            <w:tcW w:w="5244" w:type="dxa"/>
            <w:vAlign w:val="center"/>
          </w:tcPr>
          <w:p>
            <w:pPr>
              <w:pStyle w:val="254"/>
              <w:ind w:firstLine="0"/>
              <w:rPr>
                <w:rFonts w:ascii="宋体" w:cs="宋体"/>
                <w:color w:val="000000" w:themeColor="text1"/>
                <w:sz w:val="28"/>
                <w14:textFill>
                  <w14:solidFill>
                    <w14:schemeClr w14:val="tx1"/>
                  </w14:solidFill>
                </w14:textFill>
              </w:rPr>
            </w:pPr>
          </w:p>
        </w:tc>
        <w:tc>
          <w:tcPr>
            <w:tcW w:w="3348" w:type="dxa"/>
            <w:vAlign w:val="center"/>
          </w:tcPr>
          <w:p>
            <w:pPr>
              <w:spacing w:line="360" w:lineRule="auto"/>
              <w:jc w:val="center"/>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p>
        </w:tc>
        <w:tc>
          <w:tcPr>
            <w:tcW w:w="5244" w:type="dxa"/>
            <w:vAlign w:val="center"/>
          </w:tcPr>
          <w:p>
            <w:pPr>
              <w:pStyle w:val="254"/>
              <w:ind w:firstLine="0"/>
              <w:rPr>
                <w:rFonts w:ascii="宋体" w:cs="宋体"/>
                <w:color w:val="000000" w:themeColor="text1"/>
                <w:sz w:val="28"/>
                <w14:textFill>
                  <w14:solidFill>
                    <w14:schemeClr w14:val="tx1"/>
                  </w14:solidFill>
                </w14:textFill>
              </w:rPr>
            </w:pPr>
          </w:p>
        </w:tc>
        <w:tc>
          <w:tcPr>
            <w:tcW w:w="3348" w:type="dxa"/>
            <w:vAlign w:val="center"/>
          </w:tcPr>
          <w:p>
            <w:pPr>
              <w:spacing w:line="360" w:lineRule="auto"/>
              <w:jc w:val="center"/>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p>
        </w:tc>
        <w:tc>
          <w:tcPr>
            <w:tcW w:w="5244" w:type="dxa"/>
            <w:vAlign w:val="center"/>
          </w:tcPr>
          <w:p>
            <w:pPr>
              <w:pStyle w:val="254"/>
              <w:ind w:firstLine="0"/>
              <w:rPr>
                <w:rFonts w:ascii="宋体" w:cs="宋体"/>
                <w:color w:val="000000" w:themeColor="text1"/>
                <w:sz w:val="28"/>
                <w14:textFill>
                  <w14:solidFill>
                    <w14:schemeClr w14:val="tx1"/>
                  </w14:solidFill>
                </w14:textFill>
              </w:rPr>
            </w:pPr>
          </w:p>
        </w:tc>
        <w:tc>
          <w:tcPr>
            <w:tcW w:w="3348" w:type="dxa"/>
            <w:vAlign w:val="center"/>
          </w:tcPr>
          <w:p>
            <w:pPr>
              <w:spacing w:line="360" w:lineRule="auto"/>
              <w:jc w:val="center"/>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w:t>
            </w:r>
          </w:p>
        </w:tc>
        <w:tc>
          <w:tcPr>
            <w:tcW w:w="5244" w:type="dxa"/>
            <w:vAlign w:val="center"/>
          </w:tcPr>
          <w:p>
            <w:pPr>
              <w:pStyle w:val="254"/>
              <w:ind w:firstLine="0"/>
              <w:rPr>
                <w:rFonts w:ascii="宋体" w:cs="宋体"/>
                <w:color w:val="000000" w:themeColor="text1"/>
                <w:sz w:val="28"/>
                <w14:textFill>
                  <w14:solidFill>
                    <w14:schemeClr w14:val="tx1"/>
                  </w14:solidFill>
                </w14:textFill>
              </w:rPr>
            </w:pPr>
          </w:p>
        </w:tc>
        <w:tc>
          <w:tcPr>
            <w:tcW w:w="3348" w:type="dxa"/>
            <w:vAlign w:val="center"/>
          </w:tcPr>
          <w:p>
            <w:pPr>
              <w:spacing w:line="360" w:lineRule="auto"/>
              <w:jc w:val="center"/>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w:t>
            </w:r>
            <w:r>
              <w:rPr>
                <w:rFonts w:ascii="宋体" w:hAnsi="宋体" w:cs="宋体"/>
                <w:color w:val="000000" w:themeColor="text1"/>
                <w:sz w:val="28"/>
                <w:szCs w:val="28"/>
                <w14:textFill>
                  <w14:solidFill>
                    <w14:schemeClr w14:val="tx1"/>
                  </w14:solidFill>
                </w14:textFill>
              </w:rPr>
              <w:t>?</w:t>
            </w:r>
          </w:p>
        </w:tc>
        <w:tc>
          <w:tcPr>
            <w:tcW w:w="8592" w:type="dxa"/>
            <w:gridSpan w:val="2"/>
            <w:vAlign w:val="center"/>
          </w:tcPr>
          <w:p>
            <w:pPr>
              <w:spacing w:line="360" w:lineRule="auto"/>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小</w:t>
            </w:r>
            <w:r>
              <w:rPr>
                <w:rFonts w:hint="eastAsia" w:ascii="宋体" w:hAnsi="宋体" w:cs="宋体"/>
                <w:color w:val="000000" w:themeColor="text1"/>
                <w:sz w:val="28"/>
                <w:szCs w:val="28"/>
                <w:lang w:val="en-US" w:eastAsia="zh-CN"/>
                <w14:textFill>
                  <w14:solidFill>
                    <w14:schemeClr w14:val="tx1"/>
                  </w14:solidFill>
                </w14:textFill>
              </w:rPr>
              <w:t>写</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大</w:t>
            </w:r>
            <w:r>
              <w:rPr>
                <w:rFonts w:hint="eastAsia" w:ascii="宋体" w:hAnsi="宋体" w:cs="宋体"/>
                <w:color w:val="000000" w:themeColor="text1"/>
                <w:sz w:val="28"/>
                <w:szCs w:val="28"/>
                <w:lang w:val="en-US" w:eastAsia="zh-CN"/>
                <w14:textFill>
                  <w14:solidFill>
                    <w14:schemeClr w14:val="tx1"/>
                  </w14:solidFill>
                </w14:textFill>
              </w:rPr>
              <w:t>写</w:t>
            </w:r>
            <w:r>
              <w:rPr>
                <w:rFonts w:hint="eastAsia" w:ascii="宋体" w:hAnsi="宋体" w:cs="宋体"/>
                <w:color w:val="000000" w:themeColor="text1"/>
                <w:sz w:val="28"/>
                <w:szCs w:val="28"/>
                <w14:textFill>
                  <w14:solidFill>
                    <w14:schemeClr w14:val="tx1"/>
                  </w14:solidFill>
                </w14:textFill>
              </w:rPr>
              <w:t>：</w:t>
            </w:r>
          </w:p>
        </w:tc>
      </w:tr>
    </w:tbl>
    <w:p>
      <w:pPr>
        <w:pStyle w:val="254"/>
        <w:ind w:firstLine="0"/>
        <w:jc w:val="both"/>
        <w:rPr>
          <w:rFonts w:ascii="宋体" w:cs="宋体"/>
          <w:color w:val="000000" w:themeColor="text1"/>
          <w:sz w:val="28"/>
          <w14:textFill>
            <w14:solidFill>
              <w14:schemeClr w14:val="tx1"/>
            </w14:solidFill>
          </w14:textFill>
        </w:rPr>
      </w:pPr>
    </w:p>
    <w:p>
      <w:pPr>
        <w:pStyle w:val="254"/>
        <w:ind w:firstLine="0"/>
        <w:jc w:val="both"/>
        <w:rPr>
          <w:rFonts w:ascii="宋体" w:cs="宋体"/>
          <w:color w:val="000000" w:themeColor="text1"/>
          <w:sz w:val="28"/>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报</w:t>
      </w:r>
      <w:r>
        <w:rPr>
          <w:rFonts w:hint="eastAsia" w:ascii="宋体" w:hAnsi="宋体" w:cs="宋体"/>
          <w:color w:val="000000" w:themeColor="text1"/>
          <w:sz w:val="28"/>
          <w14:textFill>
            <w14:solidFill>
              <w14:schemeClr w14:val="tx1"/>
            </w14:solidFill>
          </w14:textFill>
        </w:rPr>
        <w:t>价（大</w:t>
      </w:r>
      <w:r>
        <w:rPr>
          <w:rFonts w:hint="eastAsia" w:ascii="宋体" w:hAnsi="宋体" w:cs="宋体"/>
          <w:color w:val="000000" w:themeColor="text1"/>
          <w:sz w:val="28"/>
          <w:lang w:val="en-US" w:eastAsia="zh-CN"/>
          <w14:textFill>
            <w14:solidFill>
              <w14:schemeClr w14:val="tx1"/>
            </w14:solidFill>
          </w14:textFill>
        </w:rPr>
        <w:t>写</w:t>
      </w:r>
      <w:r>
        <w:rPr>
          <w:rFonts w:hint="eastAsia" w:ascii="宋体" w:hAnsi="宋体" w:cs="宋体"/>
          <w:color w:val="000000" w:themeColor="text1"/>
          <w:sz w:val="28"/>
          <w14:textFill>
            <w14:solidFill>
              <w14:schemeClr w14:val="tx1"/>
            </w14:solidFill>
          </w14:textFill>
        </w:rPr>
        <w:t>人民</w:t>
      </w:r>
      <w:r>
        <w:rPr>
          <w:rFonts w:hint="eastAsia" w:ascii="宋体" w:hAnsi="宋体" w:cs="宋体"/>
          <w:color w:val="000000" w:themeColor="text1"/>
          <w:sz w:val="28"/>
          <w:lang w:val="en-US" w:eastAsia="zh-CN"/>
          <w14:textFill>
            <w14:solidFill>
              <w14:schemeClr w14:val="tx1"/>
            </w14:solidFill>
          </w14:textFill>
        </w:rPr>
        <w:t>币</w:t>
      </w:r>
      <w:r>
        <w:rPr>
          <w:rFonts w:hint="eastAsia" w:ascii="宋体" w:hAnsi="宋体" w:cs="宋体"/>
          <w:color w:val="000000" w:themeColor="text1"/>
          <w:sz w:val="28"/>
          <w14:textFill>
            <w14:solidFill>
              <w14:schemeClr w14:val="tx1"/>
            </w14:solidFill>
          </w14:textFill>
        </w:rPr>
        <w:t>）：</w:t>
      </w:r>
    </w:p>
    <w:p>
      <w:pPr>
        <w:pStyle w:val="254"/>
        <w:ind w:firstLine="0"/>
        <w:jc w:val="both"/>
        <w:rPr>
          <w:rFonts w:asci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供</w:t>
      </w:r>
      <w:r>
        <w:rPr>
          <w:rFonts w:hint="eastAsia" w:ascii="宋体" w:hAnsi="宋体" w:cs="宋体"/>
          <w:color w:val="000000" w:themeColor="text1"/>
          <w:sz w:val="28"/>
          <w:lang w:val="en-US" w:eastAsia="zh-CN"/>
          <w14:textFill>
            <w14:solidFill>
              <w14:schemeClr w14:val="tx1"/>
            </w14:solidFill>
          </w14:textFill>
        </w:rPr>
        <w:t>应</w:t>
      </w:r>
      <w:r>
        <w:rPr>
          <w:rFonts w:hint="eastAsia" w:ascii="宋体" w:hAnsi="宋体" w:cs="宋体"/>
          <w:color w:val="000000" w:themeColor="text1"/>
          <w:sz w:val="28"/>
          <w14:textFill>
            <w14:solidFill>
              <w14:schemeClr w14:val="tx1"/>
            </w14:solidFill>
          </w14:textFill>
        </w:rPr>
        <w:t>商名</w:t>
      </w:r>
      <w:r>
        <w:rPr>
          <w:rFonts w:hint="eastAsia" w:ascii="宋体" w:hAnsi="宋体" w:cs="宋体"/>
          <w:color w:val="000000" w:themeColor="text1"/>
          <w:sz w:val="28"/>
          <w:lang w:val="en-US" w:eastAsia="zh-CN"/>
          <w14:textFill>
            <w14:solidFill>
              <w14:schemeClr w14:val="tx1"/>
            </w14:solidFill>
          </w14:textFill>
        </w:rPr>
        <w:t>称</w:t>
      </w:r>
      <w:r>
        <w:rPr>
          <w:rFonts w:hint="eastAsia"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pacing w:val="6"/>
          <w:sz w:val="28"/>
          <w14:textFill>
            <w14:solidFill>
              <w14:schemeClr w14:val="tx1"/>
            </w14:solidFill>
          </w14:textFill>
        </w:rPr>
        <w:t>(</w:t>
      </w:r>
      <w:r>
        <w:rPr>
          <w:rFonts w:hint="eastAsia" w:ascii="宋体" w:hAnsi="宋体" w:cs="宋体"/>
          <w:color w:val="000000" w:themeColor="text1"/>
          <w:spacing w:val="6"/>
          <w:sz w:val="28"/>
          <w14:textFill>
            <w14:solidFill>
              <w14:schemeClr w14:val="tx1"/>
            </w14:solidFill>
          </w14:textFill>
        </w:rPr>
        <w:t>加</w:t>
      </w:r>
      <w:r>
        <w:rPr>
          <w:rFonts w:hint="eastAsia" w:ascii="宋体" w:hAnsi="宋体" w:cs="宋体"/>
          <w:color w:val="000000" w:themeColor="text1"/>
          <w:spacing w:val="6"/>
          <w:sz w:val="28"/>
          <w:lang w:val="en-US" w:eastAsia="zh-CN"/>
          <w14:textFill>
            <w14:solidFill>
              <w14:schemeClr w14:val="tx1"/>
            </w14:solidFill>
          </w14:textFill>
        </w:rPr>
        <w:t>盖</w:t>
      </w:r>
      <w:r>
        <w:rPr>
          <w:rFonts w:hint="eastAsia" w:ascii="宋体" w:hAnsi="宋体" w:cs="宋体"/>
          <w:color w:val="000000" w:themeColor="text1"/>
          <w:spacing w:val="6"/>
          <w:sz w:val="28"/>
          <w14:textFill>
            <w14:solidFill>
              <w14:schemeClr w14:val="tx1"/>
            </w14:solidFill>
          </w14:textFill>
        </w:rPr>
        <w:t>公章</w:t>
      </w:r>
      <w:r>
        <w:rPr>
          <w:rFonts w:ascii="宋体" w:hAnsi="宋体" w:cs="宋体"/>
          <w:color w:val="000000" w:themeColor="text1"/>
          <w:spacing w:val="6"/>
          <w:sz w:val="28"/>
          <w14:textFill>
            <w14:solidFill>
              <w14:schemeClr w14:val="tx1"/>
            </w14:solidFill>
          </w14:textFill>
        </w:rPr>
        <w:t>)</w:t>
      </w:r>
    </w:p>
    <w:p>
      <w:pPr>
        <w:pStyle w:val="254"/>
        <w:ind w:firstLine="0"/>
        <w:jc w:val="both"/>
        <w:rPr>
          <w:rFonts w:asci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法定代表人或代理人：</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w:t>
      </w:r>
      <w:r>
        <w:rPr>
          <w:rFonts w:hint="eastAsia"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lang w:val="en-US" w:eastAsia="zh-CN"/>
          <w14:textFill>
            <w14:solidFill>
              <w14:schemeClr w14:val="tx1"/>
            </w14:solidFill>
          </w14:textFill>
        </w:rPr>
        <w:t>签</w:t>
      </w:r>
      <w:r>
        <w:rPr>
          <w:rFonts w:hint="eastAsia" w:ascii="宋体" w:hAnsi="宋体" w:cs="宋体"/>
          <w:color w:val="000000" w:themeColor="text1"/>
          <w:sz w:val="28"/>
          <w14:textFill>
            <w14:solidFill>
              <w14:schemeClr w14:val="tx1"/>
            </w14:solidFill>
          </w14:textFill>
        </w:rPr>
        <w:t>字）</w:t>
      </w:r>
    </w:p>
    <w:p>
      <w:pPr>
        <w:spacing w:line="360" w:lineRule="auto"/>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p>
    <w:p>
      <w:pPr>
        <w:pStyle w:val="34"/>
        <w:spacing w:line="360" w:lineRule="auto"/>
        <w:rPr>
          <w:rFonts w:ascii="宋体" w:hAnsi="宋体" w:eastAsia="宋体" w:cs="宋体"/>
          <w:color w:val="000000" w:themeColor="text1"/>
          <w14:textFill>
            <w14:solidFill>
              <w14:schemeClr w14:val="tx1"/>
            </w14:solidFill>
          </w14:textFill>
        </w:rPr>
      </w:pPr>
    </w:p>
    <w:p>
      <w:pPr>
        <w:pStyle w:val="26"/>
        <w:adjustRightInd w:val="0"/>
        <w:snapToGrid w:val="0"/>
        <w:spacing w:line="480" w:lineRule="exact"/>
        <w:ind w:left="703" w:leftChars="67" w:hanging="562" w:hangingChars="200"/>
        <w:rPr>
          <w:rFonts w:ascii="华文细黑" w:hAnsi="华文细黑" w:eastAsia="华文细黑"/>
          <w:b/>
          <w:bCs/>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28"/>
          <w14:textFill>
            <w14:solidFill>
              <w14:schemeClr w14:val="tx1"/>
            </w14:solidFill>
          </w14:textFill>
        </w:rPr>
        <w:t>规定的全部响应内容的报价（包含中标供应商应承担的物耗、人工、税费等）。</w:t>
      </w:r>
    </w:p>
    <w:bookmarkEnd w:id="75"/>
    <w:bookmarkEnd w:id="76"/>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ind w:left="621" w:leftChars="67" w:hanging="480"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6"/>
        <w:keepNext w:val="0"/>
        <w:keepLines w:val="0"/>
        <w:pageBreakBefore w:val="0"/>
        <w:widowControl w:val="0"/>
        <w:kinsoku/>
        <w:wordWrap/>
        <w:overflowPunct/>
        <w:topLinePunct w:val="0"/>
        <w:autoSpaceDE/>
        <w:autoSpaceDN/>
        <w:bidi w:val="0"/>
        <w:spacing w:line="560" w:lineRule="exact"/>
        <w:jc w:val="center"/>
        <w:textAlignment w:val="auto"/>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p>
    <w:p>
      <w:pPr>
        <w:pStyle w:val="6"/>
        <w:keepNext w:val="0"/>
        <w:keepLines w:val="0"/>
        <w:pageBreakBefore w:val="0"/>
        <w:widowControl w:val="0"/>
        <w:kinsoku/>
        <w:wordWrap/>
        <w:overflowPunct/>
        <w:topLinePunct w:val="0"/>
        <w:autoSpaceDE/>
        <w:autoSpaceDN/>
        <w:bidi w:val="0"/>
        <w:spacing w:line="560" w:lineRule="exact"/>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致：</w:t>
      </w:r>
      <w:r>
        <w:rPr>
          <w:rFonts w:hint="eastAsia" w:ascii="宋体" w:hAnsi="宋体"/>
          <w:b/>
          <w:color w:val="000000" w:themeColor="text1"/>
          <w:sz w:val="28"/>
          <w:szCs w:val="28"/>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560" w:lineRule="exact"/>
        <w:ind w:firstLine="560" w:firstLineChars="200"/>
        <w:jc w:val="left"/>
        <w:textAlignment w:val="auto"/>
        <w:rPr>
          <w:color w:val="000000" w:themeColor="text1"/>
          <w14:textFill>
            <w14:solidFill>
              <w14:schemeClr w14:val="tx1"/>
            </w14:solidFill>
          </w14:textFill>
        </w:rPr>
      </w:pPr>
      <w:r>
        <w:rPr>
          <w:rFonts w:hint="eastAsia" w:ascii="宋体" w:hAnsi="宋体"/>
          <w:color w:val="000000" w:themeColor="text1"/>
          <w:sz w:val="28"/>
          <w14:textFill>
            <w14:solidFill>
              <w14:schemeClr w14:val="tx1"/>
            </w14:solidFill>
          </w14:textFill>
        </w:rPr>
        <w:t>我单位作为</w:t>
      </w:r>
      <w:r>
        <w:rPr>
          <w:rFonts w:hint="eastAsia" w:ascii="宋体" w:hAnsi="宋体"/>
          <w:color w:val="000000" w:themeColor="text1"/>
          <w:sz w:val="28"/>
          <w:u w:val="single"/>
          <w14:textFill>
            <w14:solidFill>
              <w14:schemeClr w14:val="tx1"/>
            </w14:solidFill>
          </w14:textFill>
        </w:rPr>
        <w:t>四川省政府政务服务和公共资源交易服务中心网络安全监测服务项目</w:t>
      </w:r>
      <w:r>
        <w:rPr>
          <w:rFonts w:hint="eastAsia" w:ascii="宋体" w:hAnsi="宋体"/>
          <w:color w:val="000000" w:themeColor="text1"/>
          <w:sz w:val="28"/>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一、我</w:t>
      </w:r>
      <w:r>
        <w:rPr>
          <w:rFonts w:hint="eastAsia" w:ascii="宋体" w:hAnsi="宋体"/>
          <w:color w:val="000000" w:themeColor="text1"/>
          <w:sz w:val="28"/>
          <w14:textFill>
            <w14:solidFill>
              <w14:schemeClr w14:val="tx1"/>
            </w14:solidFill>
          </w14:textFill>
        </w:rPr>
        <w:t>单位</w:t>
      </w:r>
      <w:r>
        <w:rPr>
          <w:rFonts w:hint="eastAsia" w:ascii="宋体" w:hAnsi="宋体"/>
          <w:color w:val="000000" w:themeColor="text1"/>
          <w:sz w:val="28"/>
          <w:szCs w:val="28"/>
          <w14:textFill>
            <w14:solidFill>
              <w14:schemeClr w14:val="tx1"/>
            </w14:solidFill>
          </w14:textFill>
        </w:rPr>
        <w:t>参加采购活动前三年内，在经营活动中</w:t>
      </w:r>
      <w:r>
        <w:rPr>
          <w:rFonts w:hint="eastAsia" w:ascii="宋体" w:hAnsi="宋体"/>
          <w:b/>
          <w:color w:val="000000" w:themeColor="text1"/>
          <w:sz w:val="28"/>
          <w:szCs w:val="28"/>
          <w:u w:val="single"/>
          <w14:textFill>
            <w14:solidFill>
              <w14:schemeClr w14:val="tx1"/>
            </w14:solidFill>
          </w14:textFill>
        </w:rPr>
        <w:t>（说明：填写“无”或“有”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二、我</w:t>
      </w:r>
      <w:r>
        <w:rPr>
          <w:rFonts w:hint="eastAsia" w:ascii="宋体" w:hAnsi="宋体"/>
          <w:color w:val="000000" w:themeColor="text1"/>
          <w:sz w:val="28"/>
          <w14:textFill>
            <w14:solidFill>
              <w14:schemeClr w14:val="tx1"/>
            </w14:solidFill>
          </w14:textFill>
        </w:rPr>
        <w:t>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三、与我</w:t>
      </w:r>
      <w:r>
        <w:rPr>
          <w:rFonts w:hint="eastAsia" w:ascii="宋体" w:hAnsi="宋体"/>
          <w:color w:val="000000" w:themeColor="text1"/>
          <w:sz w:val="28"/>
          <w14:textFill>
            <w14:solidFill>
              <w14:schemeClr w14:val="tx1"/>
            </w14:solidFill>
          </w14:textFill>
        </w:rPr>
        <w:t>单位</w:t>
      </w:r>
      <w:r>
        <w:rPr>
          <w:rFonts w:hint="eastAsia" w:ascii="宋体" w:hAnsi="宋体"/>
          <w:color w:val="000000" w:themeColor="text1"/>
          <w:sz w:val="28"/>
          <w:szCs w:val="28"/>
          <w14:textFill>
            <w14:solidFill>
              <w14:schemeClr w14:val="tx1"/>
            </w14:solidFill>
          </w14:textFill>
        </w:rPr>
        <w:t>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 ；（三）……”）</w:t>
      </w:r>
      <w:r>
        <w:rPr>
          <w:rFonts w:hint="eastAsia" w:ascii="宋体" w:hAnsi="宋体"/>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b/>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560" w:lineRule="exact"/>
        <w:ind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560" w:lineRule="exact"/>
        <w:ind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供应商名称：</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560" w:lineRule="exact"/>
        <w:ind w:firstLine="525"/>
        <w:textAlignment w:val="auto"/>
        <w:rPr>
          <w:rFonts w:ascii="宋体"/>
          <w:bCs/>
          <w:color w:val="000000" w:themeColor="text1"/>
          <w:sz w:val="28"/>
          <w:szCs w:val="28"/>
          <w:u w:val="single"/>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宋体"/>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Style w:val="58"/>
        <w:rFonts w:hint="eastAsia"/>
      </w:rPr>
      <w:t>第</w:t>
    </w:r>
    <w:r>
      <w:rPr>
        <w:rStyle w:val="58"/>
      </w:rPr>
      <w:fldChar w:fldCharType="begin"/>
    </w:r>
    <w:r>
      <w:rPr>
        <w:rStyle w:val="58"/>
      </w:rPr>
      <w:instrText xml:space="preserve"> PAGE </w:instrText>
    </w:r>
    <w:r>
      <w:rPr>
        <w:rStyle w:val="58"/>
      </w:rPr>
      <w:fldChar w:fldCharType="separate"/>
    </w:r>
    <w:r>
      <w:rPr>
        <w:rStyle w:val="58"/>
      </w:rPr>
      <w:t>5</w:t>
    </w:r>
    <w:r>
      <w:rPr>
        <w:rStyle w:val="58"/>
      </w:rPr>
      <w:fldChar w:fldCharType="end"/>
    </w:r>
    <w:r>
      <w:rPr>
        <w:rStyle w:val="58"/>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0852D"/>
    <w:multiLevelType w:val="singleLevel"/>
    <w:tmpl w:val="81C0852D"/>
    <w:lvl w:ilvl="0" w:tentative="0">
      <w:start w:val="13"/>
      <w:numFmt w:val="decimal"/>
      <w:suff w:val="space"/>
      <w:lvlText w:val="%1."/>
      <w:lvlJc w:val="left"/>
    </w:lvl>
  </w:abstractNum>
  <w:abstractNum w:abstractNumId="1">
    <w:nsid w:val="9E55E564"/>
    <w:multiLevelType w:val="singleLevel"/>
    <w:tmpl w:val="9E55E564"/>
    <w:lvl w:ilvl="0" w:tentative="0">
      <w:start w:val="2"/>
      <w:numFmt w:val="decimal"/>
      <w:suff w:val="nothing"/>
      <w:lvlText w:val="%1、"/>
      <w:lvlJc w:val="left"/>
    </w:lvl>
  </w:abstractNum>
  <w:abstractNum w:abstractNumId="2">
    <w:nsid w:val="FFFFFF88"/>
    <w:multiLevelType w:val="singleLevel"/>
    <w:tmpl w:val="FFFFFF88"/>
    <w:lvl w:ilvl="0" w:tentative="0">
      <w:start w:val="1"/>
      <w:numFmt w:val="decimal"/>
      <w:pStyle w:val="15"/>
      <w:lvlText w:val="%1."/>
      <w:lvlJc w:val="left"/>
      <w:pPr>
        <w:tabs>
          <w:tab w:val="left" w:pos="360"/>
        </w:tabs>
        <w:ind w:left="360" w:hanging="360"/>
      </w:pPr>
      <w:rPr>
        <w:rFonts w:cs="Times New Roman"/>
      </w:rPr>
    </w:lvl>
  </w:abstractNum>
  <w:abstractNum w:abstractNumId="3">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4">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6">
    <w:nsid w:val="2C26A92F"/>
    <w:multiLevelType w:val="singleLevel"/>
    <w:tmpl w:val="2C26A92F"/>
    <w:lvl w:ilvl="0" w:tentative="0">
      <w:start w:val="7"/>
      <w:numFmt w:val="decimal"/>
      <w:suff w:val="space"/>
      <w:lvlText w:val="%1."/>
      <w:lvlJc w:val="left"/>
    </w:lvl>
  </w:abstractNum>
  <w:abstractNum w:abstractNumId="7">
    <w:nsid w:val="3A06F20A"/>
    <w:multiLevelType w:val="singleLevel"/>
    <w:tmpl w:val="3A06F20A"/>
    <w:lvl w:ilvl="0" w:tentative="0">
      <w:start w:val="2"/>
      <w:numFmt w:val="chineseCounting"/>
      <w:suff w:val="space"/>
      <w:lvlText w:val="第%1章"/>
      <w:lvlJc w:val="left"/>
      <w:rPr>
        <w:rFonts w:hint="eastAsia" w:cs="Times New Roman"/>
      </w:rPr>
    </w:lvl>
  </w:abstractNum>
  <w:abstractNum w:abstractNumId="8">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9">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0">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2">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3">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4">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7139748A"/>
    <w:multiLevelType w:val="singleLevel"/>
    <w:tmpl w:val="7139748A"/>
    <w:lvl w:ilvl="0" w:tentative="0">
      <w:start w:val="1"/>
      <w:numFmt w:val="bullet"/>
      <w:pStyle w:val="17"/>
      <w:lvlText w:val=""/>
      <w:lvlJc w:val="left"/>
      <w:pPr>
        <w:tabs>
          <w:tab w:val="left" w:pos="785"/>
        </w:tabs>
        <w:ind w:firstLine="425"/>
      </w:pPr>
      <w:rPr>
        <w:rFonts w:hint="default" w:ascii="Wingdings" w:hAnsi="Wingdings"/>
      </w:rPr>
    </w:lvl>
  </w:abstractNum>
  <w:abstractNum w:abstractNumId="16">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2"/>
  </w:num>
  <w:num w:numId="2">
    <w:abstractNumId w:val="15"/>
  </w:num>
  <w:num w:numId="3">
    <w:abstractNumId w:val="9"/>
  </w:num>
  <w:num w:numId="4">
    <w:abstractNumId w:val="16"/>
  </w:num>
  <w:num w:numId="5">
    <w:abstractNumId w:val="10"/>
  </w:num>
  <w:num w:numId="6">
    <w:abstractNumId w:val="12"/>
  </w:num>
  <w:num w:numId="7">
    <w:abstractNumId w:val="5"/>
  </w:num>
  <w:num w:numId="8">
    <w:abstractNumId w:val="1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8"/>
  </w:num>
  <w:num w:numId="14">
    <w:abstractNumId w:val="7"/>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8A05605"/>
    <w:rsid w:val="08BF02C3"/>
    <w:rsid w:val="0AB63E4B"/>
    <w:rsid w:val="0B900AF3"/>
    <w:rsid w:val="0DC52948"/>
    <w:rsid w:val="0F800E2D"/>
    <w:rsid w:val="0FE90B71"/>
    <w:rsid w:val="12A272E2"/>
    <w:rsid w:val="133C2385"/>
    <w:rsid w:val="13873574"/>
    <w:rsid w:val="16A317BF"/>
    <w:rsid w:val="16C91448"/>
    <w:rsid w:val="18260D81"/>
    <w:rsid w:val="1A415B5C"/>
    <w:rsid w:val="1C5F6BF0"/>
    <w:rsid w:val="1CF90854"/>
    <w:rsid w:val="1D0A7906"/>
    <w:rsid w:val="1D4D78CA"/>
    <w:rsid w:val="1DA95020"/>
    <w:rsid w:val="1E347AE2"/>
    <w:rsid w:val="1E3B177F"/>
    <w:rsid w:val="1F512885"/>
    <w:rsid w:val="2093255B"/>
    <w:rsid w:val="243F2CF9"/>
    <w:rsid w:val="24AA0277"/>
    <w:rsid w:val="25A3468F"/>
    <w:rsid w:val="28FC707E"/>
    <w:rsid w:val="2BEB4E2D"/>
    <w:rsid w:val="2BED280E"/>
    <w:rsid w:val="2F1553AA"/>
    <w:rsid w:val="35E5474C"/>
    <w:rsid w:val="38266265"/>
    <w:rsid w:val="38B41FE8"/>
    <w:rsid w:val="397322C1"/>
    <w:rsid w:val="3CD87AC7"/>
    <w:rsid w:val="3E801FE3"/>
    <w:rsid w:val="3EA843EA"/>
    <w:rsid w:val="3EB169D5"/>
    <w:rsid w:val="40891116"/>
    <w:rsid w:val="40E32649"/>
    <w:rsid w:val="421564CB"/>
    <w:rsid w:val="421C6C36"/>
    <w:rsid w:val="4C4A055B"/>
    <w:rsid w:val="50CC6F61"/>
    <w:rsid w:val="538C0638"/>
    <w:rsid w:val="54672F20"/>
    <w:rsid w:val="550E4668"/>
    <w:rsid w:val="58384844"/>
    <w:rsid w:val="5A3C527B"/>
    <w:rsid w:val="5C822AA8"/>
    <w:rsid w:val="5DF0426A"/>
    <w:rsid w:val="5FD76F7D"/>
    <w:rsid w:val="61585386"/>
    <w:rsid w:val="61907F8F"/>
    <w:rsid w:val="63E4197E"/>
    <w:rsid w:val="63F649C9"/>
    <w:rsid w:val="67717E0E"/>
    <w:rsid w:val="6B6C6A03"/>
    <w:rsid w:val="6D713B9A"/>
    <w:rsid w:val="704824EC"/>
    <w:rsid w:val="704C02B4"/>
    <w:rsid w:val="70D85181"/>
    <w:rsid w:val="720024FB"/>
    <w:rsid w:val="75B10AE0"/>
    <w:rsid w:val="7AC76807"/>
    <w:rsid w:val="7E643CAC"/>
    <w:rsid w:val="7E771D44"/>
    <w:rsid w:val="7F705E80"/>
    <w:rsid w:val="7FEA6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uiPriority w:val="99"/>
    <w:pPr>
      <w:keepNext/>
      <w:keepLines/>
      <w:spacing w:before="340" w:after="330" w:line="578" w:lineRule="auto"/>
      <w:jc w:val="center"/>
      <w:outlineLvl w:val="0"/>
    </w:pPr>
    <w:rPr>
      <w:rFonts w:eastAsia="黑体"/>
      <w:bCs/>
      <w:kern w:val="44"/>
      <w:sz w:val="30"/>
      <w:szCs w:val="44"/>
    </w:rPr>
  </w:style>
  <w:style w:type="paragraph" w:styleId="4">
    <w:name w:val="heading 2"/>
    <w:basedOn w:val="1"/>
    <w:next w:val="5"/>
    <w:link w:val="66"/>
    <w:qFormat/>
    <w:uiPriority w:val="99"/>
    <w:pPr>
      <w:keepNext/>
      <w:keepLines/>
      <w:spacing w:before="260" w:after="260" w:line="416" w:lineRule="auto"/>
      <w:outlineLvl w:val="1"/>
    </w:pPr>
    <w:rPr>
      <w:rFonts w:ascii="Arial" w:hAnsi="Arial" w:eastAsia="黑体"/>
      <w:bCs/>
      <w:sz w:val="28"/>
      <w:szCs w:val="32"/>
    </w:rPr>
  </w:style>
  <w:style w:type="paragraph" w:styleId="7">
    <w:name w:val="heading 3"/>
    <w:basedOn w:val="1"/>
    <w:next w:val="1"/>
    <w:link w:val="67"/>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8">
    <w:name w:val="heading 4"/>
    <w:basedOn w:val="1"/>
    <w:next w:val="1"/>
    <w:link w:val="68"/>
    <w:qFormat/>
    <w:uiPriority w:val="99"/>
    <w:pPr>
      <w:keepNext/>
      <w:outlineLvl w:val="3"/>
    </w:pPr>
    <w:rPr>
      <w:sz w:val="28"/>
      <w:szCs w:val="20"/>
    </w:rPr>
  </w:style>
  <w:style w:type="paragraph" w:styleId="9">
    <w:name w:val="heading 5"/>
    <w:basedOn w:val="1"/>
    <w:next w:val="1"/>
    <w:link w:val="69"/>
    <w:qFormat/>
    <w:uiPriority w:val="99"/>
    <w:pPr>
      <w:keepNext/>
      <w:keepLines/>
      <w:spacing w:before="280" w:after="290" w:line="376" w:lineRule="auto"/>
      <w:outlineLvl w:val="4"/>
    </w:pPr>
    <w:rPr>
      <w:b/>
      <w:bCs/>
      <w:sz w:val="28"/>
      <w:szCs w:val="28"/>
    </w:rPr>
  </w:style>
  <w:style w:type="paragraph" w:styleId="10">
    <w:name w:val="heading 6"/>
    <w:basedOn w:val="1"/>
    <w:next w:val="1"/>
    <w:link w:val="70"/>
    <w:qFormat/>
    <w:uiPriority w:val="99"/>
    <w:pPr>
      <w:keepNext/>
      <w:keepLines/>
      <w:spacing w:before="240" w:after="64" w:line="320" w:lineRule="auto"/>
      <w:outlineLvl w:val="5"/>
    </w:pPr>
    <w:rPr>
      <w:rFonts w:ascii="Arial" w:hAnsi="Arial" w:eastAsia="黑体"/>
      <w:b/>
      <w:bCs/>
      <w:sz w:val="24"/>
    </w:rPr>
  </w:style>
  <w:style w:type="paragraph" w:styleId="11">
    <w:name w:val="heading 7"/>
    <w:basedOn w:val="1"/>
    <w:next w:val="1"/>
    <w:link w:val="71"/>
    <w:qFormat/>
    <w:uiPriority w:val="99"/>
    <w:pPr>
      <w:keepNext/>
      <w:keepLines/>
      <w:spacing w:before="240" w:after="64" w:line="320" w:lineRule="auto"/>
      <w:outlineLvl w:val="6"/>
    </w:pPr>
    <w:rPr>
      <w:b/>
      <w:bCs/>
      <w:sz w:val="24"/>
    </w:rPr>
  </w:style>
  <w:style w:type="paragraph" w:styleId="12">
    <w:name w:val="heading 8"/>
    <w:basedOn w:val="1"/>
    <w:next w:val="1"/>
    <w:link w:val="72"/>
    <w:qFormat/>
    <w:uiPriority w:val="99"/>
    <w:pPr>
      <w:keepNext/>
      <w:keepLines/>
      <w:spacing w:before="240" w:after="64" w:line="320" w:lineRule="auto"/>
      <w:outlineLvl w:val="7"/>
    </w:pPr>
    <w:rPr>
      <w:rFonts w:ascii="Arial" w:hAnsi="Arial" w:eastAsia="黑体"/>
      <w:sz w:val="24"/>
    </w:rPr>
  </w:style>
  <w:style w:type="paragraph" w:styleId="13">
    <w:name w:val="heading 9"/>
    <w:basedOn w:val="1"/>
    <w:next w:val="1"/>
    <w:link w:val="73"/>
    <w:qFormat/>
    <w:uiPriority w:val="99"/>
    <w:pPr>
      <w:keepNext/>
      <w:keepLines/>
      <w:spacing w:before="240" w:after="64" w:line="320" w:lineRule="auto"/>
      <w:outlineLvl w:val="8"/>
    </w:pPr>
    <w:rPr>
      <w:rFonts w:ascii="Arial" w:hAnsi="Arial" w:eastAsia="黑体"/>
      <w:szCs w:val="21"/>
    </w:rPr>
  </w:style>
  <w:style w:type="character" w:default="1" w:styleId="56">
    <w:name w:val="Default Paragraph Font"/>
    <w:semiHidden/>
    <w:qFormat/>
    <w:uiPriority w:val="99"/>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20"/>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5">
    <w:name w:val="Body Text First Indent"/>
    <w:basedOn w:val="6"/>
    <w:link w:val="75"/>
    <w:qFormat/>
    <w:uiPriority w:val="99"/>
    <w:pPr>
      <w:spacing w:after="120"/>
      <w:ind w:firstLine="420" w:firstLineChars="100"/>
    </w:pPr>
    <w:rPr>
      <w:sz w:val="21"/>
      <w:szCs w:val="24"/>
    </w:rPr>
  </w:style>
  <w:style w:type="paragraph" w:styleId="6">
    <w:name w:val="Body Text"/>
    <w:basedOn w:val="1"/>
    <w:next w:val="1"/>
    <w:link w:val="74"/>
    <w:qFormat/>
    <w:uiPriority w:val="99"/>
    <w:rPr>
      <w:sz w:val="28"/>
      <w:szCs w:val="20"/>
    </w:rPr>
  </w:style>
  <w:style w:type="paragraph" w:styleId="14">
    <w:name w:val="toc 7"/>
    <w:basedOn w:val="1"/>
    <w:next w:val="1"/>
    <w:qFormat/>
    <w:uiPriority w:val="99"/>
    <w:pPr>
      <w:ind w:left="2520" w:leftChars="1200"/>
    </w:pPr>
    <w:rPr>
      <w:rFonts w:ascii="Calibri" w:hAnsi="Calibri"/>
      <w:szCs w:val="22"/>
    </w:rPr>
  </w:style>
  <w:style w:type="paragraph" w:styleId="15">
    <w:name w:val="List Number"/>
    <w:basedOn w:val="1"/>
    <w:qFormat/>
    <w:uiPriority w:val="99"/>
    <w:pPr>
      <w:numPr>
        <w:ilvl w:val="0"/>
        <w:numId w:val="1"/>
      </w:numPr>
      <w:spacing w:line="360" w:lineRule="auto"/>
      <w:ind w:hangingChars="200"/>
    </w:pPr>
    <w:rPr>
      <w:sz w:val="24"/>
    </w:rPr>
  </w:style>
  <w:style w:type="paragraph" w:styleId="16">
    <w:name w:val="caption"/>
    <w:basedOn w:val="1"/>
    <w:next w:val="1"/>
    <w:qFormat/>
    <w:uiPriority w:val="99"/>
    <w:pPr>
      <w:widowControl/>
      <w:spacing w:before="120" w:after="120"/>
      <w:jc w:val="center"/>
    </w:pPr>
    <w:rPr>
      <w:rFonts w:ascii="Calibri" w:hAnsi="Calibri"/>
      <w:b/>
      <w:kern w:val="0"/>
      <w:sz w:val="24"/>
      <w:lang w:eastAsia="en-US"/>
    </w:rPr>
  </w:style>
  <w:style w:type="paragraph" w:styleId="17">
    <w:name w:val="List Bullet"/>
    <w:basedOn w:val="1"/>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8">
    <w:name w:val="Document Map"/>
    <w:basedOn w:val="1"/>
    <w:link w:val="76"/>
    <w:qFormat/>
    <w:uiPriority w:val="99"/>
    <w:rPr>
      <w:rFonts w:ascii="宋体"/>
      <w:sz w:val="18"/>
      <w:szCs w:val="18"/>
    </w:rPr>
  </w:style>
  <w:style w:type="paragraph" w:styleId="19">
    <w:name w:val="annotation text"/>
    <w:basedOn w:val="1"/>
    <w:link w:val="77"/>
    <w:qFormat/>
    <w:uiPriority w:val="99"/>
    <w:pPr>
      <w:jc w:val="left"/>
    </w:pPr>
    <w:rPr>
      <w:szCs w:val="20"/>
    </w:rPr>
  </w:style>
  <w:style w:type="paragraph" w:styleId="20">
    <w:name w:val="Body Text 3"/>
    <w:basedOn w:val="1"/>
    <w:link w:val="78"/>
    <w:qFormat/>
    <w:uiPriority w:val="99"/>
    <w:pPr>
      <w:widowControl/>
      <w:autoSpaceDE w:val="0"/>
      <w:autoSpaceDN w:val="0"/>
      <w:adjustRightInd w:val="0"/>
      <w:spacing w:line="360" w:lineRule="auto"/>
      <w:jc w:val="center"/>
    </w:pPr>
    <w:rPr>
      <w:b/>
      <w:bCs/>
      <w:kern w:val="0"/>
      <w:sz w:val="36"/>
      <w:szCs w:val="20"/>
    </w:rPr>
  </w:style>
  <w:style w:type="paragraph" w:styleId="21">
    <w:name w:val="Body Text Indent"/>
    <w:basedOn w:val="1"/>
    <w:link w:val="79"/>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2">
    <w:name w:val="List 2"/>
    <w:basedOn w:val="1"/>
    <w:qFormat/>
    <w:uiPriority w:val="99"/>
    <w:pPr>
      <w:ind w:left="100" w:leftChars="200" w:hanging="200" w:hangingChars="200"/>
    </w:pPr>
  </w:style>
  <w:style w:type="paragraph" w:styleId="23">
    <w:name w:val="List Bullet 2"/>
    <w:basedOn w:val="1"/>
    <w:qFormat/>
    <w:uiPriority w:val="99"/>
    <w:pPr>
      <w:spacing w:line="324" w:lineRule="auto"/>
      <w:ind w:left="840" w:hanging="420"/>
    </w:pPr>
  </w:style>
  <w:style w:type="paragraph" w:styleId="24">
    <w:name w:val="toc 5"/>
    <w:basedOn w:val="1"/>
    <w:next w:val="1"/>
    <w:qFormat/>
    <w:uiPriority w:val="99"/>
    <w:pPr>
      <w:ind w:left="1680" w:leftChars="800"/>
    </w:pPr>
    <w:rPr>
      <w:rFonts w:ascii="Calibri" w:hAnsi="Calibri"/>
      <w:szCs w:val="22"/>
    </w:rPr>
  </w:style>
  <w:style w:type="paragraph" w:styleId="25">
    <w:name w:val="toc 3"/>
    <w:basedOn w:val="1"/>
    <w:next w:val="1"/>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6">
    <w:name w:val="Plain Text"/>
    <w:basedOn w:val="1"/>
    <w:link w:val="80"/>
    <w:qFormat/>
    <w:uiPriority w:val="99"/>
    <w:rPr>
      <w:rFonts w:ascii="宋体" w:hAnsi="Courier New"/>
      <w:szCs w:val="20"/>
    </w:rPr>
  </w:style>
  <w:style w:type="paragraph" w:styleId="27">
    <w:name w:val="toc 8"/>
    <w:basedOn w:val="1"/>
    <w:next w:val="1"/>
    <w:qFormat/>
    <w:uiPriority w:val="99"/>
    <w:pPr>
      <w:ind w:left="2940" w:leftChars="1400"/>
    </w:pPr>
    <w:rPr>
      <w:rFonts w:ascii="Calibri" w:hAnsi="Calibri"/>
      <w:szCs w:val="22"/>
    </w:rPr>
  </w:style>
  <w:style w:type="paragraph" w:styleId="28">
    <w:name w:val="Date"/>
    <w:basedOn w:val="1"/>
    <w:next w:val="1"/>
    <w:link w:val="81"/>
    <w:qFormat/>
    <w:uiPriority w:val="99"/>
    <w:pPr>
      <w:ind w:left="100" w:leftChars="2500"/>
    </w:pPr>
    <w:rPr>
      <w:szCs w:val="20"/>
    </w:rPr>
  </w:style>
  <w:style w:type="paragraph" w:styleId="29">
    <w:name w:val="Body Text Indent 2"/>
    <w:basedOn w:val="1"/>
    <w:link w:val="82"/>
    <w:qFormat/>
    <w:uiPriority w:val="99"/>
    <w:pPr>
      <w:spacing w:line="480" w:lineRule="auto"/>
      <w:ind w:firstLine="480" w:firstLineChars="200"/>
    </w:pPr>
    <w:rPr>
      <w:rFonts w:ascii="仿宋_GB2312" w:hAnsi="宋体" w:eastAsia="仿宋_GB2312"/>
      <w:sz w:val="24"/>
    </w:rPr>
  </w:style>
  <w:style w:type="paragraph" w:styleId="30">
    <w:name w:val="List Continue 5"/>
    <w:basedOn w:val="1"/>
    <w:qFormat/>
    <w:uiPriority w:val="99"/>
    <w:pPr>
      <w:adjustRightInd w:val="0"/>
      <w:spacing w:after="120" w:line="312" w:lineRule="atLeast"/>
      <w:ind w:left="2100"/>
      <w:textAlignment w:val="baseline"/>
    </w:pPr>
    <w:rPr>
      <w:kern w:val="0"/>
      <w:szCs w:val="20"/>
    </w:rPr>
  </w:style>
  <w:style w:type="paragraph" w:styleId="31">
    <w:name w:val="Balloon Text"/>
    <w:basedOn w:val="1"/>
    <w:link w:val="83"/>
    <w:qFormat/>
    <w:uiPriority w:val="99"/>
    <w:rPr>
      <w:sz w:val="18"/>
      <w:szCs w:val="18"/>
    </w:rPr>
  </w:style>
  <w:style w:type="paragraph" w:styleId="32">
    <w:name w:val="footer"/>
    <w:basedOn w:val="1"/>
    <w:link w:val="84"/>
    <w:qFormat/>
    <w:uiPriority w:val="99"/>
    <w:pPr>
      <w:tabs>
        <w:tab w:val="center" w:pos="4153"/>
        <w:tab w:val="right" w:pos="8306"/>
      </w:tabs>
      <w:snapToGrid w:val="0"/>
      <w:jc w:val="left"/>
    </w:pPr>
    <w:rPr>
      <w:sz w:val="18"/>
      <w:szCs w:val="18"/>
    </w:rPr>
  </w:style>
  <w:style w:type="paragraph" w:styleId="33">
    <w:name w:val="header"/>
    <w:basedOn w:val="1"/>
    <w:link w:val="85"/>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5">
    <w:name w:val="toc 4"/>
    <w:basedOn w:val="1"/>
    <w:next w:val="1"/>
    <w:qFormat/>
    <w:uiPriority w:val="99"/>
    <w:pPr>
      <w:ind w:left="1260" w:leftChars="600"/>
    </w:pPr>
    <w:rPr>
      <w:rFonts w:ascii="Calibri" w:hAnsi="Calibri"/>
      <w:szCs w:val="22"/>
    </w:rPr>
  </w:style>
  <w:style w:type="paragraph" w:styleId="36">
    <w:name w:val="Subtitle"/>
    <w:basedOn w:val="1"/>
    <w:next w:val="1"/>
    <w:link w:val="86"/>
    <w:qFormat/>
    <w:uiPriority w:val="99"/>
    <w:pPr>
      <w:widowControl/>
      <w:spacing w:after="60"/>
      <w:jc w:val="center"/>
      <w:outlineLvl w:val="1"/>
    </w:pPr>
    <w:rPr>
      <w:rFonts w:ascii="楷体_GB2312" w:eastAsia="楷体_GB2312"/>
      <w:kern w:val="0"/>
      <w:sz w:val="28"/>
      <w:szCs w:val="20"/>
    </w:rPr>
  </w:style>
  <w:style w:type="paragraph" w:styleId="37">
    <w:name w:val="List"/>
    <w:basedOn w:val="1"/>
    <w:qFormat/>
    <w:uiPriority w:val="99"/>
    <w:pPr>
      <w:ind w:left="200" w:hanging="200" w:hangingChars="200"/>
    </w:pPr>
  </w:style>
  <w:style w:type="paragraph" w:styleId="38">
    <w:name w:val="footnote text"/>
    <w:basedOn w:val="1"/>
    <w:link w:val="87"/>
    <w:qFormat/>
    <w:uiPriority w:val="99"/>
    <w:pPr>
      <w:snapToGrid w:val="0"/>
      <w:jc w:val="left"/>
    </w:pPr>
    <w:rPr>
      <w:sz w:val="18"/>
      <w:szCs w:val="18"/>
    </w:rPr>
  </w:style>
  <w:style w:type="paragraph" w:styleId="39">
    <w:name w:val="toc 6"/>
    <w:basedOn w:val="1"/>
    <w:next w:val="1"/>
    <w:qFormat/>
    <w:uiPriority w:val="99"/>
    <w:pPr>
      <w:ind w:left="2100" w:leftChars="1000"/>
    </w:pPr>
    <w:rPr>
      <w:rFonts w:ascii="Calibri" w:hAnsi="Calibri"/>
      <w:szCs w:val="22"/>
    </w:rPr>
  </w:style>
  <w:style w:type="paragraph" w:styleId="40">
    <w:name w:val="List 5"/>
    <w:basedOn w:val="1"/>
    <w:qFormat/>
    <w:uiPriority w:val="99"/>
    <w:pPr>
      <w:ind w:left="100" w:leftChars="800" w:hanging="200" w:hangingChars="200"/>
      <w:contextualSpacing/>
    </w:pPr>
  </w:style>
  <w:style w:type="paragraph" w:styleId="41">
    <w:name w:val="Body Text Indent 3"/>
    <w:basedOn w:val="1"/>
    <w:link w:val="88"/>
    <w:qFormat/>
    <w:uiPriority w:val="99"/>
    <w:pPr>
      <w:spacing w:after="120" w:line="360" w:lineRule="atLeast"/>
      <w:ind w:firstLine="720" w:firstLineChars="300"/>
    </w:pPr>
    <w:rPr>
      <w:sz w:val="24"/>
      <w:szCs w:val="20"/>
    </w:rPr>
  </w:style>
  <w:style w:type="paragraph" w:styleId="42">
    <w:name w:val="table of figures"/>
    <w:basedOn w:val="1"/>
    <w:next w:val="1"/>
    <w:qFormat/>
    <w:uiPriority w:val="99"/>
    <w:pPr>
      <w:ind w:left="200" w:leftChars="200" w:hanging="200" w:hangingChars="200"/>
    </w:pPr>
  </w:style>
  <w:style w:type="paragraph" w:styleId="43">
    <w:name w:val="toc 2"/>
    <w:basedOn w:val="1"/>
    <w:next w:val="1"/>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4">
    <w:name w:val="toc 9"/>
    <w:basedOn w:val="1"/>
    <w:next w:val="1"/>
    <w:qFormat/>
    <w:uiPriority w:val="99"/>
    <w:pPr>
      <w:ind w:left="3360" w:leftChars="1600"/>
    </w:pPr>
    <w:rPr>
      <w:rFonts w:ascii="Calibri" w:hAnsi="Calibri"/>
      <w:szCs w:val="22"/>
    </w:rPr>
  </w:style>
  <w:style w:type="paragraph" w:styleId="45">
    <w:name w:val="Body Text 2"/>
    <w:basedOn w:val="1"/>
    <w:link w:val="89"/>
    <w:qFormat/>
    <w:uiPriority w:val="99"/>
    <w:pPr>
      <w:spacing w:after="120" w:line="480" w:lineRule="auto"/>
    </w:pPr>
  </w:style>
  <w:style w:type="paragraph" w:styleId="46">
    <w:name w:val="List 4"/>
    <w:basedOn w:val="1"/>
    <w:qFormat/>
    <w:uiPriority w:val="99"/>
    <w:pPr>
      <w:adjustRightInd w:val="0"/>
      <w:spacing w:line="312" w:lineRule="atLeast"/>
      <w:ind w:left="1680" w:hanging="420"/>
      <w:textAlignment w:val="baseline"/>
    </w:pPr>
    <w:rPr>
      <w:kern w:val="0"/>
      <w:szCs w:val="20"/>
    </w:rPr>
  </w:style>
  <w:style w:type="paragraph" w:styleId="47">
    <w:name w:val="HTML Preformatted"/>
    <w:basedOn w:val="1"/>
    <w:link w:val="9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8">
    <w:name w:val="Normal (Web)"/>
    <w:basedOn w:val="1"/>
    <w:link w:val="246"/>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semiHidden/>
    <w:qFormat/>
    <w:uiPriority w:val="99"/>
    <w:pPr>
      <w:widowControl/>
      <w:jc w:val="left"/>
    </w:pPr>
    <w:rPr>
      <w:rFonts w:ascii="Calibri" w:hAnsi="Calibri"/>
      <w:kern w:val="0"/>
      <w:sz w:val="24"/>
      <w:szCs w:val="20"/>
      <w:lang w:eastAsia="en-US"/>
    </w:rPr>
  </w:style>
  <w:style w:type="paragraph" w:styleId="50">
    <w:name w:val="Title"/>
    <w:basedOn w:val="1"/>
    <w:next w:val="1"/>
    <w:link w:val="91"/>
    <w:qFormat/>
    <w:uiPriority w:val="99"/>
    <w:pPr>
      <w:spacing w:before="240" w:after="60"/>
      <w:jc w:val="center"/>
      <w:outlineLvl w:val="0"/>
    </w:pPr>
    <w:rPr>
      <w:rFonts w:ascii="Cambria" w:hAnsi="Cambria"/>
      <w:b/>
      <w:bCs/>
      <w:sz w:val="32"/>
      <w:szCs w:val="32"/>
    </w:rPr>
  </w:style>
  <w:style w:type="paragraph" w:styleId="51">
    <w:name w:val="annotation subject"/>
    <w:basedOn w:val="19"/>
    <w:next w:val="19"/>
    <w:link w:val="92"/>
    <w:qFormat/>
    <w:uiPriority w:val="99"/>
    <w:rPr>
      <w:b/>
      <w:bCs/>
    </w:rPr>
  </w:style>
  <w:style w:type="paragraph" w:styleId="52">
    <w:name w:val="Body Text First Indent 2"/>
    <w:basedOn w:val="21"/>
    <w:link w:val="93"/>
    <w:qFormat/>
    <w:uiPriority w:val="99"/>
    <w:pPr>
      <w:autoSpaceDE/>
      <w:autoSpaceDN/>
      <w:spacing w:line="312" w:lineRule="atLeast"/>
      <w:ind w:left="0" w:firstLine="210"/>
      <w:textAlignment w:val="baseline"/>
    </w:pPr>
    <w:rPr>
      <w:kern w:val="2"/>
      <w:sz w:val="21"/>
      <w:szCs w:val="24"/>
    </w:rPr>
  </w:style>
  <w:style w:type="table" w:styleId="54">
    <w:name w:val="Table Grid"/>
    <w:basedOn w:val="5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Theme"/>
    <w:basedOn w:val="5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qFormat/>
    <w:uiPriority w:val="99"/>
    <w:rPr>
      <w:rFonts w:cs="Times New Roman"/>
      <w:b/>
    </w:rPr>
  </w:style>
  <w:style w:type="character" w:styleId="58">
    <w:name w:val="page number"/>
    <w:basedOn w:val="56"/>
    <w:qFormat/>
    <w:uiPriority w:val="99"/>
    <w:rPr>
      <w:rFonts w:cs="Times New Roman"/>
    </w:rPr>
  </w:style>
  <w:style w:type="character" w:styleId="59">
    <w:name w:val="FollowedHyperlink"/>
    <w:basedOn w:val="56"/>
    <w:qFormat/>
    <w:uiPriority w:val="99"/>
    <w:rPr>
      <w:rFonts w:cs="Times New Roman"/>
      <w:color w:val="800080"/>
      <w:u w:val="single"/>
    </w:rPr>
  </w:style>
  <w:style w:type="character" w:styleId="60">
    <w:name w:val="Emphasis"/>
    <w:basedOn w:val="56"/>
    <w:qFormat/>
    <w:uiPriority w:val="99"/>
    <w:rPr>
      <w:rFonts w:ascii="Calibri" w:hAnsi="Calibri" w:eastAsia="宋体" w:cs="Times New Roman"/>
      <w:b/>
      <w:i/>
      <w:kern w:val="2"/>
      <w:sz w:val="24"/>
      <w:lang w:val="en-US" w:eastAsia="zh-CN"/>
    </w:rPr>
  </w:style>
  <w:style w:type="character" w:styleId="61">
    <w:name w:val="HTML Typewriter"/>
    <w:basedOn w:val="56"/>
    <w:qFormat/>
    <w:uiPriority w:val="99"/>
    <w:rPr>
      <w:rFonts w:ascii="宋体" w:hAnsi="宋体" w:eastAsia="宋体" w:cs="Times New Roman"/>
      <w:sz w:val="24"/>
    </w:rPr>
  </w:style>
  <w:style w:type="character" w:styleId="62">
    <w:name w:val="Hyperlink"/>
    <w:basedOn w:val="56"/>
    <w:qFormat/>
    <w:uiPriority w:val="99"/>
    <w:rPr>
      <w:rFonts w:cs="Times New Roman"/>
      <w:color w:val="0000FF"/>
      <w:u w:val="single"/>
    </w:rPr>
  </w:style>
  <w:style w:type="character" w:styleId="63">
    <w:name w:val="annotation reference"/>
    <w:basedOn w:val="56"/>
    <w:qFormat/>
    <w:uiPriority w:val="99"/>
    <w:rPr>
      <w:rFonts w:cs="Times New Roman"/>
      <w:sz w:val="21"/>
    </w:rPr>
  </w:style>
  <w:style w:type="character" w:styleId="64">
    <w:name w:val="footnote reference"/>
    <w:basedOn w:val="56"/>
    <w:qFormat/>
    <w:uiPriority w:val="99"/>
    <w:rPr>
      <w:rFonts w:cs="Times New Roman"/>
      <w:vertAlign w:val="superscript"/>
    </w:rPr>
  </w:style>
  <w:style w:type="character" w:customStyle="1" w:styleId="65">
    <w:name w:val="Heading 1 Char"/>
    <w:basedOn w:val="56"/>
    <w:link w:val="3"/>
    <w:qFormat/>
    <w:uiPriority w:val="9"/>
    <w:rPr>
      <w:b/>
      <w:bCs/>
      <w:kern w:val="44"/>
      <w:sz w:val="44"/>
      <w:szCs w:val="44"/>
    </w:rPr>
  </w:style>
  <w:style w:type="character" w:customStyle="1" w:styleId="66">
    <w:name w:val="Heading 2 Char"/>
    <w:basedOn w:val="56"/>
    <w:link w:val="4"/>
    <w:qFormat/>
    <w:locked/>
    <w:uiPriority w:val="99"/>
    <w:rPr>
      <w:rFonts w:ascii="Arial" w:hAnsi="Arial" w:eastAsia="黑体"/>
      <w:kern w:val="2"/>
      <w:sz w:val="32"/>
    </w:rPr>
  </w:style>
  <w:style w:type="character" w:customStyle="1" w:styleId="67">
    <w:name w:val="Heading 3 Char"/>
    <w:basedOn w:val="56"/>
    <w:link w:val="7"/>
    <w:qFormat/>
    <w:locked/>
    <w:uiPriority w:val="99"/>
    <w:rPr>
      <w:rFonts w:ascii="黑体" w:eastAsia="黑体"/>
      <w:sz w:val="28"/>
    </w:rPr>
  </w:style>
  <w:style w:type="character" w:customStyle="1" w:styleId="68">
    <w:name w:val="Heading 4 Char"/>
    <w:basedOn w:val="56"/>
    <w:link w:val="8"/>
    <w:qFormat/>
    <w:locked/>
    <w:uiPriority w:val="99"/>
    <w:rPr>
      <w:kern w:val="2"/>
      <w:sz w:val="28"/>
    </w:rPr>
  </w:style>
  <w:style w:type="character" w:customStyle="1" w:styleId="69">
    <w:name w:val="Heading 5 Char"/>
    <w:basedOn w:val="56"/>
    <w:link w:val="9"/>
    <w:qFormat/>
    <w:locked/>
    <w:uiPriority w:val="99"/>
    <w:rPr>
      <w:b/>
      <w:kern w:val="2"/>
      <w:sz w:val="28"/>
    </w:rPr>
  </w:style>
  <w:style w:type="character" w:customStyle="1" w:styleId="70">
    <w:name w:val="Heading 6 Char"/>
    <w:basedOn w:val="56"/>
    <w:link w:val="10"/>
    <w:qFormat/>
    <w:locked/>
    <w:uiPriority w:val="99"/>
    <w:rPr>
      <w:rFonts w:ascii="Arial" w:hAnsi="Arial" w:eastAsia="黑体"/>
      <w:b/>
      <w:kern w:val="2"/>
      <w:sz w:val="24"/>
    </w:rPr>
  </w:style>
  <w:style w:type="character" w:customStyle="1" w:styleId="71">
    <w:name w:val="Heading 7 Char"/>
    <w:basedOn w:val="56"/>
    <w:link w:val="11"/>
    <w:qFormat/>
    <w:locked/>
    <w:uiPriority w:val="99"/>
    <w:rPr>
      <w:b/>
      <w:kern w:val="2"/>
      <w:sz w:val="24"/>
    </w:rPr>
  </w:style>
  <w:style w:type="character" w:customStyle="1" w:styleId="72">
    <w:name w:val="Heading 8 Char"/>
    <w:basedOn w:val="56"/>
    <w:link w:val="12"/>
    <w:qFormat/>
    <w:locked/>
    <w:uiPriority w:val="99"/>
    <w:rPr>
      <w:rFonts w:ascii="Arial" w:hAnsi="Arial" w:eastAsia="黑体"/>
      <w:kern w:val="2"/>
      <w:sz w:val="24"/>
    </w:rPr>
  </w:style>
  <w:style w:type="character" w:customStyle="1" w:styleId="73">
    <w:name w:val="Heading 9 Char"/>
    <w:basedOn w:val="56"/>
    <w:link w:val="13"/>
    <w:qFormat/>
    <w:locked/>
    <w:uiPriority w:val="99"/>
    <w:rPr>
      <w:rFonts w:ascii="Arial" w:hAnsi="Arial" w:eastAsia="黑体"/>
      <w:kern w:val="2"/>
      <w:sz w:val="21"/>
    </w:rPr>
  </w:style>
  <w:style w:type="character" w:customStyle="1" w:styleId="74">
    <w:name w:val="Body Text Char"/>
    <w:basedOn w:val="56"/>
    <w:link w:val="6"/>
    <w:qFormat/>
    <w:locked/>
    <w:uiPriority w:val="99"/>
    <w:rPr>
      <w:rFonts w:cs="Times New Roman"/>
      <w:kern w:val="2"/>
      <w:sz w:val="28"/>
    </w:rPr>
  </w:style>
  <w:style w:type="character" w:customStyle="1" w:styleId="75">
    <w:name w:val="Body Text First Indent Char"/>
    <w:basedOn w:val="74"/>
    <w:link w:val="5"/>
    <w:qFormat/>
    <w:locked/>
    <w:uiPriority w:val="99"/>
    <w:rPr>
      <w:sz w:val="24"/>
      <w:szCs w:val="24"/>
    </w:rPr>
  </w:style>
  <w:style w:type="character" w:customStyle="1" w:styleId="76">
    <w:name w:val="Document Map Char"/>
    <w:basedOn w:val="56"/>
    <w:link w:val="18"/>
    <w:qFormat/>
    <w:locked/>
    <w:uiPriority w:val="99"/>
    <w:rPr>
      <w:rFonts w:ascii="宋体"/>
      <w:kern w:val="2"/>
      <w:sz w:val="18"/>
    </w:rPr>
  </w:style>
  <w:style w:type="character" w:customStyle="1" w:styleId="77">
    <w:name w:val="Comment Text Char"/>
    <w:basedOn w:val="56"/>
    <w:link w:val="19"/>
    <w:qFormat/>
    <w:locked/>
    <w:uiPriority w:val="99"/>
    <w:rPr>
      <w:rFonts w:eastAsia="宋体"/>
      <w:kern w:val="2"/>
      <w:sz w:val="21"/>
      <w:lang w:val="en-US" w:eastAsia="zh-CN"/>
    </w:rPr>
  </w:style>
  <w:style w:type="character" w:customStyle="1" w:styleId="78">
    <w:name w:val="Body Text 3 Char"/>
    <w:basedOn w:val="56"/>
    <w:link w:val="20"/>
    <w:qFormat/>
    <w:locked/>
    <w:uiPriority w:val="99"/>
    <w:rPr>
      <w:rFonts w:cs="Times New Roman"/>
      <w:b/>
      <w:bCs/>
      <w:sz w:val="36"/>
    </w:rPr>
  </w:style>
  <w:style w:type="character" w:customStyle="1" w:styleId="79">
    <w:name w:val="Body Text Indent Char"/>
    <w:basedOn w:val="56"/>
    <w:link w:val="21"/>
    <w:qFormat/>
    <w:locked/>
    <w:uiPriority w:val="99"/>
    <w:rPr>
      <w:rFonts w:ascii="楷体_GB2312" w:eastAsia="楷体_GB2312" w:cs="Times New Roman"/>
      <w:sz w:val="28"/>
    </w:rPr>
  </w:style>
  <w:style w:type="character" w:customStyle="1" w:styleId="80">
    <w:name w:val="Plain Text Char"/>
    <w:basedOn w:val="56"/>
    <w:link w:val="26"/>
    <w:qFormat/>
    <w:locked/>
    <w:uiPriority w:val="99"/>
    <w:rPr>
      <w:rFonts w:ascii="宋体" w:hAnsi="Courier New"/>
      <w:kern w:val="2"/>
      <w:sz w:val="21"/>
    </w:rPr>
  </w:style>
  <w:style w:type="character" w:customStyle="1" w:styleId="81">
    <w:name w:val="Date Char"/>
    <w:basedOn w:val="56"/>
    <w:link w:val="28"/>
    <w:qFormat/>
    <w:locked/>
    <w:uiPriority w:val="99"/>
    <w:rPr>
      <w:kern w:val="2"/>
      <w:sz w:val="21"/>
    </w:rPr>
  </w:style>
  <w:style w:type="character" w:customStyle="1" w:styleId="82">
    <w:name w:val="Body Text Indent 2 Char"/>
    <w:basedOn w:val="56"/>
    <w:link w:val="29"/>
    <w:qFormat/>
    <w:locked/>
    <w:uiPriority w:val="99"/>
    <w:rPr>
      <w:rFonts w:ascii="仿宋_GB2312" w:hAnsi="宋体" w:eastAsia="仿宋_GB2312"/>
      <w:kern w:val="2"/>
      <w:sz w:val="24"/>
    </w:rPr>
  </w:style>
  <w:style w:type="character" w:customStyle="1" w:styleId="83">
    <w:name w:val="Balloon Text Char"/>
    <w:basedOn w:val="56"/>
    <w:link w:val="31"/>
    <w:qFormat/>
    <w:locked/>
    <w:uiPriority w:val="99"/>
    <w:rPr>
      <w:kern w:val="2"/>
      <w:sz w:val="18"/>
    </w:rPr>
  </w:style>
  <w:style w:type="character" w:customStyle="1" w:styleId="84">
    <w:name w:val="Footer Char"/>
    <w:basedOn w:val="56"/>
    <w:link w:val="32"/>
    <w:qFormat/>
    <w:locked/>
    <w:uiPriority w:val="99"/>
    <w:rPr>
      <w:kern w:val="2"/>
      <w:sz w:val="18"/>
    </w:rPr>
  </w:style>
  <w:style w:type="character" w:customStyle="1" w:styleId="85">
    <w:name w:val="Header Char"/>
    <w:basedOn w:val="56"/>
    <w:link w:val="33"/>
    <w:qFormat/>
    <w:locked/>
    <w:uiPriority w:val="99"/>
    <w:rPr>
      <w:kern w:val="2"/>
      <w:sz w:val="18"/>
    </w:rPr>
  </w:style>
  <w:style w:type="character" w:customStyle="1" w:styleId="86">
    <w:name w:val="Subtitle Char"/>
    <w:basedOn w:val="56"/>
    <w:link w:val="36"/>
    <w:qFormat/>
    <w:locked/>
    <w:uiPriority w:val="99"/>
    <w:rPr>
      <w:rFonts w:ascii="楷体_GB2312" w:eastAsia="楷体_GB2312"/>
      <w:sz w:val="28"/>
    </w:rPr>
  </w:style>
  <w:style w:type="character" w:customStyle="1" w:styleId="87">
    <w:name w:val="Footnote Text Char"/>
    <w:basedOn w:val="56"/>
    <w:link w:val="38"/>
    <w:qFormat/>
    <w:locked/>
    <w:uiPriority w:val="99"/>
    <w:rPr>
      <w:kern w:val="2"/>
      <w:sz w:val="18"/>
    </w:rPr>
  </w:style>
  <w:style w:type="character" w:customStyle="1" w:styleId="88">
    <w:name w:val="Body Text Indent 3 Char"/>
    <w:basedOn w:val="56"/>
    <w:link w:val="41"/>
    <w:qFormat/>
    <w:locked/>
    <w:uiPriority w:val="99"/>
    <w:rPr>
      <w:kern w:val="2"/>
      <w:sz w:val="24"/>
    </w:rPr>
  </w:style>
  <w:style w:type="character" w:customStyle="1" w:styleId="89">
    <w:name w:val="Body Text 2 Char"/>
    <w:basedOn w:val="56"/>
    <w:link w:val="45"/>
    <w:qFormat/>
    <w:locked/>
    <w:uiPriority w:val="99"/>
    <w:rPr>
      <w:kern w:val="2"/>
      <w:sz w:val="24"/>
    </w:rPr>
  </w:style>
  <w:style w:type="character" w:customStyle="1" w:styleId="90">
    <w:name w:val="HTML Preformatted Char"/>
    <w:basedOn w:val="56"/>
    <w:link w:val="47"/>
    <w:qFormat/>
    <w:locked/>
    <w:uiPriority w:val="99"/>
    <w:rPr>
      <w:rFonts w:ascii="宋体" w:eastAsia="宋体" w:cs="Times New Roman"/>
      <w:sz w:val="24"/>
      <w:szCs w:val="24"/>
    </w:rPr>
  </w:style>
  <w:style w:type="character" w:customStyle="1" w:styleId="91">
    <w:name w:val="Title Char"/>
    <w:basedOn w:val="56"/>
    <w:link w:val="50"/>
    <w:qFormat/>
    <w:locked/>
    <w:uiPriority w:val="99"/>
    <w:rPr>
      <w:rFonts w:ascii="Cambria" w:hAnsi="Cambria"/>
      <w:b/>
      <w:kern w:val="2"/>
      <w:sz w:val="32"/>
    </w:rPr>
  </w:style>
  <w:style w:type="character" w:customStyle="1" w:styleId="92">
    <w:name w:val="Comment Subject Char"/>
    <w:basedOn w:val="77"/>
    <w:link w:val="51"/>
    <w:qFormat/>
    <w:locked/>
    <w:uiPriority w:val="99"/>
    <w:rPr>
      <w:b/>
    </w:rPr>
  </w:style>
  <w:style w:type="character" w:customStyle="1" w:styleId="93">
    <w:name w:val="Body Text First Indent 2 Char"/>
    <w:basedOn w:val="79"/>
    <w:link w:val="52"/>
    <w:qFormat/>
    <w:locked/>
    <w:uiPriority w:val="99"/>
    <w:rPr>
      <w:kern w:val="2"/>
      <w:sz w:val="24"/>
      <w:szCs w:val="24"/>
    </w:rPr>
  </w:style>
  <w:style w:type="paragraph" w:customStyle="1" w:styleId="94">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5">
    <w:name w:val="列出段落1"/>
    <w:basedOn w:val="1"/>
    <w:link w:val="113"/>
    <w:qFormat/>
    <w:uiPriority w:val="99"/>
    <w:pPr>
      <w:ind w:firstLine="420" w:firstLineChars="200"/>
    </w:pPr>
    <w:rPr>
      <w:szCs w:val="20"/>
    </w:rPr>
  </w:style>
  <w:style w:type="paragraph" w:customStyle="1" w:styleId="96">
    <w:name w:val="Char Char Char Char Char Char Char Char Char Char Char Char Char"/>
    <w:basedOn w:val="18"/>
    <w:qFormat/>
    <w:uiPriority w:val="99"/>
    <w:pPr>
      <w:shd w:val="clear" w:color="auto" w:fill="000080"/>
    </w:pPr>
    <w:rPr>
      <w:rFonts w:ascii="Tahoma" w:hAnsi="Tahoma"/>
      <w:sz w:val="24"/>
      <w:szCs w:val="24"/>
    </w:rPr>
  </w:style>
  <w:style w:type="paragraph" w:customStyle="1" w:styleId="9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98">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3"/>
    <w:qFormat/>
    <w:uiPriority w:val="99"/>
    <w:pPr>
      <w:spacing w:line="240" w:lineRule="auto"/>
    </w:pPr>
    <w:rPr>
      <w:rFonts w:ascii="黑体"/>
      <w:sz w:val="36"/>
      <w:szCs w:val="36"/>
    </w:rPr>
  </w:style>
  <w:style w:type="paragraph" w:customStyle="1" w:styleId="100">
    <w:name w:val="新定义正文"/>
    <w:basedOn w:val="1"/>
    <w:qFormat/>
    <w:uiPriority w:val="99"/>
    <w:pPr>
      <w:widowControl/>
    </w:pPr>
    <w:rPr>
      <w:color w:val="000000"/>
      <w:szCs w:val="21"/>
    </w:rPr>
  </w:style>
  <w:style w:type="paragraph" w:customStyle="1" w:styleId="101">
    <w:name w:val="节"/>
    <w:basedOn w:val="4"/>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qFormat/>
    <w:uiPriority w:val="99"/>
    <w:pPr>
      <w:spacing w:before="340" w:after="330" w:line="400" w:lineRule="exact"/>
    </w:pPr>
    <w:rPr>
      <w:b/>
      <w:color w:val="0070C0"/>
    </w:rPr>
  </w:style>
  <w:style w:type="paragraph" w:customStyle="1" w:styleId="103">
    <w:name w:val="c_"/>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4"/>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qFormat/>
    <w:uiPriority w:val="99"/>
    <w:pPr>
      <w:widowControl/>
      <w:spacing w:line="300" w:lineRule="auto"/>
      <w:ind w:firstLine="480" w:firstLineChars="200"/>
      <w:jc w:val="left"/>
    </w:pPr>
    <w:rPr>
      <w:sz w:val="24"/>
      <w:szCs w:val="20"/>
    </w:rPr>
  </w:style>
  <w:style w:type="character" w:customStyle="1" w:styleId="106">
    <w:name w:val="Char Char1"/>
    <w:qFormat/>
    <w:uiPriority w:val="99"/>
    <w:rPr>
      <w:rFonts w:ascii="楷体_GB2312" w:eastAsia="楷体_GB2312"/>
      <w:sz w:val="28"/>
    </w:rPr>
  </w:style>
  <w:style w:type="character" w:customStyle="1" w:styleId="107">
    <w:name w:val="标题 Char"/>
    <w:qFormat/>
    <w:uiPriority w:val="99"/>
    <w:rPr>
      <w:rFonts w:ascii="Cambria" w:hAnsi="Cambria"/>
      <w:b/>
      <w:kern w:val="2"/>
      <w:sz w:val="32"/>
    </w:rPr>
  </w:style>
  <w:style w:type="character" w:customStyle="1" w:styleId="108">
    <w:name w:val="标题 1 Char"/>
    <w:qFormat/>
    <w:uiPriority w:val="99"/>
    <w:rPr>
      <w:rFonts w:ascii="黑体"/>
      <w:b/>
      <w:kern w:val="44"/>
      <w:sz w:val="32"/>
    </w:rPr>
  </w:style>
  <w:style w:type="character" w:customStyle="1" w:styleId="109">
    <w:name w:val="正文文本缩进 Char"/>
    <w:qFormat/>
    <w:uiPriority w:val="99"/>
    <w:rPr>
      <w:rFonts w:ascii="楷体_GB2312" w:eastAsia="楷体_GB2312"/>
      <w:sz w:val="28"/>
    </w:rPr>
  </w:style>
  <w:style w:type="character" w:customStyle="1" w:styleId="110">
    <w:name w:val="Char Char"/>
    <w:qFormat/>
    <w:uiPriority w:val="99"/>
    <w:rPr>
      <w:rFonts w:ascii="宋体"/>
      <w:kern w:val="2"/>
      <w:sz w:val="18"/>
    </w:rPr>
  </w:style>
  <w:style w:type="character" w:customStyle="1" w:styleId="111">
    <w:name w:val="访问过的超链接1"/>
    <w:qFormat/>
    <w:uiPriority w:val="99"/>
    <w:rPr>
      <w:color w:val="800080"/>
      <w:u w:val="single"/>
    </w:rPr>
  </w:style>
  <w:style w:type="character" w:customStyle="1" w:styleId="112">
    <w:name w:val="蓝色显示 Char"/>
    <w:link w:val="102"/>
    <w:qFormat/>
    <w:locked/>
    <w:uiPriority w:val="99"/>
    <w:rPr>
      <w:b/>
      <w:color w:val="0070C0"/>
      <w:kern w:val="2"/>
      <w:sz w:val="24"/>
    </w:rPr>
  </w:style>
  <w:style w:type="character" w:customStyle="1" w:styleId="113">
    <w:name w:val="列出段落 Char"/>
    <w:link w:val="95"/>
    <w:qFormat/>
    <w:locked/>
    <w:uiPriority w:val="99"/>
    <w:rPr>
      <w:kern w:val="2"/>
      <w:sz w:val="21"/>
    </w:rPr>
  </w:style>
  <w:style w:type="table" w:customStyle="1" w:styleId="114">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qFormat/>
    <w:uiPriority w:val="99"/>
    <w:rPr>
      <w:rFonts w:ascii="宋体" w:hAnsi="宋体" w:eastAsia="宋体"/>
      <w:color w:val="000000"/>
      <w:sz w:val="22"/>
      <w:u w:val="none"/>
    </w:rPr>
  </w:style>
  <w:style w:type="character" w:customStyle="1" w:styleId="116">
    <w:name w:val="font51"/>
    <w:qFormat/>
    <w:uiPriority w:val="99"/>
    <w:rPr>
      <w:rFonts w:ascii="宋体" w:hAnsi="宋体" w:eastAsia="宋体"/>
      <w:color w:val="000000"/>
      <w:sz w:val="22"/>
      <w:u w:val="none"/>
    </w:rPr>
  </w:style>
  <w:style w:type="character" w:customStyle="1" w:styleId="117">
    <w:name w:val="font11"/>
    <w:qFormat/>
    <w:uiPriority w:val="99"/>
    <w:rPr>
      <w:rFonts w:ascii="宋体" w:hAnsi="宋体" w:eastAsia="宋体"/>
      <w:color w:val="000000"/>
      <w:sz w:val="24"/>
      <w:u w:val="none"/>
    </w:rPr>
  </w:style>
  <w:style w:type="character" w:customStyle="1" w:styleId="118">
    <w:name w:val="font01"/>
    <w:qFormat/>
    <w:uiPriority w:val="99"/>
    <w:rPr>
      <w:rFonts w:ascii="宋体" w:hAnsi="宋体" w:eastAsia="宋体"/>
      <w:color w:val="000000"/>
      <w:sz w:val="24"/>
      <w:u w:val="single"/>
    </w:rPr>
  </w:style>
  <w:style w:type="paragraph" w:customStyle="1" w:styleId="119">
    <w:name w:val="TOC Heading1"/>
    <w:basedOn w:val="3"/>
    <w:next w:val="1"/>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2"/>
    <w:qFormat/>
    <w:locked/>
    <w:uiPriority w:val="99"/>
    <w:rPr>
      <w:rFonts w:ascii="楷体_GB2312" w:eastAsia="楷体_GB2312"/>
      <w:sz w:val="28"/>
    </w:rPr>
  </w:style>
  <w:style w:type="paragraph" w:customStyle="1" w:styleId="121">
    <w:name w:val="List Paragraph1"/>
    <w:basedOn w:val="1"/>
    <w:qFormat/>
    <w:uiPriority w:val="99"/>
    <w:pPr>
      <w:ind w:firstLine="420" w:firstLineChars="200"/>
    </w:pPr>
    <w:rPr>
      <w:szCs w:val="20"/>
    </w:rPr>
  </w:style>
  <w:style w:type="character" w:customStyle="1" w:styleId="122">
    <w:name w:val="Char Char3"/>
    <w:qFormat/>
    <w:uiPriority w:val="99"/>
    <w:rPr>
      <w:rFonts w:eastAsia="宋体"/>
      <w:kern w:val="2"/>
      <w:sz w:val="21"/>
      <w:lang w:val="en-US" w:eastAsia="zh-CN"/>
    </w:rPr>
  </w:style>
  <w:style w:type="character" w:customStyle="1" w:styleId="123">
    <w:name w:val="Char Char2"/>
    <w:qFormat/>
    <w:uiPriority w:val="99"/>
    <w:rPr>
      <w:rFonts w:eastAsia="宋体"/>
      <w:b/>
      <w:kern w:val="2"/>
      <w:sz w:val="21"/>
      <w:lang w:val="en-US" w:eastAsia="zh-CN"/>
    </w:rPr>
  </w:style>
  <w:style w:type="paragraph" w:customStyle="1" w:styleId="124">
    <w:name w:val="Char"/>
    <w:basedOn w:val="18"/>
    <w:qFormat/>
    <w:uiPriority w:val="99"/>
    <w:pPr>
      <w:shd w:val="clear" w:color="auto" w:fill="000080"/>
    </w:pPr>
    <w:rPr>
      <w:rFonts w:ascii="Tahoma" w:hAnsi="Tahoma"/>
      <w:sz w:val="24"/>
      <w:szCs w:val="24"/>
    </w:rPr>
  </w:style>
  <w:style w:type="paragraph" w:customStyle="1" w:styleId="125">
    <w:name w:val="样式"/>
    <w:basedOn w:val="1"/>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qFormat/>
    <w:uiPriority w:val="99"/>
  </w:style>
  <w:style w:type="paragraph" w:customStyle="1" w:styleId="128">
    <w:name w:val="msoacetate"/>
    <w:basedOn w:val="1"/>
    <w:qFormat/>
    <w:uiPriority w:val="99"/>
    <w:rPr>
      <w:sz w:val="18"/>
      <w:szCs w:val="18"/>
    </w:rPr>
  </w:style>
  <w:style w:type="paragraph" w:customStyle="1" w:styleId="129">
    <w:name w:val="樣式1"/>
    <w:basedOn w:val="1"/>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qFormat/>
    <w:uiPriority w:val="99"/>
    <w:pPr>
      <w:tabs>
        <w:tab w:val="left" w:pos="4665"/>
        <w:tab w:val="left" w:pos="8970"/>
      </w:tabs>
      <w:ind w:firstLine="400"/>
    </w:pPr>
    <w:rPr>
      <w:rFonts w:ascii="Tahoma" w:hAnsi="Tahoma"/>
      <w:sz w:val="24"/>
      <w:szCs w:val="20"/>
    </w:rPr>
  </w:style>
  <w:style w:type="paragraph" w:customStyle="1" w:styleId="131">
    <w:name w:val="Char2"/>
    <w:basedOn w:val="18"/>
    <w:qFormat/>
    <w:uiPriority w:val="99"/>
    <w:pPr>
      <w:shd w:val="clear" w:color="auto" w:fill="000080"/>
    </w:pPr>
    <w:rPr>
      <w:rFonts w:ascii="Tahoma" w:hAnsi="Tahoma"/>
      <w:sz w:val="13"/>
      <w:szCs w:val="24"/>
    </w:rPr>
  </w:style>
  <w:style w:type="paragraph" w:customStyle="1" w:styleId="132">
    <w:name w:val="Char1"/>
    <w:basedOn w:val="1"/>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8"/>
    <w:next w:val="1"/>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8"/>
    <w:qFormat/>
    <w:uiPriority w:val="99"/>
    <w:pPr>
      <w:shd w:val="clear" w:color="auto" w:fill="000080"/>
    </w:pPr>
    <w:rPr>
      <w:rFonts w:ascii="Tahoma" w:hAnsi="Tahoma"/>
      <w:sz w:val="24"/>
      <w:szCs w:val="24"/>
    </w:rPr>
  </w:style>
  <w:style w:type="paragraph" w:customStyle="1" w:styleId="135">
    <w:name w:val="正文缩进+项目符号"/>
    <w:basedOn w:val="136"/>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qFormat/>
    <w:locked/>
    <w:uiPriority w:val="99"/>
    <w:rPr>
      <w:kern w:val="2"/>
      <w:sz w:val="24"/>
    </w:rPr>
  </w:style>
  <w:style w:type="paragraph" w:customStyle="1" w:styleId="138">
    <w:name w:val="表格文字（大）"/>
    <w:basedOn w:val="1"/>
    <w:qFormat/>
    <w:uiPriority w:val="99"/>
    <w:pPr>
      <w:spacing w:before="20" w:after="20"/>
    </w:pPr>
    <w:rPr>
      <w:rFonts w:ascii="Century Gothic" w:hAnsi="Century Gothic"/>
      <w:sz w:val="24"/>
      <w:szCs w:val="20"/>
    </w:rPr>
  </w:style>
  <w:style w:type="paragraph" w:customStyle="1" w:styleId="139">
    <w:name w:val="正文缩进+编号"/>
    <w:basedOn w:val="136"/>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qFormat/>
    <w:locked/>
    <w:uiPriority w:val="99"/>
    <w:rPr>
      <w:rFonts w:ascii="宋体" w:hAnsi="宋体"/>
      <w:bCs/>
      <w:sz w:val="24"/>
      <w:szCs w:val="24"/>
    </w:rPr>
  </w:style>
  <w:style w:type="paragraph" w:customStyle="1" w:styleId="144">
    <w:name w:val="样式 条款 + 加粗"/>
    <w:basedOn w:val="142"/>
    <w:link w:val="145"/>
    <w:qFormat/>
    <w:uiPriority w:val="99"/>
    <w:rPr>
      <w:b/>
    </w:rPr>
  </w:style>
  <w:style w:type="character" w:customStyle="1" w:styleId="145">
    <w:name w:val="样式 条款 + 加粗 Char"/>
    <w:link w:val="144"/>
    <w:qFormat/>
    <w:locked/>
    <w:uiPriority w:val="99"/>
    <w:rPr>
      <w:rFonts w:ascii="宋体" w:eastAsia="宋体"/>
      <w:b/>
      <w:kern w:val="2"/>
      <w:sz w:val="24"/>
    </w:rPr>
  </w:style>
  <w:style w:type="paragraph" w:customStyle="1" w:styleId="146">
    <w:name w:val="Char Char Char Char Char Char Char Char Char"/>
    <w:basedOn w:val="18"/>
    <w:qFormat/>
    <w:uiPriority w:val="99"/>
    <w:pPr>
      <w:shd w:val="clear" w:color="auto" w:fill="000080"/>
    </w:pPr>
    <w:rPr>
      <w:rFonts w:ascii="Tahoma" w:hAnsi="Tahoma"/>
      <w:sz w:val="24"/>
      <w:szCs w:val="24"/>
    </w:rPr>
  </w:style>
  <w:style w:type="paragraph" w:customStyle="1" w:styleId="147">
    <w:name w:val="Char Char Char Char Char Char Char"/>
    <w:basedOn w:val="18"/>
    <w:qFormat/>
    <w:uiPriority w:val="99"/>
    <w:pPr>
      <w:shd w:val="clear" w:color="auto" w:fill="000080"/>
    </w:pPr>
    <w:rPr>
      <w:rFonts w:ascii="Tahoma" w:hAnsi="Tahoma"/>
      <w:sz w:val="24"/>
      <w:szCs w:val="24"/>
    </w:rPr>
  </w:style>
  <w:style w:type="paragraph" w:customStyle="1" w:styleId="148">
    <w:name w:val="Char11"/>
    <w:basedOn w:val="1"/>
    <w:qFormat/>
    <w:uiPriority w:val="99"/>
    <w:pPr>
      <w:tabs>
        <w:tab w:val="left" w:pos="432"/>
      </w:tabs>
      <w:ind w:left="432" w:hanging="432"/>
    </w:pPr>
    <w:rPr>
      <w:sz w:val="24"/>
    </w:rPr>
  </w:style>
  <w:style w:type="paragraph" w:customStyle="1" w:styleId="149">
    <w:name w:val="样式 文档正文 + 非加粗 无下划线"/>
    <w:basedOn w:val="1"/>
    <w:link w:val="150"/>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qFormat/>
    <w:locked/>
    <w:uiPriority w:val="99"/>
    <w:rPr>
      <w:rFonts w:ascii="宋体" w:eastAsia="宋体"/>
      <w:spacing w:val="4"/>
      <w:sz w:val="24"/>
    </w:rPr>
  </w:style>
  <w:style w:type="paragraph" w:customStyle="1" w:styleId="151">
    <w:name w:val="Char Char Char Char Char Char"/>
    <w:basedOn w:val="18"/>
    <w:qFormat/>
    <w:uiPriority w:val="99"/>
    <w:pPr>
      <w:shd w:val="clear" w:color="auto" w:fill="000080"/>
    </w:pPr>
    <w:rPr>
      <w:rFonts w:ascii="Tahoma" w:hAnsi="Tahoma"/>
      <w:sz w:val="24"/>
      <w:szCs w:val="24"/>
    </w:rPr>
  </w:style>
  <w:style w:type="paragraph" w:customStyle="1" w:styleId="152">
    <w:name w:val="缺省文本"/>
    <w:basedOn w:val="1"/>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5"/>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6"/>
    <w:qFormat/>
    <w:uiPriority w:val="99"/>
    <w:rPr>
      <w:rFonts w:ascii="Cambria" w:hAnsi="Cambria" w:cs="Times New Roman"/>
      <w:b/>
      <w:bCs/>
      <w:kern w:val="28"/>
      <w:sz w:val="32"/>
      <w:szCs w:val="32"/>
    </w:rPr>
  </w:style>
  <w:style w:type="paragraph" w:customStyle="1" w:styleId="178">
    <w:name w:val="No Spacing1"/>
    <w:basedOn w:val="1"/>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qFormat/>
    <w:uiPriority w:val="99"/>
    <w:pPr>
      <w:widowControl/>
      <w:jc w:val="left"/>
    </w:pPr>
    <w:rPr>
      <w:rFonts w:ascii="Calibri" w:hAnsi="Calibri"/>
      <w:i/>
      <w:kern w:val="0"/>
      <w:sz w:val="24"/>
      <w:lang w:eastAsia="en-US"/>
    </w:rPr>
  </w:style>
  <w:style w:type="character" w:customStyle="1" w:styleId="180">
    <w:name w:val="引用 字符"/>
    <w:basedOn w:val="56"/>
    <w:link w:val="179"/>
    <w:qFormat/>
    <w:locked/>
    <w:uiPriority w:val="99"/>
    <w:rPr>
      <w:rFonts w:ascii="Calibri" w:hAnsi="Calibri" w:cs="Times New Roman"/>
      <w:i/>
      <w:sz w:val="24"/>
      <w:szCs w:val="24"/>
      <w:lang w:eastAsia="en-US"/>
    </w:rPr>
  </w:style>
  <w:style w:type="paragraph" w:customStyle="1" w:styleId="181">
    <w:name w:val="Intense Quote1"/>
    <w:basedOn w:val="1"/>
    <w:next w:val="1"/>
    <w:link w:val="182"/>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6"/>
    <w:link w:val="181"/>
    <w:qFormat/>
    <w:locked/>
    <w:uiPriority w:val="99"/>
    <w:rPr>
      <w:rFonts w:ascii="Calibri" w:hAnsi="Calibri" w:cs="Times New Roman"/>
      <w:b/>
      <w:i/>
      <w:sz w:val="22"/>
      <w:szCs w:val="22"/>
      <w:lang w:eastAsia="en-US"/>
    </w:rPr>
  </w:style>
  <w:style w:type="character" w:customStyle="1" w:styleId="183">
    <w:name w:val="Subtle Emphasis1"/>
    <w:qFormat/>
    <w:uiPriority w:val="99"/>
    <w:rPr>
      <w:i/>
      <w:color w:val="5A5A5A"/>
    </w:rPr>
  </w:style>
  <w:style w:type="character" w:customStyle="1" w:styleId="184">
    <w:name w:val="Intense Emphasis1"/>
    <w:qFormat/>
    <w:uiPriority w:val="99"/>
    <w:rPr>
      <w:rFonts w:ascii="Tahoma" w:hAnsi="Tahoma" w:eastAsia="宋体"/>
      <w:b/>
      <w:i/>
      <w:kern w:val="2"/>
      <w:sz w:val="24"/>
      <w:u w:val="single"/>
      <w:lang w:val="en-US" w:eastAsia="zh-CN"/>
    </w:rPr>
  </w:style>
  <w:style w:type="character" w:customStyle="1" w:styleId="185">
    <w:name w:val="Subtle Reference1"/>
    <w:qFormat/>
    <w:uiPriority w:val="99"/>
    <w:rPr>
      <w:rFonts w:ascii="Tahoma" w:hAnsi="Tahoma" w:eastAsia="宋体"/>
      <w:kern w:val="2"/>
      <w:sz w:val="24"/>
      <w:u w:val="single"/>
      <w:lang w:val="en-US" w:eastAsia="zh-CN"/>
    </w:rPr>
  </w:style>
  <w:style w:type="character" w:customStyle="1" w:styleId="186">
    <w:name w:val="Intense Reference1"/>
    <w:qFormat/>
    <w:uiPriority w:val="99"/>
    <w:rPr>
      <w:rFonts w:ascii="Tahoma" w:hAnsi="Tahoma" w:eastAsia="宋体"/>
      <w:b/>
      <w:kern w:val="2"/>
      <w:sz w:val="24"/>
      <w:u w:val="single"/>
      <w:lang w:val="en-US" w:eastAsia="zh-CN"/>
    </w:rPr>
  </w:style>
  <w:style w:type="character" w:customStyle="1" w:styleId="187">
    <w:name w:val="Book Title1"/>
    <w:qFormat/>
    <w:uiPriority w:val="99"/>
    <w:rPr>
      <w:rFonts w:ascii="Cambria" w:hAnsi="Cambria" w:eastAsia="宋体"/>
      <w:b/>
      <w:i/>
      <w:kern w:val="2"/>
      <w:sz w:val="24"/>
      <w:lang w:val="en-US" w:eastAsia="zh-CN"/>
    </w:rPr>
  </w:style>
  <w:style w:type="paragraph" w:customStyle="1" w:styleId="188">
    <w:name w:val="纯文本1"/>
    <w:basedOn w:val="1"/>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8"/>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qFormat/>
    <w:uiPriority w:val="99"/>
  </w:style>
  <w:style w:type="paragraph" w:customStyle="1" w:styleId="192">
    <w:name w:val="字母编号列项（一级）"/>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qFormat/>
    <w:uiPriority w:val="99"/>
    <w:pPr>
      <w:numPr>
        <w:ilvl w:val="3"/>
      </w:numPr>
      <w:outlineLvl w:val="3"/>
    </w:pPr>
  </w:style>
  <w:style w:type="paragraph" w:customStyle="1" w:styleId="199">
    <w:name w:val="三级条标题"/>
    <w:basedOn w:val="198"/>
    <w:next w:val="158"/>
    <w:qFormat/>
    <w:uiPriority w:val="99"/>
    <w:pPr>
      <w:numPr>
        <w:ilvl w:val="4"/>
      </w:numPr>
      <w:outlineLvl w:val="4"/>
    </w:pPr>
  </w:style>
  <w:style w:type="paragraph" w:customStyle="1" w:styleId="200">
    <w:name w:val="四级条标题"/>
    <w:basedOn w:val="199"/>
    <w:next w:val="158"/>
    <w:qFormat/>
    <w:uiPriority w:val="99"/>
    <w:pPr>
      <w:numPr>
        <w:ilvl w:val="5"/>
      </w:numPr>
      <w:outlineLvl w:val="5"/>
    </w:pPr>
  </w:style>
  <w:style w:type="paragraph" w:customStyle="1" w:styleId="201">
    <w:name w:val="五级条标题"/>
    <w:basedOn w:val="200"/>
    <w:next w:val="158"/>
    <w:qFormat/>
    <w:uiPriority w:val="99"/>
    <w:pPr>
      <w:numPr>
        <w:ilvl w:val="6"/>
      </w:numPr>
      <w:outlineLvl w:val="6"/>
    </w:pPr>
  </w:style>
  <w:style w:type="character" w:customStyle="1" w:styleId="202">
    <w:name w:val="f141"/>
    <w:qFormat/>
    <w:uiPriority w:val="99"/>
    <w:rPr>
      <w:sz w:val="21"/>
    </w:rPr>
  </w:style>
  <w:style w:type="character" w:customStyle="1" w:styleId="203">
    <w:name w:val="unnamed11"/>
    <w:qFormat/>
    <w:uiPriority w:val="99"/>
  </w:style>
  <w:style w:type="paragraph" w:customStyle="1" w:styleId="204">
    <w:name w:val="报告正文"/>
    <w:basedOn w:val="1"/>
    <w:link w:val="205"/>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qFormat/>
    <w:locked/>
    <w:uiPriority w:val="99"/>
    <w:rPr>
      <w:sz w:val="24"/>
    </w:rPr>
  </w:style>
  <w:style w:type="paragraph" w:customStyle="1" w:styleId="206">
    <w:name w:val="表格文本"/>
    <w:basedOn w:val="1"/>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qFormat/>
    <w:uiPriority w:val="99"/>
    <w:pPr>
      <w:spacing w:line="360" w:lineRule="auto"/>
      <w:ind w:firstLine="480" w:firstLineChars="200"/>
      <w:jc w:val="left"/>
    </w:pPr>
    <w:rPr>
      <w:rFonts w:ascii="宋体" w:hAnsi="宋体"/>
      <w:sz w:val="24"/>
    </w:rPr>
  </w:style>
  <w:style w:type="character" w:customStyle="1" w:styleId="208">
    <w:name w:val="样式1 Char"/>
    <w:link w:val="207"/>
    <w:qFormat/>
    <w:locked/>
    <w:uiPriority w:val="99"/>
    <w:rPr>
      <w:rFonts w:ascii="宋体" w:eastAsia="宋体"/>
      <w:kern w:val="2"/>
      <w:sz w:val="24"/>
    </w:rPr>
  </w:style>
  <w:style w:type="character" w:customStyle="1" w:styleId="209">
    <w:name w:val="lemmatitleh1"/>
    <w:basedOn w:val="56"/>
    <w:qFormat/>
    <w:uiPriority w:val="99"/>
    <w:rPr>
      <w:rFonts w:cs="Times New Roman"/>
    </w:rPr>
  </w:style>
  <w:style w:type="character" w:customStyle="1" w:styleId="210">
    <w:name w:val="blue1"/>
    <w:qFormat/>
    <w:uiPriority w:val="99"/>
    <w:rPr>
      <w:color w:val="72544C"/>
    </w:rPr>
  </w:style>
  <w:style w:type="character" w:customStyle="1" w:styleId="211">
    <w:name w:val="Char Char8"/>
    <w:qFormat/>
    <w:uiPriority w:val="99"/>
    <w:rPr>
      <w:rFonts w:ascii="Arial" w:hAnsi="Arial" w:eastAsia="黑体"/>
      <w:b/>
      <w:kern w:val="2"/>
      <w:sz w:val="32"/>
      <w:lang w:val="en-US" w:eastAsia="zh-CN"/>
    </w:rPr>
  </w:style>
  <w:style w:type="character" w:customStyle="1" w:styleId="212">
    <w:name w:val="font161"/>
    <w:qFormat/>
    <w:uiPriority w:val="99"/>
    <w:rPr>
      <w:b/>
      <w:sz w:val="32"/>
    </w:rPr>
  </w:style>
  <w:style w:type="character" w:customStyle="1" w:styleId="213">
    <w:name w:val="Char Char7"/>
    <w:qFormat/>
    <w:uiPriority w:val="99"/>
    <w:rPr>
      <w:rFonts w:ascii="Arial" w:hAnsi="Arial" w:eastAsia="黑体"/>
      <w:b/>
      <w:kern w:val="2"/>
      <w:sz w:val="32"/>
      <w:lang w:val="en-US" w:eastAsia="zh-CN"/>
    </w:rPr>
  </w:style>
  <w:style w:type="paragraph" w:customStyle="1" w:styleId="214">
    <w:name w:val="样式4"/>
    <w:basedOn w:val="7"/>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3"/>
    <w:qFormat/>
    <w:uiPriority w:val="99"/>
    <w:pPr>
      <w:spacing w:before="120" w:after="120" w:line="400" w:lineRule="exact"/>
    </w:pPr>
    <w:rPr>
      <w:rFonts w:ascii="黑体" w:hAnsi="黑体" w:cs="宋体"/>
      <w:bCs w:val="0"/>
      <w:sz w:val="32"/>
      <w:szCs w:val="20"/>
    </w:rPr>
  </w:style>
  <w:style w:type="paragraph" w:customStyle="1" w:styleId="217">
    <w:name w:val="样式2"/>
    <w:basedOn w:val="7"/>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7"/>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7"/>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qFormat/>
    <w:uiPriority w:val="99"/>
    <w:pPr>
      <w:adjustRightInd w:val="0"/>
      <w:spacing w:line="420" w:lineRule="atLeast"/>
      <w:jc w:val="left"/>
      <w:textAlignment w:val="baseline"/>
    </w:pPr>
    <w:rPr>
      <w:kern w:val="0"/>
      <w:szCs w:val="20"/>
    </w:rPr>
  </w:style>
  <w:style w:type="paragraph" w:customStyle="1" w:styleId="222">
    <w:name w:val="封面上部"/>
    <w:basedOn w:val="1"/>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qFormat/>
    <w:locked/>
    <w:uiPriority w:val="99"/>
    <w:rPr>
      <w:rFonts w:ascii="楷体_GB2312" w:eastAsia="楷体_GB2312"/>
      <w:sz w:val="28"/>
    </w:rPr>
  </w:style>
  <w:style w:type="paragraph" w:customStyle="1" w:styleId="224">
    <w:name w:val="TOC 标题2"/>
    <w:basedOn w:val="3"/>
    <w:next w:val="1"/>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qFormat/>
    <w:uiPriority w:val="99"/>
    <w:pPr>
      <w:ind w:firstLine="420" w:firstLineChars="200"/>
    </w:pPr>
    <w:rPr>
      <w:szCs w:val="20"/>
    </w:rPr>
  </w:style>
  <w:style w:type="character" w:customStyle="1" w:styleId="226">
    <w:name w:val="正文文本 Char1"/>
    <w:qFormat/>
    <w:uiPriority w:val="99"/>
    <w:rPr>
      <w:kern w:val="2"/>
      <w:sz w:val="28"/>
    </w:rPr>
  </w:style>
  <w:style w:type="paragraph" w:customStyle="1" w:styleId="227">
    <w:name w:val="标准"/>
    <w:basedOn w:val="1"/>
    <w:qFormat/>
    <w:uiPriority w:val="99"/>
    <w:pPr>
      <w:adjustRightInd w:val="0"/>
      <w:spacing w:line="360" w:lineRule="auto"/>
      <w:jc w:val="center"/>
      <w:textAlignment w:val="baseline"/>
    </w:pPr>
    <w:rPr>
      <w:kern w:val="0"/>
      <w:szCs w:val="20"/>
    </w:rPr>
  </w:style>
  <w:style w:type="paragraph" w:customStyle="1" w:styleId="228">
    <w:name w:val="xl30"/>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qFormat/>
    <w:uiPriority w:val="99"/>
    <w:pPr>
      <w:spacing w:line="400" w:lineRule="exact"/>
      <w:ind w:firstLine="500" w:firstLineChars="200"/>
    </w:pPr>
    <w:rPr>
      <w:spacing w:val="5"/>
      <w:sz w:val="24"/>
      <w:szCs w:val="20"/>
    </w:rPr>
  </w:style>
  <w:style w:type="paragraph" w:customStyle="1" w:styleId="243">
    <w:name w:val="Table Text"/>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qFormat/>
    <w:uiPriority w:val="99"/>
    <w:pPr>
      <w:spacing w:line="360" w:lineRule="auto"/>
      <w:ind w:firstLine="200" w:firstLineChars="200"/>
    </w:pPr>
  </w:style>
  <w:style w:type="character" w:customStyle="1" w:styleId="246">
    <w:name w:val="Normal (Web) Char"/>
    <w:link w:val="48"/>
    <w:qFormat/>
    <w:locked/>
    <w:uiPriority w:val="99"/>
    <w:rPr>
      <w:rFonts w:ascii="宋体" w:eastAsia="宋体"/>
      <w:sz w:val="24"/>
    </w:rPr>
  </w:style>
  <w:style w:type="character" w:customStyle="1" w:styleId="247">
    <w:name w:val="纯文本 Char1"/>
    <w:semiHidden/>
    <w:qFormat/>
    <w:uiPriority w:val="99"/>
    <w:rPr>
      <w:rFonts w:ascii="宋体" w:hAnsi="Courier New"/>
      <w:kern w:val="1"/>
      <w:sz w:val="21"/>
      <w:lang w:eastAsia="ar-SA" w:bidi="ar-SA"/>
    </w:rPr>
  </w:style>
  <w:style w:type="paragraph" w:customStyle="1" w:styleId="248">
    <w:name w:val="myp4"/>
    <w:basedOn w:val="1"/>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qFormat/>
    <w:uiPriority w:val="99"/>
    <w:pPr>
      <w:ind w:firstLine="420" w:firstLineChars="200"/>
    </w:pPr>
    <w:rPr>
      <w:szCs w:val="20"/>
    </w:rPr>
  </w:style>
  <w:style w:type="paragraph" w:customStyle="1" w:styleId="252">
    <w:name w:val="#1.1 一级无标题条文"/>
    <w:basedOn w:val="4"/>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qFormat/>
    <w:uiPriority w:val="99"/>
    <w:pPr>
      <w:widowControl/>
      <w:spacing w:line="360" w:lineRule="auto"/>
      <w:ind w:firstLine="493"/>
      <w:jc w:val="left"/>
    </w:pPr>
    <w:rPr>
      <w:kern w:val="0"/>
      <w:sz w:val="30"/>
      <w:szCs w:val="28"/>
    </w:rPr>
  </w:style>
  <w:style w:type="paragraph" w:styleId="255">
    <w:name w:val="List Paragraph"/>
    <w:basedOn w:val="1"/>
    <w:qFormat/>
    <w:uiPriority w:val="34"/>
    <w:pPr>
      <w:ind w:firstLine="420" w:firstLineChars="200"/>
    </w:pPr>
    <w:rPr>
      <w:rFonts w:ascii="Times New Roman" w:hAnsi="Times New Roman"/>
      <w:kern w:val="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13</Pages>
  <Words>809</Words>
  <Characters>4613</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小郭</cp:lastModifiedBy>
  <cp:lastPrinted>2020-06-29T02:05:00Z</cp:lastPrinted>
  <dcterms:modified xsi:type="dcterms:W3CDTF">2020-08-31T10:22:28Z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