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20" w:lineRule="exact"/>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58240;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J4y/ytwEAAGIDAAAOAAAAZHJzL2Uyb0RvYy54bWytU01v2zAM&#10;vQ/YfxB0X5xkS7oacXpI0V2yLUC7H8BIsi1MEgVJiZ1/P0r5WLvdhvkgWCb5+PgevXoYrWFHFaJG&#10;1/DZZMqZcgKldl3Df7w8ffjMWUzgJBh0quEnFfnD+v271eBrNccejVSBEYiL9eAb3qfk66qKolcW&#10;4gS9chRsMVhIdA1dJQMMhG5NNZ9Ol9WAQfqAQsVIXx/PQb4u+G2rRPretlElZhpO3FI5Qzn3+azW&#10;K6i7AL7X4kID/oGFBe2o6Q3qERKwQ9B/QVktAkZs00SgrbBttVBlBppmNv1jmucevCqzkDjR32SK&#10;/w9WfDvuAtOSvLvjzIElj7baKfYpSzP4WFPGxu1CHk6M7tlvUfyMzOGmB9epQvHl5KlsliuqNyX5&#10;Ej012A9fUVIOHBIWncY22AxJCrCx2HG62aHGxAR9XCzvlvdTck1QbPlxUfChvpb6ENMXhZbll4Yb&#10;Yl2g4biNKVOB+pqSOzl80sYUv41jQ8PvF/NFKYhotMzBnBZDt9+YwI6QN6Y8l75v0gIenDw3MS7X&#10;qbJsl87Xuc8K7lGeduEqDhlZuF2WLm/K63uR8Pevs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A0BNtQAAAAGAQAADwAAAAAAAAABACAAAAAiAAAAZHJzL2Rvd25yZXYueG1sUEsBAhQAFAAAAAgA&#10;h07iQInjL/K3AQAAYgMAAA4AAAAAAAAAAQAgAAAAIwEAAGRycy9lMm9Eb2MueG1sUEsFBgAAAAAG&#10;AAYAWQEAAEw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7216;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ByxJ5u1AQAAYwMAAA4AAABkcnMvZTJvRG9jLnhtbK1TTW/bMAy9&#10;D9h/EHRfbDdIVhhxekjRXbItQLsfoOjDFiaJgqTEzr8fpXx03W5FfRBMkXwk36NWD5M15ChD1OA6&#10;2sxqSqTjILTrO/rr5enLPSUxMSeYASc7epKRPqw/f1qNvpV3MIARMhAEcbEdfUeHlHxbVZEP0rI4&#10;Ay8dOhUEyxKaoa9EYCOiW1Pd1fWyGiEIH4DLGPH28eyk64KvlOTpp1JRJmI6ir2lcoZy7vNZrVes&#10;7QPzg+aXNtg7urBMOyx6g3pkiZFD0P9BWc0DRFBpxsFWoJTmssyA0zT1P9M8D8zLMguSE/2Npvhx&#10;sPzHcReIFqjdkhLHLGq01U6SeaZm9LHFiI3bhTwcn9yz3wL/HYmDzcBcL0uLLyePaU3OqN6kZCN6&#10;LLAfv4PAGHZIUHiaVLAZEhkgU5HjdJNDTolwvFx8bRZ1japx9C3ni4LP2muqDzF9k2BJ/umowa4L&#10;NDtuY8qtsPYakis5eNLGFL2NI2NH5/cNgmdXBKNF9hYj9PuNCeTI8sqU71L4TViAgxPnKsblPFm2&#10;7VL6OviZwj2I0y5c2UElS3OXrcur8rddOHx9G+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Eck&#10;pNMAAAAIAQAADwAAAAAAAAABACAAAAAiAAAAZHJzL2Rvd25yZXYueG1sUEsBAhQAFAAAAAgAh07i&#10;QByxJ5u1AQAAYwMAAA4AAAAAAAAAAQAgAAAAIgEAAGRycy9lMm9Eb2MueG1sUEsFBgAAAAAGAAYA&#10;WQEAAEk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620" w:lineRule="exact"/>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lang w:eastAsia="zh-CN"/>
          <w14:textFill>
            <w14:solidFill>
              <w14:schemeClr w14:val="tx1"/>
            </w14:solidFill>
          </w14:textFill>
        </w:rPr>
        <w:t>系统安全等级保护测评</w:t>
      </w: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620" w:lineRule="exact"/>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58240;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QNxcSLwBAABuAwAADgAAAGRycy9lMm9Eb2MueG1srVNNb9sw&#10;DL0P6H8QdG9sZ0tbGHF6SNFesi1Au90VfdjCJFGQlNj596OUNF272zAfBFMkH8n3qOX9ZA05yBA1&#10;uI42s5oS6TgI7fqO/nh5vL6jJCbmBDPgZEePMtL71dWn5ehbOYcBjJCBIIiL7eg7OqTk26qKfJCW&#10;xRl46dCpIFiW0Ax9JQIbEd2aal7XN9UIQfgAXMaItw8nJ10VfKUkT9+VijIR01HsLZUzlHOXz2q1&#10;ZG0fmB80P7fB/qELy7TDoheoB5YY2Qf9F5TVPEAElWYcbAVKaS7LDDhNU3+Y5nlgXpZZkJzoLzTF&#10;/wfLvx22gWiB2n2hxDGLGm20k2SRqRl9bDFi7bYhD8cn9+w3wH9F4mA9MNfL0uLL0WNakzOqdynZ&#10;iB4L7MavIDCG7RMUniYVLFFG+585MYMjF2QqwhwvwsgpEY6Xi9tmUdeoH0ff7c286FaxNqPkXB9i&#10;epJgSf7pqMEBCiY7bGLKXb2F5HAHj9qYIr1xZOzo57sG0bMrgtEie4sR+t3aBHJgeXvKV2b8EBZg&#10;78SpinE5T5bFO5d+5eDE5g7EcRteiUJRS3PnBcxb86dd6Hx7J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2i4c9UAAAAIAQAADwAAAAAAAAABACAAAAAiAAAAZHJzL2Rvd25yZXYueG1sUEsBAhQA&#10;FAAAAAgAh07iQEDcXEi8AQAAbgMAAA4AAAAAAAAAAQAgAAAAJAEAAGRycy9lMm9Eb2MueG1sUEsF&#10;BgAAAAAGAAYAWQEAAFIFAAAAAA==&#10;">
                <v:fill on="f" focussize="0,0"/>
                <v:stroke weight="3pt" color="#000000" joinstyle="round"/>
                <v:imagedata o:title=""/>
                <o:lock v:ext="edit" aspectratio="f"/>
              </v:line>
            </w:pict>
          </mc:Fallback>
        </mc:AlternateConten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招</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标</w:t>
      </w:r>
    </w:p>
    <w:p>
      <w:pPr>
        <w:pageBreakBefore w:val="0"/>
        <w:kinsoku/>
        <w:wordWrap/>
        <w:overflowPunct/>
        <w:topLinePunct w:val="0"/>
        <w:bidi w:val="0"/>
        <w:spacing w:line="620" w:lineRule="exact"/>
        <w:textAlignment w:val="auto"/>
        <w:rPr>
          <w:rFonts w:hint="eastAsia"/>
          <w:color w:val="000000" w:themeColor="text1"/>
          <w:lang w:eastAsia="zh-CN"/>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both"/>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after="120" w:line="620" w:lineRule="exact"/>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四川省政务服务和公共资源交易服务中心</w:t>
      </w:r>
    </w:p>
    <w:p>
      <w:pPr>
        <w:pageBreakBefore w:val="0"/>
        <w:kinsoku/>
        <w:wordWrap/>
        <w:overflowPunct/>
        <w:topLinePunct w:val="0"/>
        <w:bidi w:val="0"/>
        <w:spacing w:after="120" w:line="620" w:lineRule="exact"/>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2020</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08</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after="120" w:line="620" w:lineRule="exact"/>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pageBreakBefore w:val="0"/>
        <w:kinsoku/>
        <w:wordWrap/>
        <w:overflowPunct/>
        <w:topLinePunct w:val="0"/>
        <w:bidi w:val="0"/>
        <w:spacing w:before="0" w:after="0" w:line="620" w:lineRule="exact"/>
        <w:textAlignment w:val="auto"/>
        <w:rPr>
          <w:rFonts w:ascii="华文细黑" w:hAnsi="华文细黑" w:eastAsia="华文细黑"/>
          <w:b/>
          <w:color w:val="000000" w:themeColor="text1"/>
          <w:sz w:val="36"/>
          <w:szCs w:val="36"/>
          <w14:textFill>
            <w14:solidFill>
              <w14:schemeClr w14:val="tx1"/>
            </w14:solidFill>
          </w14:textFill>
        </w:rPr>
      </w:pPr>
      <w:bookmarkStart w:id="0" w:name="_Toc227057880"/>
      <w:bookmarkStart w:id="1" w:name="_Toc453691462"/>
      <w:bookmarkStart w:id="2" w:name="_Toc468808805"/>
      <w:bookmarkStart w:id="3" w:name="_Toc227057922"/>
      <w:bookmarkStart w:id="4" w:name="_Toc107822520"/>
      <w:bookmarkStart w:id="5" w:name="_Toc226969316"/>
      <w:r>
        <w:rPr>
          <w:rFonts w:hint="eastAsia" w:ascii="华文细黑" w:hAnsi="华文细黑" w:eastAsia="华文细黑"/>
          <w:b/>
          <w:color w:val="000000" w:themeColor="text1"/>
          <w:sz w:val="36"/>
          <w:szCs w:val="36"/>
          <w14:textFill>
            <w14:solidFill>
              <w14:schemeClr w14:val="tx1"/>
            </w14:solidFill>
          </w14:textFill>
        </w:rPr>
        <w:t>第一章</w:t>
      </w:r>
      <w:r>
        <w:rPr>
          <w:rFonts w:ascii="华文细黑" w:hAnsi="华文细黑" w:eastAsia="华文细黑"/>
          <w:b/>
          <w:color w:val="000000" w:themeColor="text1"/>
          <w:sz w:val="36"/>
          <w:szCs w:val="36"/>
          <w14:textFill>
            <w14:solidFill>
              <w14:schemeClr w14:val="tx1"/>
            </w14:solidFill>
          </w14:textFill>
        </w:rPr>
        <w:t xml:space="preserve">  </w:t>
      </w:r>
      <w:bookmarkEnd w:id="0"/>
      <w:bookmarkEnd w:id="1"/>
      <w:bookmarkEnd w:id="2"/>
      <w:bookmarkStart w:id="6" w:name="_Toc107822481"/>
      <w:bookmarkStart w:id="7" w:name="_Toc227057881"/>
      <w:bookmarkStart w:id="8" w:name="_Toc226969274"/>
      <w:r>
        <w:rPr>
          <w:rFonts w:hint="eastAsia" w:ascii="华文细黑" w:hAnsi="华文细黑" w:eastAsia="华文细黑"/>
          <w:b/>
          <w:color w:val="000000" w:themeColor="text1"/>
          <w:sz w:val="36"/>
          <w:szCs w:val="36"/>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620" w:lineRule="exact"/>
        <w:jc w:val="left"/>
        <w:textAlignment w:val="auto"/>
        <w:rPr>
          <w:rFonts w:ascii="仿宋" w:hAnsi="仿宋" w:eastAsia="仿宋" w:cs="仿宋"/>
          <w:color w:val="000000" w:themeColor="text1"/>
          <w:sz w:val="32"/>
          <w:szCs w:val="32"/>
          <w:u w:val="single"/>
          <w14:textFill>
            <w14:solidFill>
              <w14:schemeClr w14:val="tx1"/>
            </w14:solidFill>
          </w14:textFill>
        </w:rPr>
      </w:pPr>
      <w:r>
        <w:rPr>
          <w:rFonts w:ascii="华文细黑" w:hAnsi="华文细黑" w:eastAsia="华文细黑"/>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，采购单位为四川省政府政务服务和公共资源交易服务中心。本项目采购内容在规定的集中采购目录之外，且在省直部门分散采购限额标准以下，因此</w:t>
      </w:r>
      <w:r>
        <w:rPr>
          <w:rFonts w:hint="eastAsia" w:ascii="仿宋" w:hAnsi="仿宋" w:eastAsia="仿宋" w:cs="仿宋"/>
          <w:color w:val="000000" w:themeColor="text1"/>
          <w:sz w:val="32"/>
          <w:szCs w:val="32"/>
          <w14:textFill>
            <w14:solidFill>
              <w14:schemeClr w14:val="tx1"/>
            </w14:solidFill>
          </w14:textFill>
        </w:rPr>
        <w:t>我中心拟用参照政府采购竞争性磋商综合评分法方式进行自行采购</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采购项目：四川省政府政务服务和公共资源交易服务中心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项目资金：自筹资金。</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项目实施方式：在合同约定时间范围内为四川省政府政务服务和公共资源交易服务中心提供</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质量效果要求：符合国家相关要求。</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采购内容：</w:t>
      </w:r>
      <w:r>
        <w:rPr>
          <w:rFonts w:hint="eastAsia" w:ascii="仿宋" w:hAnsi="仿宋" w:eastAsia="仿宋" w:cs="仿宋"/>
          <w:color w:val="000000" w:themeColor="text1"/>
          <w:sz w:val="32"/>
          <w:szCs w:val="32"/>
          <w14:textFill>
            <w14:solidFill>
              <w14:schemeClr w14:val="tx1"/>
            </w14:solidFill>
          </w14:textFill>
        </w:rPr>
        <w:t>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系统安全等级保护测评项目</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项目总预算：人民币</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12 </w:t>
      </w:r>
      <w:r>
        <w:rPr>
          <w:rFonts w:hint="eastAsia" w:ascii="仿宋" w:hAnsi="仿宋" w:eastAsia="仿宋" w:cs="仿宋"/>
          <w:color w:val="000000" w:themeColor="text1"/>
          <w:sz w:val="32"/>
          <w:szCs w:val="32"/>
          <w14:textFill>
            <w14:solidFill>
              <w14:schemeClr w14:val="tx1"/>
            </w14:solidFill>
          </w14:textFill>
        </w:rPr>
        <w:t>万元整（</w:t>
      </w:r>
      <w:r>
        <w:rPr>
          <w:rFonts w:hint="eastAsia" w:ascii="仿宋" w:hAnsi="仿宋" w:eastAsia="仿宋" w:cs="仿宋"/>
          <w:color w:val="000000" w:themeColor="text1"/>
          <w:sz w:val="32"/>
          <w:szCs w:val="32"/>
          <w:lang w:val="en-US" w:eastAsia="zh-CN"/>
          <w14:textFill>
            <w14:solidFill>
              <w14:schemeClr w14:val="tx1"/>
            </w14:solidFill>
          </w14:textFill>
        </w:rPr>
        <w:t>壹拾</w:t>
      </w:r>
      <w:r>
        <w:rPr>
          <w:rFonts w:hint="eastAsia" w:ascii="仿宋" w:hAnsi="仿宋" w:eastAsia="仿宋" w:cs="仿宋"/>
          <w:color w:val="000000" w:themeColor="text1"/>
          <w:sz w:val="32"/>
          <w:szCs w:val="32"/>
          <w14:textFill>
            <w14:solidFill>
              <w14:schemeClr w14:val="tx1"/>
            </w14:solidFill>
          </w14:textFill>
        </w:rPr>
        <w:t>万元整）</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b/>
          <w:color w:val="000000" w:themeColor="text1"/>
          <w:sz w:val="32"/>
          <w:szCs w:val="32"/>
          <w:lang w:eastAsia="zh-CN"/>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中选原则：</w:t>
      </w:r>
      <w:r>
        <w:rPr>
          <w:rFonts w:hint="eastAsia" w:ascii="仿宋" w:hAnsi="仿宋" w:eastAsia="仿宋" w:cs="仿宋"/>
          <w:b/>
          <w:color w:val="000000" w:themeColor="text1"/>
          <w:sz w:val="32"/>
          <w:szCs w:val="32"/>
          <w14:textFill>
            <w14:solidFill>
              <w14:schemeClr w14:val="tx1"/>
            </w14:solidFill>
          </w14:textFill>
        </w:rPr>
        <w:t>根据综合评分法按排名由高到低推荐第一名为中标候选人</w:t>
      </w:r>
      <w:r>
        <w:rPr>
          <w:rFonts w:hint="eastAsia" w:ascii="仿宋" w:hAnsi="仿宋" w:eastAsia="仿宋" w:cs="仿宋"/>
          <w:b/>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、资格审查方式及投标人资格要求</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本项目采用资格</w:t>
      </w:r>
      <w:r>
        <w:rPr>
          <w:rFonts w:hint="eastAsia" w:ascii="仿宋" w:hAnsi="仿宋" w:eastAsia="仿宋" w:cs="仿宋"/>
          <w:color w:val="000000" w:themeColor="text1"/>
          <w:sz w:val="32"/>
          <w:szCs w:val="32"/>
          <w:lang w:eastAsia="zh-CN"/>
          <w14:textFill>
            <w14:solidFill>
              <w14:schemeClr w14:val="tx1"/>
            </w14:solidFill>
          </w14:textFill>
        </w:rPr>
        <w:t>预</w:t>
      </w:r>
      <w:r>
        <w:rPr>
          <w:rFonts w:hint="eastAsia" w:ascii="仿宋" w:hAnsi="仿宋" w:eastAsia="仿宋" w:cs="仿宋"/>
          <w:color w:val="000000" w:themeColor="text1"/>
          <w:sz w:val="32"/>
          <w:szCs w:val="32"/>
          <w14:textFill>
            <w14:solidFill>
              <w14:schemeClr w14:val="tx1"/>
            </w14:solidFill>
          </w14:textFill>
        </w:rPr>
        <w:t>审，采购评审小组根据采购文件的规定对投标人进行资格审查，若资格审查不合格其投标文件将被否决，采购申请人资格要求如下：</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具备良好商业信誉的证明材料（提供承诺函原件，格式详见第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具备健全的财务会计制度的证明材料。｛注：①可提供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年度经审计的财务报告复印件；②也可提供</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或</w:t>
      </w:r>
      <w:r>
        <w:rPr>
          <w:rFonts w:ascii="仿宋" w:hAnsi="仿宋" w:eastAsia="仿宋" w:cs="仿宋"/>
          <w:color w:val="000000" w:themeColor="text1"/>
          <w:sz w:val="32"/>
          <w:szCs w:val="32"/>
          <w14:textFill>
            <w14:solidFill>
              <w14:schemeClr w14:val="tx1"/>
            </w14:solidFill>
          </w14:textFill>
        </w:rPr>
        <w:t>2019</w:t>
      </w:r>
      <w:r>
        <w:rPr>
          <w:rFonts w:hint="eastAsia" w:ascii="仿宋" w:hAnsi="仿宋" w:eastAsia="仿宋" w:cs="仿宋"/>
          <w:color w:val="000000" w:themeColor="text1"/>
          <w:sz w:val="32"/>
          <w:szCs w:val="32"/>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具有依法缴纳税收和社会保障资金良好记录的证明材料。｛注：①（</w:t>
      </w:r>
      <w:r>
        <w:rPr>
          <w:rFonts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具备履行合同所必需的人员能力的证明材料（可提供承诺函原件，格式详见第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参加采购活动前三年内在经营活动中没有重大违法记录的承诺函（可提供承诺函原件，格式详见第</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声明、承诺函）；</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2.7</w:t>
      </w:r>
      <w:r>
        <w:rPr>
          <w:rFonts w:hint="eastAsia" w:ascii="仿宋" w:hAnsi="仿宋" w:eastAsia="仿宋" w:cs="仿宋"/>
          <w:color w:val="000000" w:themeColor="text1"/>
          <w:sz w:val="32"/>
          <w:szCs w:val="32"/>
          <w14:textFill>
            <w14:solidFill>
              <w14:schemeClr w14:val="tx1"/>
            </w14:solidFill>
          </w14:textFill>
        </w:rPr>
        <w:t>具有网络安全等级保护测评机构推荐证书；</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本次采购不接受联合体投标</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kern w:val="0"/>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、报名及采购邀请函的获取</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投标人通过</w:t>
      </w:r>
      <w:r>
        <w:rPr>
          <w:rFonts w:hint="eastAsia" w:ascii="仿宋" w:hAnsi="仿宋" w:eastAsia="仿宋" w:cs="仿宋"/>
          <w:color w:val="000000" w:themeColor="text1"/>
          <w:kern w:val="0"/>
          <w:sz w:val="32"/>
          <w:szCs w:val="32"/>
          <w:lang w:val="en-US" w:eastAsia="zh-CN"/>
          <w14:textFill>
            <w14:solidFill>
              <w14:schemeClr w14:val="tx1"/>
            </w14:solidFill>
          </w14:textFill>
        </w:rPr>
        <w:t>电话报名预留电子邮箱地址，</w:t>
      </w:r>
      <w:r>
        <w:rPr>
          <w:rFonts w:hint="eastAsia" w:ascii="仿宋" w:hAnsi="仿宋" w:eastAsia="仿宋" w:cs="仿宋"/>
          <w:color w:val="000000" w:themeColor="text1"/>
          <w:sz w:val="32"/>
          <w:szCs w:val="32"/>
          <w14:textFill>
            <w14:solidFill>
              <w14:schemeClr w14:val="tx1"/>
            </w14:solidFill>
          </w14:textFill>
        </w:rPr>
        <w:t>收取电子邮件</w:t>
      </w:r>
      <w:r>
        <w:rPr>
          <w:rFonts w:hint="eastAsia" w:ascii="仿宋" w:hAnsi="仿宋" w:eastAsia="仿宋" w:cs="仿宋"/>
          <w:color w:val="000000" w:themeColor="text1"/>
          <w:kern w:val="0"/>
          <w:sz w:val="32"/>
          <w:szCs w:val="32"/>
          <w14:textFill>
            <w14:solidFill>
              <w14:schemeClr w14:val="tx1"/>
            </w14:solidFill>
          </w14:textFill>
        </w:rPr>
        <w:t>的方式获取采购邀请函。</w:t>
      </w:r>
      <w:r>
        <w:rPr>
          <w:rFonts w:hint="eastAsia" w:ascii="仿宋" w:hAnsi="仿宋" w:eastAsia="仿宋" w:cs="仿宋"/>
          <w:color w:val="000000" w:themeColor="text1"/>
          <w:kern w:val="0"/>
          <w:sz w:val="32"/>
          <w:szCs w:val="32"/>
          <w:lang w:val="en-US" w:eastAsia="zh-CN"/>
          <w14:textFill>
            <w14:solidFill>
              <w14:schemeClr w14:val="tx1"/>
            </w14:solidFill>
          </w14:textFill>
        </w:rPr>
        <w:t>获取文件</w:t>
      </w:r>
      <w:r>
        <w:rPr>
          <w:rFonts w:hint="eastAsia" w:ascii="仿宋" w:hAnsi="仿宋" w:eastAsia="仿宋" w:cs="仿宋"/>
          <w:color w:val="000000" w:themeColor="text1"/>
          <w:kern w:val="0"/>
          <w:sz w:val="32"/>
          <w:szCs w:val="32"/>
          <w14:textFill>
            <w14:solidFill>
              <w14:schemeClr w14:val="tx1"/>
            </w14:solidFill>
          </w14:textFill>
        </w:rPr>
        <w:t>时间为：</w:t>
      </w:r>
      <w:r>
        <w:rPr>
          <w:rFonts w:ascii="仿宋" w:hAnsi="仿宋" w:eastAsia="仿宋" w:cs="仿宋"/>
          <w:color w:val="000000" w:themeColor="text1"/>
          <w:kern w:val="0"/>
          <w:sz w:val="32"/>
          <w:szCs w:val="32"/>
          <w14:textFill>
            <w14:solidFill>
              <w14:schemeClr w14:val="tx1"/>
            </w14:solidFill>
          </w14:textFill>
        </w:rPr>
        <w:t>2020</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日</w:t>
      </w:r>
      <w:r>
        <w:rPr>
          <w:rFonts w:hint="eastAsia" w:ascii="仿宋" w:hAnsi="仿宋" w:eastAsia="仿宋" w:cs="仿宋"/>
          <w:color w:val="000000" w:themeColor="text1"/>
          <w:kern w:val="0"/>
          <w:sz w:val="32"/>
          <w:szCs w:val="32"/>
          <w:lang w:eastAsia="zh-CN"/>
          <w14:textFill>
            <w14:solidFill>
              <w14:schemeClr w14:val="tx1"/>
            </w14:solidFill>
          </w14:textFill>
        </w:rPr>
        <w:t>至</w:t>
      </w:r>
      <w:r>
        <w:rPr>
          <w:rFonts w:hint="eastAsia" w:ascii="仿宋" w:hAnsi="仿宋" w:eastAsia="仿宋" w:cs="仿宋"/>
          <w:color w:val="000000" w:themeColor="text1"/>
          <w:kern w:val="0"/>
          <w:sz w:val="32"/>
          <w:szCs w:val="32"/>
          <w:lang w:val="en-US" w:eastAsia="zh-CN"/>
          <w14:textFill>
            <w14:solidFill>
              <w14:schemeClr w14:val="tx1"/>
            </w14:solidFill>
          </w14:textFill>
        </w:rPr>
        <w:t>9月7日</w:t>
      </w:r>
      <w:r>
        <w:rPr>
          <w:rFonts w:ascii="仿宋" w:hAnsi="仿宋" w:eastAsia="仿宋" w:cs="仿宋"/>
          <w:color w:val="000000" w:themeColor="text1"/>
          <w:kern w:val="0"/>
          <w:sz w:val="32"/>
          <w:szCs w:val="32"/>
          <w14:textFill>
            <w14:solidFill>
              <w14:schemeClr w14:val="tx1"/>
            </w14:solidFill>
          </w14:textFill>
        </w:rPr>
        <w:t>1</w:t>
      </w: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ascii="仿宋" w:hAnsi="仿宋" w:eastAsia="仿宋" w:cs="仿宋"/>
          <w:color w:val="000000" w:themeColor="text1"/>
          <w:kern w:val="0"/>
          <w:sz w:val="32"/>
          <w:szCs w:val="32"/>
          <w14:textFill>
            <w14:solidFill>
              <w14:schemeClr w14:val="tx1"/>
            </w14:solidFill>
          </w14:textFill>
        </w:rPr>
        <w:t>:00</w:t>
      </w:r>
      <w:r>
        <w:rPr>
          <w:rFonts w:hint="eastAsia" w:ascii="仿宋" w:hAnsi="仿宋" w:eastAsia="仿宋" w:cs="仿宋"/>
          <w:color w:val="000000" w:themeColor="text1"/>
          <w:kern w:val="0"/>
          <w:sz w:val="32"/>
          <w:szCs w:val="32"/>
          <w14:textFill>
            <w14:solidFill>
              <w14:schemeClr w14:val="tx1"/>
            </w14:solidFill>
          </w14:textFill>
        </w:rPr>
        <w:t>（北京时间）。</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4</w:t>
      </w:r>
      <w:r>
        <w:rPr>
          <w:rFonts w:hint="eastAsia" w:ascii="仿宋" w:hAnsi="仿宋" w:eastAsia="仿宋" w:cs="仿宋"/>
          <w:b/>
          <w:color w:val="000000" w:themeColor="text1"/>
          <w:sz w:val="32"/>
          <w:szCs w:val="32"/>
          <w14:textFill>
            <w14:solidFill>
              <w14:schemeClr w14:val="tx1"/>
            </w14:solidFill>
          </w14:textFill>
        </w:rPr>
        <w:t>、投标文件的递交</w:t>
      </w:r>
    </w:p>
    <w:p>
      <w:pPr>
        <w:pageBreakBefore w:val="0"/>
        <w:widowControl/>
        <w:kinsoku/>
        <w:wordWrap/>
        <w:overflowPunct/>
        <w:topLinePunct w:val="0"/>
        <w:bidi w:val="0"/>
        <w:spacing w:line="62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投标文件提交的</w:t>
      </w:r>
      <w:bookmarkStart w:id="124" w:name="_GoBack"/>
      <w:bookmarkEnd w:id="124"/>
      <w:r>
        <w:rPr>
          <w:rFonts w:hint="eastAsia" w:ascii="仿宋" w:hAnsi="仿宋" w:eastAsia="仿宋" w:cs="仿宋"/>
          <w:color w:val="000000" w:themeColor="text1"/>
          <w:sz w:val="32"/>
          <w:szCs w:val="32"/>
          <w14:textFill>
            <w14:solidFill>
              <w14:schemeClr w14:val="tx1"/>
            </w14:solidFill>
          </w14:textFill>
        </w:rPr>
        <w:t>截止时间为</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14:textFill>
            <w14:solidFill>
              <w14:schemeClr w14:val="tx1"/>
            </w14:solidFill>
          </w14:textFill>
        </w:rPr>
        <w:t>上午</w:t>
      </w:r>
      <w:r>
        <w:rPr>
          <w:rFonts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（北京时间），提交地点：</w:t>
      </w:r>
      <w:r>
        <w:rPr>
          <w:rFonts w:hint="eastAsia" w:ascii="仿宋" w:hAnsi="仿宋" w:eastAsia="仿宋" w:cs="仿宋"/>
          <w:color w:val="000000" w:themeColor="text1"/>
          <w:kern w:val="0"/>
          <w:sz w:val="32"/>
          <w:szCs w:val="32"/>
          <w14:textFill>
            <w14:solidFill>
              <w14:schemeClr w14:val="tx1"/>
            </w14:solidFill>
          </w14:textFill>
        </w:rPr>
        <w:t>四川省成都市青羊区人民中路三段</w:t>
      </w:r>
      <w:r>
        <w:rPr>
          <w:rFonts w:ascii="仿宋" w:hAnsi="仿宋" w:eastAsia="仿宋" w:cs="仿宋"/>
          <w:color w:val="000000" w:themeColor="text1"/>
          <w:kern w:val="0"/>
          <w:sz w:val="32"/>
          <w:szCs w:val="32"/>
          <w14:textFill>
            <w14:solidFill>
              <w14:schemeClr w14:val="tx1"/>
            </w14:solidFill>
          </w14:textFill>
        </w:rPr>
        <w:t>35</w:t>
      </w:r>
      <w:r>
        <w:rPr>
          <w:rFonts w:hint="eastAsia" w:ascii="仿宋" w:hAnsi="仿宋" w:eastAsia="仿宋" w:cs="仿宋"/>
          <w:color w:val="000000" w:themeColor="text1"/>
          <w:kern w:val="0"/>
          <w:sz w:val="32"/>
          <w:szCs w:val="32"/>
          <w14:textFill>
            <w14:solidFill>
              <w14:schemeClr w14:val="tx1"/>
            </w14:solidFill>
          </w14:textFill>
        </w:rPr>
        <w:t>号四川省政府政务服务和公共资源交易服务中心</w:t>
      </w:r>
      <w:r>
        <w:rPr>
          <w:rFonts w:ascii="仿宋" w:hAnsi="仿宋" w:eastAsia="仿宋" w:cs="仿宋"/>
          <w:color w:val="000000" w:themeColor="text1"/>
          <w:kern w:val="0"/>
          <w:sz w:val="32"/>
          <w:szCs w:val="32"/>
          <w14:textFill>
            <w14:solidFill>
              <w14:schemeClr w14:val="tx1"/>
            </w14:solidFill>
          </w14:textFill>
        </w:rPr>
        <w:t>6</w:t>
      </w:r>
      <w:r>
        <w:rPr>
          <w:rFonts w:hint="eastAsia" w:ascii="仿宋" w:hAnsi="仿宋" w:eastAsia="仿宋" w:cs="仿宋"/>
          <w:color w:val="000000" w:themeColor="text1"/>
          <w:kern w:val="0"/>
          <w:sz w:val="32"/>
          <w:szCs w:val="32"/>
          <w:lang w:val="en-US" w:eastAsia="zh-CN"/>
          <w14:textFill>
            <w14:solidFill>
              <w14:schemeClr w14:val="tx1"/>
            </w14:solidFill>
          </w14:textFill>
        </w:rPr>
        <w:t>03</w:t>
      </w:r>
      <w:r>
        <w:rPr>
          <w:rFonts w:hint="eastAsia" w:ascii="仿宋" w:hAnsi="仿宋" w:eastAsia="仿宋" w:cs="仿宋"/>
          <w:color w:val="000000" w:themeColor="text1"/>
          <w:kern w:val="0"/>
          <w:sz w:val="32"/>
          <w:szCs w:val="32"/>
          <w14:textFill>
            <w14:solidFill>
              <w14:schemeClr w14:val="tx1"/>
            </w14:solidFill>
          </w14:textFill>
        </w:rPr>
        <w:t>室。</w:t>
      </w:r>
      <w:r>
        <w:rPr>
          <w:rFonts w:hint="eastAsia" w:ascii="仿宋" w:hAnsi="仿宋" w:eastAsia="仿宋" w:cs="仿宋"/>
          <w:color w:val="000000" w:themeColor="text1"/>
          <w:sz w:val="32"/>
          <w:szCs w:val="32"/>
          <w14:textFill>
            <w14:solidFill>
              <w14:schemeClr w14:val="tx1"/>
            </w14:solidFill>
          </w14:textFill>
        </w:rPr>
        <w:t>逾期送达的投标文件将被拒绝。</w:t>
      </w:r>
    </w:p>
    <w:p>
      <w:pPr>
        <w:pageBreakBefore w:val="0"/>
        <w:widowControl/>
        <w:kinsoku/>
        <w:wordWrap/>
        <w:overflowPunct/>
        <w:topLinePunct w:val="0"/>
        <w:bidi w:val="0"/>
        <w:spacing w:line="62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本次采购项目将于</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日在四川省成都市青羊区人民中路三段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号四川省政府政务服务和公共资源交易服务中心进行评审。</w:t>
      </w:r>
      <w:r>
        <w:rPr>
          <w:rFonts w:hint="eastAsia" w:ascii="仿宋" w:hAnsi="仿宋" w:eastAsia="仿宋" w:cs="仿宋"/>
          <w:color w:val="000000" w:themeColor="text1"/>
          <w:sz w:val="32"/>
          <w:szCs w:val="32"/>
          <w14:textFill>
            <w14:solidFill>
              <w14:schemeClr w14:val="tx1"/>
            </w14:solidFill>
          </w14:textFill>
        </w:rPr>
        <w:t>无需</w:t>
      </w:r>
      <w:r>
        <w:rPr>
          <w:rFonts w:hint="eastAsia" w:ascii="仿宋" w:hAnsi="仿宋" w:eastAsia="仿宋" w:cs="仿宋"/>
          <w:color w:val="000000" w:themeColor="text1"/>
          <w:sz w:val="32"/>
          <w:szCs w:val="32"/>
          <w14:textFill>
            <w14:solidFill>
              <w14:schemeClr w14:val="tx1"/>
            </w14:solidFill>
          </w14:textFill>
        </w:rPr>
        <w:t>采购申请人的法定代表人或其委托的授权代表参加。</w:t>
      </w:r>
    </w:p>
    <w:p>
      <w:pPr>
        <w:pageBreakBefore w:val="0"/>
        <w:kinsoku/>
        <w:wordWrap/>
        <w:overflowPunct/>
        <w:topLinePunct w:val="0"/>
        <w:bidi w:val="0"/>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5</w:t>
      </w:r>
      <w:r>
        <w:rPr>
          <w:rFonts w:hint="eastAsia" w:ascii="仿宋" w:hAnsi="仿宋" w:eastAsia="仿宋" w:cs="仿宋"/>
          <w:b/>
          <w:color w:val="000000" w:themeColor="text1"/>
          <w:sz w:val="32"/>
          <w:szCs w:val="32"/>
          <w14:textFill>
            <w14:solidFill>
              <w14:schemeClr w14:val="tx1"/>
            </w14:solidFill>
          </w14:textFill>
        </w:rPr>
        <w:t>、联系方式</w:t>
      </w:r>
    </w:p>
    <w:p>
      <w:pPr>
        <w:pageBreakBefore w:val="0"/>
        <w:widowControl/>
        <w:kinsoku/>
        <w:wordWrap/>
        <w:overflowPunct/>
        <w:topLinePunct w:val="0"/>
        <w:bidi w:val="0"/>
        <w:spacing w:line="620" w:lineRule="exact"/>
        <w:ind w:firstLine="960" w:firstLineChars="3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四川省政府政务服务和公共资源交易服务中心</w:t>
      </w:r>
    </w:p>
    <w:p>
      <w:pPr>
        <w:pageBreakBefore w:val="0"/>
        <w:widowControl/>
        <w:kinsoku/>
        <w:wordWrap/>
        <w:overflowPunct/>
        <w:topLinePunct w:val="0"/>
        <w:bidi w:val="0"/>
        <w:spacing w:line="620" w:lineRule="exact"/>
        <w:ind w:firstLine="960" w:firstLineChars="300"/>
        <w:jc w:val="left"/>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系</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人：</w:t>
      </w:r>
      <w:r>
        <w:rPr>
          <w:rFonts w:hint="eastAsia" w:ascii="仿宋" w:hAnsi="仿宋" w:eastAsia="仿宋" w:cs="仿宋"/>
          <w:color w:val="000000" w:themeColor="text1"/>
          <w:kern w:val="0"/>
          <w:sz w:val="32"/>
          <w:szCs w:val="32"/>
          <w:lang w:val="en-US" w:eastAsia="zh-CN"/>
          <w14:textFill>
            <w14:solidFill>
              <w14:schemeClr w14:val="tx1"/>
            </w14:solidFill>
          </w14:textFill>
        </w:rPr>
        <w:t>郭韩斌</w:t>
      </w:r>
    </w:p>
    <w:p>
      <w:pPr>
        <w:keepNext w:val="0"/>
        <w:keepLines w:val="0"/>
        <w:pageBreakBefore w:val="0"/>
        <w:widowControl/>
        <w:kinsoku/>
        <w:wordWrap/>
        <w:overflowPunct/>
        <w:topLinePunct w:val="0"/>
        <w:autoSpaceDE/>
        <w:autoSpaceDN/>
        <w:bidi w:val="0"/>
        <w:adjustRightInd/>
        <w:snapToGrid/>
        <w:spacing w:line="620" w:lineRule="exact"/>
        <w:ind w:firstLine="960" w:firstLineChars="300"/>
        <w:jc w:val="left"/>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联系电话：</w:t>
      </w:r>
      <w:r>
        <w:rPr>
          <w:rFonts w:hint="eastAsia" w:ascii="仿宋" w:hAnsi="仿宋" w:eastAsia="仿宋" w:cs="仿宋"/>
          <w:color w:val="000000" w:themeColor="text1"/>
          <w:kern w:val="0"/>
          <w:sz w:val="32"/>
          <w:szCs w:val="32"/>
          <w:lang w:val="en-US" w:eastAsia="zh-CN"/>
          <w14:textFill>
            <w14:solidFill>
              <w14:schemeClr w14:val="tx1"/>
            </w14:solidFill>
          </w14:textFill>
        </w:rPr>
        <w:t>15884132232</w:t>
      </w:r>
      <w:r>
        <w:rPr>
          <w:rFonts w:ascii="仿宋" w:hAnsi="仿宋" w:eastAsia="仿宋" w:cs="仿宋"/>
          <w:color w:val="000000" w:themeColor="text1"/>
          <w:kern w:val="0"/>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afterLines="100" w:line="620" w:lineRule="exact"/>
        <w:ind w:firstLine="960" w:firstLineChars="3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地址：四川省成都市青羊区人民中路三段</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afterLines="100" w:line="620" w:lineRule="exact"/>
        <w:ind w:firstLine="640" w:firstLineChars="200"/>
        <w:jc w:val="right"/>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日</w:t>
      </w:r>
    </w:p>
    <w:bookmarkEnd w:id="3"/>
    <w:bookmarkEnd w:id="4"/>
    <w:bookmarkEnd w:id="5"/>
    <w:p>
      <w:pPr>
        <w:pStyle w:val="3"/>
        <w:pageBreakBefore w:val="0"/>
        <w:widowControl w:val="0"/>
        <w:numPr>
          <w:ilvl w:val="0"/>
          <w:numId w:val="14"/>
        </w:numPr>
        <w:kinsoku/>
        <w:wordWrap/>
        <w:overflowPunct/>
        <w:topLinePunct w:val="0"/>
        <w:autoSpaceDE/>
        <w:autoSpaceDN/>
        <w:bidi w:val="0"/>
        <w:adjustRightInd/>
        <w:snapToGrid/>
        <w:spacing w:before="0" w:after="0" w:line="620" w:lineRule="exact"/>
        <w:textAlignment w:val="auto"/>
        <w:rPr>
          <w:rFonts w:ascii="仿宋" w:hAnsi="仿宋" w:eastAsia="仿宋" w:cs="仿宋"/>
          <w:b/>
          <w:color w:val="000000" w:themeColor="text1"/>
          <w:sz w:val="32"/>
          <w:szCs w:val="32"/>
          <w14:textFill>
            <w14:solidFill>
              <w14:schemeClr w14:val="tx1"/>
            </w14:solidFill>
          </w14:textFill>
        </w:rPr>
      </w:pPr>
      <w:bookmarkStart w:id="9" w:name="_Toc468808806"/>
      <w:bookmarkStart w:id="10" w:name="_Toc226969356"/>
      <w:bookmarkStart w:id="11" w:name="_Toc227057962"/>
      <w:r>
        <w:rPr>
          <w:rFonts w:hint="eastAsia" w:ascii="仿宋" w:hAnsi="仿宋" w:eastAsia="仿宋" w:cs="仿宋"/>
          <w:b/>
          <w:color w:val="000000" w:themeColor="text1"/>
          <w:sz w:val="32"/>
          <w:szCs w:val="32"/>
          <w14:textFill>
            <w14:solidFill>
              <w14:schemeClr w14:val="tx1"/>
            </w14:solidFill>
          </w14:textFill>
        </w:rPr>
        <w:t>技术规范要求</w:t>
      </w:r>
      <w:bookmarkEnd w:id="9"/>
    </w:p>
    <w:p>
      <w:pPr>
        <w:pStyle w:val="3"/>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一、项目主要工作内容及要求</w:t>
      </w:r>
    </w:p>
    <w:p>
      <w:pPr>
        <w:pageBreakBefore w:val="0"/>
        <w:widowControl w:val="0"/>
        <w:kinsoku/>
        <w:wordWrap/>
        <w:overflowPunct/>
        <w:topLinePunct w:val="0"/>
        <w:autoSpaceDE/>
        <w:autoSpaceDN/>
        <w:bidi w:val="0"/>
        <w:adjustRightInd/>
        <w:snapToGrid/>
        <w:spacing w:line="62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、项目概况</w:t>
      </w:r>
    </w:p>
    <w:p>
      <w:pPr>
        <w:pageBreakBefore w:val="0"/>
        <w:widowControl w:val="0"/>
        <w:tabs>
          <w:tab w:val="left" w:pos="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2"/>
          <w:szCs w:val="32"/>
          <w:lang w:val="en-US" w:eastAsia="zh-CN"/>
          <w14:textFill>
            <w14:solidFill>
              <w14:schemeClr w14:val="tx1"/>
            </w14:solidFill>
          </w14:textFill>
        </w:rPr>
        <w:t>系统安全等级保护测评</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w:t>
      </w:r>
    </w:p>
    <w:p>
      <w:pPr>
        <w:pageBreakBefore w:val="0"/>
        <w:widowControl w:val="0"/>
        <w:numPr>
          <w:ilvl w:val="0"/>
          <w:numId w:val="15"/>
        </w:numPr>
        <w:tabs>
          <w:tab w:val="left" w:pos="0"/>
        </w:tabs>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项目主要内容</w:t>
      </w:r>
    </w:p>
    <w:p>
      <w:pPr>
        <w:pStyle w:val="255"/>
        <w:pageBreakBefore w:val="0"/>
        <w:kinsoku/>
        <w:wordWrap/>
        <w:overflowPunct/>
        <w:topLinePunct w:val="0"/>
        <w:bidi w:val="0"/>
        <w:spacing w:line="620" w:lineRule="exact"/>
        <w:ind w:firstLine="480"/>
        <w:textAlignment w:val="auto"/>
        <w:rPr>
          <w:rFonts w:ascii="宋体" w:hAnsi="宋体" w:cs="宋体"/>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本次安全等级测评项目的服务范围包括以下信息系统：</w:t>
      </w:r>
    </w:p>
    <w:tbl>
      <w:tblPr>
        <w:tblStyle w:val="53"/>
        <w:tblpPr w:leftFromText="180" w:rightFromText="180" w:vertAnchor="text" w:horzAnchor="page" w:tblpX="2214" w:tblpY="3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54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02" w:type="dxa"/>
            <w:tcBorders>
              <w:tl2br w:val="nil"/>
              <w:tr2bl w:val="nil"/>
            </w:tcBorders>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5540" w:type="dxa"/>
            <w:tcBorders>
              <w:tl2br w:val="nil"/>
              <w:tr2bl w:val="nil"/>
            </w:tcBorders>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信息系统名称</w:t>
            </w:r>
          </w:p>
        </w:tc>
        <w:tc>
          <w:tcPr>
            <w:tcW w:w="1026" w:type="dxa"/>
            <w:tcBorders>
              <w:tl2br w:val="nil"/>
              <w:tr2bl w:val="nil"/>
            </w:tcBorders>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02" w:type="dxa"/>
            <w:tcBorders>
              <w:tl2br w:val="nil"/>
              <w:tr2bl w:val="nil"/>
            </w:tcBorders>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1</w:t>
            </w:r>
          </w:p>
        </w:tc>
        <w:tc>
          <w:tcPr>
            <w:tcW w:w="5540" w:type="dxa"/>
            <w:tcBorders>
              <w:tl2br w:val="nil"/>
              <w:tr2bl w:val="nil"/>
            </w:tcBorders>
            <w:vAlign w:val="center"/>
          </w:tcPr>
          <w:p>
            <w:pPr>
              <w:jc w:val="center"/>
              <w:rPr>
                <w:rFonts w:hint="default" w:hAnsi="宋体" w:eastAsia="宋体" w:cs="宋体"/>
                <w:b/>
                <w:bCs/>
                <w:color w:val="000000" w:themeColor="text1"/>
                <w:sz w:val="24"/>
                <w:szCs w:val="24"/>
                <w:lang w:val="en-US" w:eastAsia="zh-CN"/>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四川省公共资源交易服务平台一期</w:t>
            </w:r>
          </w:p>
        </w:tc>
        <w:tc>
          <w:tcPr>
            <w:tcW w:w="1026" w:type="dxa"/>
            <w:tcBorders>
              <w:tl2br w:val="nil"/>
              <w:tr2bl w:val="nil"/>
            </w:tcBorders>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3级</w:t>
            </w:r>
          </w:p>
        </w:tc>
      </w:tr>
    </w:tbl>
    <w:p>
      <w:pPr>
        <w:pageBreakBefore w:val="0"/>
        <w:kinsoku/>
        <w:wordWrap/>
        <w:overflowPunct/>
        <w:topLinePunct w:val="0"/>
        <w:bidi w:val="0"/>
        <w:spacing w:line="620" w:lineRule="exact"/>
        <w:textAlignment w:val="auto"/>
        <w:rPr>
          <w:color w:val="000000" w:themeColor="text1"/>
          <w14:textFill>
            <w14:solidFill>
              <w14:schemeClr w14:val="tx1"/>
            </w14:solidFill>
          </w14:textFill>
        </w:rPr>
      </w:pPr>
    </w:p>
    <w:p>
      <w:pPr>
        <w:pStyle w:val="256"/>
        <w:pageBreakBefore w:val="0"/>
        <w:kinsoku/>
        <w:wordWrap/>
        <w:overflowPunct/>
        <w:topLinePunct w:val="0"/>
        <w:bidi w:val="0"/>
        <w:spacing w:line="620" w:lineRule="exact"/>
        <w:ind w:firstLine="480"/>
        <w:textAlignment w:val="auto"/>
        <w:rPr>
          <w:color w:val="000000" w:themeColor="text1"/>
          <w14:textFill>
            <w14:solidFill>
              <w14:schemeClr w14:val="tx1"/>
            </w14:solidFill>
          </w14:textFill>
        </w:rPr>
      </w:pPr>
    </w:p>
    <w:p>
      <w:pPr>
        <w:pStyle w:val="2"/>
        <w:pageBreakBefore w:val="0"/>
        <w:kinsoku/>
        <w:wordWrap/>
        <w:overflowPunct/>
        <w:topLinePunct w:val="0"/>
        <w:bidi w:val="0"/>
        <w:spacing w:line="620" w:lineRule="exact"/>
        <w:ind w:firstLine="0" w:firstLineChars="0"/>
        <w:textAlignment w:val="auto"/>
        <w:rPr>
          <w:color w:val="000000" w:themeColor="text1"/>
          <w14:textFill>
            <w14:solidFill>
              <w14:schemeClr w14:val="tx1"/>
            </w14:solidFill>
          </w14:textFill>
        </w:rPr>
      </w:pP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2.1安全咨询。</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对信息系统进行梳理，按照网络安全相关政策、标准要求对系统进行定级梳理，为系统安全建设方面提供建议和参考。</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2.2等级测评</w:t>
      </w:r>
    </w:p>
    <w:p>
      <w:pPr>
        <w:pStyle w:val="255"/>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按照等级保护相关标准对系统从技术、管理等方面进行安全等级测评工作；根据测试结果，拟定网络安全整改建议；编制测评报告。制定并提交网络安全等级测评报告。具体如下：</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2.2.1测评准备</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主要任务是掌握被测系统的详细情况，准备测试工具，为编制测评方案做好准备。</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2.2.2方案编制</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主要任务是确定与被测信息系统相适应的测评对象、测评指标及测评内容等，并根据需要重用或开发测评实施手册，形成测评方案。</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2.2.3现场测评</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活动的主要任务是按照测评方案的总体要求，严格执行测评实施手册，分步实施所有测评项目，包括单元测评和整体测评两个方面，以了解系统的真实保护情况，获取足够证据，发现系统存在的安全问题并形成整改报告，指导并协助省中心相关部门完成整改，完成整改后确保省中心该项工作达到省公安厅要求的良好及以上水平。</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现场测评一般包括访谈、文档审查、配置检查、验证测试和实地察看等方面。</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访谈是指测评人员与被测系统有关人员（个人/群体）进行交流、讨论等活动，获取相关证据，了解有关信息。</w:t>
      </w:r>
    </w:p>
    <w:p>
      <w:pPr>
        <w:pageBreakBefore w:val="0"/>
        <w:widowControl/>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文档审查是指检查《信息安全技术网络安全等级保护基本要求》（GB/T 22239-2019）中规定的必须具有的制度、策略、操作规程等文档是否齐备，是否有完整的制度执行情况记录以及文件的完整性和这些文件之间的内部一致性。</w:t>
      </w:r>
    </w:p>
    <w:p>
      <w:pPr>
        <w:pageBreakBefore w:val="0"/>
        <w:kinsoku/>
        <w:wordWrap/>
        <w:overflowPunct/>
        <w:topLinePunct w:val="0"/>
        <w:bidi w:val="0"/>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配置检查是根据测评结果记录表格内容，利用上机验证的方式检查应用系统、主机系统、数据库系统以及网络设备的配置是否正确，是否与文档、相关设备和部件保持一致，对文档审核的内容进行核实（包括日志审计、数据审计等）。</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验证测试是按照等级保护测评要求，配备必要的工具、仪器/设备对信息系统进行测试，采用的测评工具的生产商为正规厂商，具有一定的研发和服务能力，能够对产品进行持续更新并提供质量和安全保障。</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2.2.4分析与报告编制</w:t>
      </w:r>
    </w:p>
    <w:p>
      <w:pPr>
        <w:pStyle w:val="2"/>
        <w:pageBreakBefore w:val="0"/>
        <w:kinsoku/>
        <w:wordWrap/>
        <w:overflowPunct/>
        <w:topLinePunct w:val="0"/>
        <w:bidi w:val="0"/>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主要任务是根据省中心信息系统安全整改情况，结合差距分析报告，给出等级测评结论，形成测评报告文本。</w:t>
      </w:r>
    </w:p>
    <w:p>
      <w:pPr>
        <w:pStyle w:val="2"/>
        <w:pageBreakBefore w:val="0"/>
        <w:kinsoku/>
        <w:wordWrap/>
        <w:overflowPunct/>
        <w:topLinePunct w:val="0"/>
        <w:bidi w:val="0"/>
        <w:spacing w:line="62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2.3 成果递交</w:t>
      </w:r>
    </w:p>
    <w:p>
      <w:pPr>
        <w:pStyle w:val="2"/>
        <w:pageBreakBefore w:val="0"/>
        <w:widowControl w:val="0"/>
        <w:kinsoku/>
        <w:wordWrap/>
        <w:overflowPunct/>
        <w:topLinePunct w:val="0"/>
        <w:bidi w:val="0"/>
        <w:snapToGrid/>
        <w:spacing w:line="62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整理测评结果，提交被测网络安全等级保护测评报告以及相应文档，并在省公安厅备案。</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12" w:name="_Toc47000835"/>
      <w:bookmarkStart w:id="13" w:name="_Toc32372"/>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2.4、项目组织与实施</w:t>
      </w:r>
      <w:bookmarkEnd w:id="12"/>
      <w:bookmarkEnd w:id="13"/>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本次等级测评项目，供应商应提供完善的项目组织，项目组织应由拥有国家要求的测评师证书的专业、高素质的技术人员组成，对项目进行全过程、全方位的计划、组织、管理、协调与控制。</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14" w:name="_Toc43390860"/>
      <w:bookmarkStart w:id="15" w:name="_Toc47000836"/>
      <w:bookmarkStart w:id="16" w:name="_Toc3320"/>
      <w:bookmarkStart w:id="17" w:name="_Toc11313776"/>
      <w:bookmarkStart w:id="18" w:name="_Toc17808265"/>
      <w:r>
        <w:rPr>
          <w:rFonts w:hint="eastAsia" w:ascii="仿宋" w:hAnsi="仿宋" w:eastAsia="仿宋" w:cs="仿宋"/>
          <w:color w:val="000000" w:themeColor="text1"/>
          <w:kern w:val="2"/>
          <w:sz w:val="32"/>
          <w:szCs w:val="32"/>
          <w:lang w:val="en-US" w:eastAsia="zh-CN" w:bidi="ar-SA"/>
          <w14:textFill>
            <w14:solidFill>
              <w14:schemeClr w14:val="tx1"/>
            </w14:solidFill>
          </w14:textFill>
        </w:rPr>
        <w:t>2.5、测评工具</w:t>
      </w:r>
      <w:bookmarkEnd w:id="14"/>
      <w:bookmarkEnd w:id="15"/>
      <w:bookmarkEnd w:id="16"/>
      <w:bookmarkEnd w:id="17"/>
      <w:bookmarkEnd w:id="18"/>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本次等级保护测评项目，供应商应提供完整齐全的信息安全服务测评工具。</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19" w:name="_Toc17808266"/>
      <w:bookmarkStart w:id="20" w:name="_Toc43390861"/>
      <w:bookmarkStart w:id="21" w:name="_Toc31337"/>
      <w:bookmarkStart w:id="22" w:name="_Toc11313777"/>
      <w:bookmarkStart w:id="23" w:name="_Toc47000837"/>
      <w:r>
        <w:rPr>
          <w:rFonts w:hint="eastAsia" w:ascii="仿宋" w:hAnsi="仿宋" w:eastAsia="仿宋" w:cs="仿宋"/>
          <w:color w:val="000000" w:themeColor="text1"/>
          <w:kern w:val="2"/>
          <w:sz w:val="32"/>
          <w:szCs w:val="32"/>
          <w:lang w:val="en-US" w:eastAsia="zh-CN" w:bidi="ar-SA"/>
          <w14:textFill>
            <w14:solidFill>
              <w14:schemeClr w14:val="tx1"/>
            </w14:solidFill>
          </w14:textFill>
        </w:rPr>
        <w:t>2.6、安全措施</w:t>
      </w:r>
      <w:bookmarkEnd w:id="19"/>
      <w:bookmarkEnd w:id="20"/>
      <w:bookmarkEnd w:id="21"/>
      <w:bookmarkEnd w:id="22"/>
      <w:bookmarkEnd w:id="23"/>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本次等级保护测评项目，供应商应提供项目质量的安全措施，项目进度的安全措施，为保证测评项目的实施过程中的安全性，保证实施安全。</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24" w:name="_Toc47000838"/>
      <w:bookmarkStart w:id="25" w:name="_Toc17808267"/>
      <w:bookmarkStart w:id="26" w:name="_Toc25677"/>
      <w:bookmarkStart w:id="27" w:name="_Toc43390862"/>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bookmarkEnd w:id="24"/>
      <w:bookmarkEnd w:id="25"/>
      <w:bookmarkEnd w:id="26"/>
      <w:bookmarkEnd w:id="27"/>
      <w:r>
        <w:rPr>
          <w:rFonts w:hint="eastAsia" w:ascii="仿宋" w:hAnsi="仿宋" w:eastAsia="仿宋" w:cs="仿宋"/>
          <w:color w:val="000000" w:themeColor="text1"/>
          <w:kern w:val="2"/>
          <w:sz w:val="32"/>
          <w:szCs w:val="32"/>
          <w:lang w:val="en-US" w:eastAsia="zh-CN" w:bidi="ar-SA"/>
          <w14:textFill>
            <w14:solidFill>
              <w14:schemeClr w14:val="tx1"/>
            </w14:solidFill>
          </w14:textFill>
        </w:rPr>
        <w:t>2.7、设计依据</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中华人民共和国网络安全法》第二十一条：国家实行网络安全等级保护制度。网络运营者应当按照网络安全等级保护制度的要求，履行安全保护义务，保障网络免受干扰、破坏或者未经授权的访问，防止网络数据泄露或者被窃取、篡改。</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2.7.2《中华人民共和国计算机信息系统安全保护条例》（国务院147 号令） “计算机信息系统实行安全等级保护，安全等级的划分标准和安全等级保护的具体办法，由公安部会同有关部门制定”。</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2.7.3《国家信息化领导小组关于加强信息安全保障工作的意见》 （中办〔2003〕27号）文件规定：要重点保护基础信息网络和关系国家安全、经济命脉、社会稳定等方面的重要信息系统，抓紧建立信息安全等级保护制度，制定信息安全等级保护的管理办法和技术指南。</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2.7.4《信息安全等级保护管理办法》第十四条：信息系统建设完成后，运营、使用单位或其主管部门应当选择符合本办法规定条件的测评单位，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2.7.5《公安部关于印发信息安全等级保护工作的实施意见的通知》（公通字〔2004〕66号）</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2.7.6《计算机信息系统安全保护等级划分准则》（ GB 17859-1999）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2.7.7《信息安全技术 网络安全等级保护实施指南》（GB/T 25058-2019）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2.7.8《信息安全技术 网络安全等级保护安全设计技术要求》（GB/T 25070-2019）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2.7.9《信息安全技术 网络安全等级保护基本要求》（GB/T 22239-2019）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2.7.10《信息安全技术 网络安全等级保护测评要求》（GB/T 28448-2019）</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2.7.11《信息安全技术 网络安全等级保护测评过程指南》（GB/T 28449-2018）</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2.7.12《信息安全技术 网络安全等级保护测试评估技术指南》（GB/T 36627-2018）</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2.7.13《信息安全技术 信息安全风险评估规范》（GB/T 20984-2007）</w:t>
      </w:r>
    </w:p>
    <w:p>
      <w:pPr>
        <w:pStyle w:val="255"/>
        <w:pageBreakBefore w:val="0"/>
        <w:widowControl w:val="0"/>
        <w:kinsoku/>
        <w:wordWrap/>
        <w:overflowPunct/>
        <w:topLinePunct w:val="0"/>
        <w:bidi w:val="0"/>
        <w:snapToGrid/>
        <w:spacing w:line="620" w:lineRule="exact"/>
        <w:ind w:firstLine="48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2.7.14《信息安全技术 网络安全等级保护定级指南》（GB/T 22240-2020）</w:t>
      </w:r>
    </w:p>
    <w:p>
      <w:pPr>
        <w:pStyle w:val="4"/>
        <w:pageBreakBefore w:val="0"/>
        <w:widowControl w:val="0"/>
        <w:kinsoku/>
        <w:wordWrap/>
        <w:overflowPunct/>
        <w:topLinePunct w:val="0"/>
        <w:bidi w:val="0"/>
        <w:snapToGrid/>
        <w:spacing w:before="0" w:after="0" w:line="620" w:lineRule="exac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2.8、详细服务内容</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本次等级保护测评项目，供应商应提供完整的实施方案，实施方案应包括但不限于测评准备活动、方案编制活动、现场测评活动、分析与报告编制活动、测评内容、测评步骤、测评实施流程、测评方式等。</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28" w:name="_Toc22634"/>
      <w:bookmarkStart w:id="29" w:name="_Toc17808268"/>
      <w:r>
        <w:rPr>
          <w:rFonts w:hint="eastAsia" w:ascii="仿宋" w:hAnsi="仿宋" w:eastAsia="仿宋" w:cs="仿宋"/>
          <w:color w:val="000000" w:themeColor="text1"/>
          <w:kern w:val="2"/>
          <w:sz w:val="32"/>
          <w:szCs w:val="32"/>
          <w:lang w:val="en-US" w:eastAsia="zh-CN" w:bidi="ar-SA"/>
          <w14:textFill>
            <w14:solidFill>
              <w14:schemeClr w14:val="tx1"/>
            </w14:solidFill>
          </w14:textFill>
        </w:rPr>
        <w:t>2.8.1测评准备活动</w:t>
      </w:r>
      <w:bookmarkEnd w:id="28"/>
      <w:bookmarkEnd w:id="29"/>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测评准备活动，供应商应提供项目计划书、调查表格、现场测评授权书、文档交接单、会议记录表单等相关文档。等级测评项目确定后，双方成立测评项目组，双方协同梳理信息系统基本要素，供应商应该完成省中心信息系统基本要素和定级情况。</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0" w:name="_Toc19813"/>
      <w:bookmarkStart w:id="31" w:name="_Toc17808269"/>
      <w:r>
        <w:rPr>
          <w:rFonts w:hint="eastAsia" w:ascii="仿宋" w:hAnsi="仿宋" w:eastAsia="仿宋" w:cs="仿宋"/>
          <w:color w:val="000000" w:themeColor="text1"/>
          <w:kern w:val="2"/>
          <w:sz w:val="32"/>
          <w:szCs w:val="32"/>
          <w:lang w:val="en-US" w:eastAsia="zh-CN" w:bidi="ar-SA"/>
          <w14:textFill>
            <w14:solidFill>
              <w14:schemeClr w14:val="tx1"/>
            </w14:solidFill>
          </w14:textFill>
        </w:rPr>
        <w:t>2.8.2方案编制活动</w:t>
      </w:r>
      <w:bookmarkEnd w:id="30"/>
      <w:bookmarkEnd w:id="31"/>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在方案编制活动阶段，供应商应提供测评方案，测评方案应包括但不限于测评对象确定、测评指标确定、测试工具接入点确定、测评内容确定等。</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供应商在获取省中心信息系统基本要素和定级情况后，供应商应明确项目内容、实施安排、人员配备、配合内容、注意事项、材料准备、测评指导书等内容完成测评方案编制，并与省中心确认测评方案和测评时间安排，确认正式现场测评步骤。</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2" w:name="_Toc17808270"/>
      <w:bookmarkStart w:id="33" w:name="_Toc1647"/>
      <w:r>
        <w:rPr>
          <w:rFonts w:hint="eastAsia" w:ascii="仿宋" w:hAnsi="仿宋" w:eastAsia="仿宋" w:cs="仿宋"/>
          <w:color w:val="000000" w:themeColor="text1"/>
          <w:kern w:val="2"/>
          <w:sz w:val="32"/>
          <w:szCs w:val="32"/>
          <w:lang w:val="en-US" w:eastAsia="zh-CN" w:bidi="ar-SA"/>
          <w14:textFill>
            <w14:solidFill>
              <w14:schemeClr w14:val="tx1"/>
            </w14:solidFill>
          </w14:textFill>
        </w:rPr>
        <w:t>2.8.3现场测评活动</w:t>
      </w:r>
      <w:bookmarkEnd w:id="32"/>
      <w:bookmarkEnd w:id="33"/>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现场测评活动阶段，为顺利完成测评任务，供应商应提供现场测评授权书、测评指导书、测评结果记录表格，并详细、准确、规范的记录测评证据，并保留电子证据，以便为后期的结果分析和报告编制准备充足的资料。</w:t>
      </w:r>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通过项目启动会议，供应商严格按照省中心工作要求，使用省中心提供的测评电脑等工具进入信息系统进行现场信息系统调查；根据各信息系统现场调查的结果，分别对各信息系统的物理、主机、网络、应用、数据、管理等方面进行安全测评，并且通过技术手段对信息系统测评对象实施安全测试和扫描，获取信息系统最真实的数据。此外供应商应该利用风险评估的方法对信息系统进行合理的信息系统风险分析。</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4" w:name="_Toc12179"/>
      <w:bookmarkStart w:id="35" w:name="_Toc17808271"/>
      <w:r>
        <w:rPr>
          <w:rFonts w:hint="eastAsia" w:ascii="仿宋" w:hAnsi="仿宋" w:eastAsia="仿宋" w:cs="仿宋"/>
          <w:color w:val="000000" w:themeColor="text1"/>
          <w:kern w:val="2"/>
          <w:sz w:val="32"/>
          <w:szCs w:val="32"/>
          <w:lang w:val="en-US" w:eastAsia="zh-CN" w:bidi="ar-SA"/>
          <w14:textFill>
            <w14:solidFill>
              <w14:schemeClr w14:val="tx1"/>
            </w14:solidFill>
          </w14:textFill>
        </w:rPr>
        <w:t>2.8.4分析与报告编制活动</w:t>
      </w:r>
      <w:bookmarkEnd w:id="34"/>
      <w:bookmarkEnd w:id="35"/>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分析与报告编制活动中，供应商应通过单项测评结果判定、单元测评结果判定、整体测评、风险分析、等级测评结论等几项内容来编制测评报告。</w:t>
      </w:r>
    </w:p>
    <w:p>
      <w:pPr>
        <w:pStyle w:val="255"/>
        <w:pageBreakBefore w:val="0"/>
        <w:widowControl w:val="0"/>
        <w:kinsoku/>
        <w:wordWrap/>
        <w:overflowPunct/>
        <w:topLinePunct w:val="0"/>
        <w:bidi w:val="0"/>
        <w:snapToGrid/>
        <w:spacing w:line="620" w:lineRule="exact"/>
        <w:ind w:firstLine="48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供应商应该根据现场测评实施获取的材料、信息、记录等进行统一汇总，分析得到单项测评结果，根据得到的单项测评结果计算得到单元测评结果。在单元测评的基础上，进一步分析信息系统已有安全措施的整体相关性，对信息系统实施整体测评，主要包括安全控制点间、层面间和区域间相互作用的安全测评，并且结合标准和行业特殊需求合理分析相关数据形成最终的等级测评结论，出具符合信息系统安全等级保护要求的信息安全等级保护测评符合性报告《测评报告》及对不符合信息安全等级保护有关管理规范和技术标准出具可行的、有效的信息系统《整改建议》。</w:t>
      </w:r>
    </w:p>
    <w:p>
      <w:pPr>
        <w:pStyle w:val="4"/>
        <w:pageBreakBefore w:val="0"/>
        <w:widowControl w:val="0"/>
        <w:kinsoku/>
        <w:wordWrap/>
        <w:overflowPunct/>
        <w:topLinePunct w:val="0"/>
        <w:bidi w:val="0"/>
        <w:snapToGrid/>
        <w:spacing w:before="0" w:after="0" w:line="62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6" w:name="_Toc17808272"/>
      <w:bookmarkStart w:id="37" w:name="_Toc8907"/>
      <w:r>
        <w:rPr>
          <w:rFonts w:hint="eastAsia" w:ascii="仿宋" w:hAnsi="仿宋" w:eastAsia="仿宋" w:cs="仿宋"/>
          <w:color w:val="000000" w:themeColor="text1"/>
          <w:kern w:val="2"/>
          <w:sz w:val="32"/>
          <w:szCs w:val="32"/>
          <w:lang w:val="en-US" w:eastAsia="zh-CN" w:bidi="ar-SA"/>
          <w14:textFill>
            <w14:solidFill>
              <w14:schemeClr w14:val="tx1"/>
            </w14:solidFill>
          </w14:textFill>
        </w:rPr>
        <w:t>2.8.5</w:t>
      </w:r>
      <w:bookmarkEnd w:id="36"/>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测评内容</w:t>
      </w:r>
      <w:bookmarkEnd w:id="37"/>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网络安全等级保护测评内容依据国家等保2.0相关标准实施，主要内容具体如下：</w:t>
      </w:r>
    </w:p>
    <w:p>
      <w:pPr>
        <w:pStyle w:val="5"/>
        <w:pageBreakBefore w:val="0"/>
        <w:widowControl w:val="0"/>
        <w:tabs>
          <w:tab w:val="left" w:pos="709"/>
          <w:tab w:val="left" w:pos="1276"/>
          <w:tab w:val="left" w:pos="1418"/>
        </w:tabs>
        <w:kinsoku/>
        <w:wordWrap/>
        <w:overflowPunct/>
        <w:topLinePunct w:val="0"/>
        <w:bidi w:val="0"/>
        <w:snapToGrid/>
        <w:spacing w:before="0" w:after="0"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38" w:name="_Toc33883588"/>
      <w:r>
        <w:rPr>
          <w:rFonts w:hint="eastAsia" w:ascii="仿宋" w:hAnsi="仿宋" w:eastAsia="仿宋" w:cs="仿宋"/>
          <w:color w:val="000000" w:themeColor="text1"/>
          <w:kern w:val="2"/>
          <w:sz w:val="32"/>
          <w:szCs w:val="32"/>
          <w:lang w:val="en-US" w:eastAsia="zh-CN" w:bidi="ar-SA"/>
          <w14:textFill>
            <w14:solidFill>
              <w14:schemeClr w14:val="tx1"/>
            </w14:solidFill>
          </w14:textFill>
        </w:rPr>
        <w:t>2.8.5.1 通用安全要求</w:t>
      </w:r>
      <w:bookmarkEnd w:id="38"/>
    </w:p>
    <w:p>
      <w:pPr>
        <w:pStyle w:val="6"/>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2.8.5.1.1 安全物理环境测评</w:t>
      </w:r>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Ansi="宋体" w:cs="Arial"/>
          <w:color w:val="000000" w:themeColor="text1"/>
          <w:sz w:val="24"/>
          <w:szCs w:val="24"/>
          <w14:textFill>
            <w14:solidFill>
              <w14:schemeClr w14:val="tx1"/>
            </w14:solidFill>
          </w14:textFill>
        </w:rPr>
        <w:t>1</w:t>
      </w:r>
      <w:r>
        <w:rPr>
          <w:rFonts w:hint="eastAsia" w:hAnsi="宋体" w:cs="Arial"/>
          <w:color w:val="000000" w:themeColor="text1"/>
          <w:sz w:val="24"/>
          <w:szCs w:val="24"/>
          <w14:textFill>
            <w14:solidFill>
              <w14:schemeClr w14:val="tx1"/>
            </w14:solidFill>
          </w14:textFill>
        </w:rPr>
        <w:t>安全物理环境（通用要求）测评指标</w:t>
      </w:r>
    </w:p>
    <w:tbl>
      <w:tblPr>
        <w:tblStyle w:val="5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309"/>
        <w:gridCol w:w="659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57"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1309"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6593"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748" w:type="dxa"/>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物理位置选择</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a）机房场地应选择在具有防震、防风和防雨等能力的建筑内；</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b）机房场地应避免设在建筑物的顶层或地下室，否则应加强防水和防潮措施。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309"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物理访问控制</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a）机房出入口应安排专人值守或配置电子门禁系统，控制、鉴别和记录进入的人员。</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防盗窃和防破坏</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a）应将设备或主要部件进行固定，并设置明显的不易除去的标识；</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b）应将通信线缆铺设在隐蔽安全处。</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c）应设置机房防盗报警系统或设置有专人值守的视频监控系统。</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防雷击</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a）应将各类机柜、设施和设备等通过接地系统安全接地。</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b）应采取措施防止感应雷，例如设置防雷保安器或过压保护装置等。</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防火</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a）机房应设置火灾自动消防系统，能够自动检测火情、自动报警，并自动灭火；</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b）机房及相关的工作房间和辅助房应采用具有耐火等级的建筑材料。</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c）应对机房划分区域进行管理，区域和区域之间设置隔离防火措施。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防水和防潮</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a）应采取措施防止雨水通过机房窗户、屋顶和墙壁渗透；</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b）应采取措施防止机房内水蒸气结露和地下积水的转移与渗透。</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c）应安装对水敏感的检测仪表或元件，对机房进行防水检测和报警。</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防静电</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a）应采用防静电地板或地面并采用必要的接地防静电措施。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b）应采取措施防止静电的产生，例如采用静电消除器、佩戴防静电手环等。</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309"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温湿度控制</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a）应设置温湿度自动调节设施，使机房温湿度的变化在设备运行所允许的范围之内。</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电力供应</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a）应在机房供电线路上配置稳压器和过电压防护设备；</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b）应提供短期的备用电力供应，至少满足设备在断电情况下的正常运行要求。</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c）应设置冗余或并行的电力电缆线路为计算机系统供电。</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309" w:type="dxa"/>
            <w:vMerge w:val="restar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电磁防护</w:t>
            </w: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a）电源线和通信线缆应隔离铺设，避免互相干扰；</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57" w:type="dxa"/>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309" w:type="dxa"/>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6593" w:type="dxa"/>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b）应对关键设备实施电磁屏蔽。</w:t>
            </w:r>
          </w:p>
        </w:tc>
        <w:tc>
          <w:tcPr>
            <w:tcW w:w="748" w:type="dxa"/>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安全物理环境测评中，测评人员将以文档查阅与分析和现场观测等检查方法为主，访谈为辅来获取测评证据（如机房的温湿度情况），用于评测机房的安全保护能力。</w:t>
      </w:r>
    </w:p>
    <w:p>
      <w:pPr>
        <w:pageBreakBefore w:val="0"/>
        <w:kinsoku/>
        <w:wordWrap/>
        <w:overflowPunct/>
        <w:topLinePunct w:val="0"/>
        <w:bidi w:val="0"/>
        <w:spacing w:line="620" w:lineRule="exact"/>
        <w:ind w:firstLine="480" w:firstLineChars="200"/>
        <w:textAlignment w:val="auto"/>
        <w:rPr>
          <w:rFonts w:hAnsi="宋体" w:cs="Arial"/>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安全物理环境测评涉及的测评对象主要为机房和相关的安全文档。</w:t>
      </w:r>
      <w:bookmarkStart w:id="39" w:name="_Toc33883589"/>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r>
        <w:rPr>
          <w:rFonts w:ascii="宋体" w:hAnsi="宋体" w:eastAsia="宋体"/>
          <w:b w:val="0"/>
          <w:bCs w:val="0"/>
          <w:color w:val="000000" w:themeColor="text1"/>
          <w:sz w:val="24"/>
          <w:szCs w:val="24"/>
          <w14:textFill>
            <w14:solidFill>
              <w14:schemeClr w14:val="tx1"/>
            </w14:solidFill>
          </w14:textFill>
        </w:rPr>
        <w:t xml:space="preserve">7.5.1.2 </w:t>
      </w:r>
      <w:r>
        <w:rPr>
          <w:rFonts w:hint="eastAsia" w:ascii="宋体" w:hAnsi="宋体" w:eastAsia="宋体"/>
          <w:b w:val="0"/>
          <w:bCs w:val="0"/>
          <w:color w:val="000000" w:themeColor="text1"/>
          <w:sz w:val="24"/>
          <w:szCs w:val="24"/>
          <w14:textFill>
            <w14:solidFill>
              <w14:schemeClr w14:val="tx1"/>
            </w14:solidFill>
          </w14:textFill>
        </w:rPr>
        <w:t>安全通信网络测评</w:t>
      </w:r>
      <w:bookmarkEnd w:id="39"/>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2安全通信网络（通用要求）测评指标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181"/>
        <w:gridCol w:w="6063"/>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0" w:type="auto"/>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93"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557"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93"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网络架构</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a）应保证网络设备的业务处理能力满足业务高峰期需要；</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b）应保证网络各个部分的带宽满足业务高峰期需要；</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c）应划分不同的网络区域，并按照方便管理和控制的原则为各网络区域分配地址；</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d）应避免将重要网络区域部署在边界处，重要网络区域与其他网络区域之间应采取可靠的技术隔离手段；</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e）应提供通信线路、关键网络设备和关键计算设备的硬件冗余，保证系统的可用性。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93"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通信传输</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a）应采用校验技术或密码技术保证通信过程中数据的完整性；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93"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b）应采用密码技术保证通信过程中数据的保密性。</w:t>
            </w:r>
          </w:p>
        </w:tc>
        <w:tc>
          <w:tcPr>
            <w:tcW w:w="476"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93"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可信验证</w:t>
            </w:r>
          </w:p>
        </w:tc>
        <w:tc>
          <w:tcPr>
            <w:tcW w:w="3557"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通信设备的系统引导程序、系统程序、重要配置参数和通信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安全通信网络测评中，技术检测人员将以安全配置核查、人工验证和网络监听与分析等方法为主，文档查阅与分析等方法为辅来获取必要证据，用于评测系统的安全保护能力。</w:t>
      </w:r>
    </w:p>
    <w:p>
      <w:pPr>
        <w:pStyle w:val="2"/>
        <w:pageBreakBefore w:val="0"/>
        <w:kinsoku/>
        <w:wordWrap/>
        <w:overflowPunct/>
        <w:topLinePunct w:val="0"/>
        <w:bidi w:val="0"/>
        <w:spacing w:line="620" w:lineRule="exact"/>
        <w:ind w:firstLine="480"/>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0" w:name="_Toc33883590"/>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3 </w:t>
      </w:r>
      <w:r>
        <w:rPr>
          <w:rFonts w:hint="eastAsia" w:ascii="宋体" w:hAnsi="宋体" w:eastAsia="宋体"/>
          <w:b w:val="0"/>
          <w:bCs w:val="0"/>
          <w:color w:val="000000" w:themeColor="text1"/>
          <w:sz w:val="24"/>
          <w:szCs w:val="24"/>
          <w14:textFill>
            <w14:solidFill>
              <w14:schemeClr w14:val="tx1"/>
            </w14:solidFill>
          </w14:textFill>
        </w:rPr>
        <w:t>安全区域边界测评</w:t>
      </w:r>
      <w:bookmarkEnd w:id="40"/>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Ansi="宋体" w:cs="Arial"/>
          <w:color w:val="000000" w:themeColor="text1"/>
          <w:sz w:val="24"/>
          <w:szCs w:val="24"/>
          <w14:textFill>
            <w14:solidFill>
              <w14:schemeClr w14:val="tx1"/>
            </w14:solidFill>
          </w14:textFill>
        </w:rPr>
        <w:t>3</w:t>
      </w:r>
      <w:r>
        <w:rPr>
          <w:rFonts w:hint="eastAsia" w:hAnsi="宋体" w:cs="Arial"/>
          <w:color w:val="000000" w:themeColor="text1"/>
          <w:sz w:val="24"/>
          <w:szCs w:val="24"/>
          <w14:textFill>
            <w14:solidFill>
              <w14:schemeClr w14:val="tx1"/>
            </w14:solidFill>
          </w14:textFill>
        </w:rPr>
        <w:t>安全区域边界（通用要求）测评指标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57"/>
        <w:gridCol w:w="6044"/>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7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54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边界</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防护</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a）应保证跨越边界的访问和数据流通过边界设备提供的受控接口进行通信；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b）应能够对非授权设备私自联到内部网络的行为进行检查或限制；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c）应能够对内部用户非授权联到外部网络的行为进行检查或限制；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d）应限制无线网络的使用，保证无线网络通过受控的边界设备接入内部网络。</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a）应在网络边界或区域之间根据访问控制策略设置访问控制规则，默认情况下除允许通信外受控接口拒绝所有通信；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b）应删除多余或无效的访问控制规则，优化访问控制列表，并保证访问控制规则数量最小化；</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c）应对源地址、目的地址、源端口、目的端口和协议等进行检查，以允许/拒绝数据包进出；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d）应能根据会话状态信息为进出数据流提供明确的允许/拒绝访问的能力；</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e）应对进出网络的数据流实现基于应用协议和应用内容的访问控制。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a）应在关键网络节点处检测、防止或限制从外部发起的网络攻击行为；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b）应在关键网络节点处检测、防止或限制从内部发起的网络攻击行为；</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c）应采取技术措施对网络行为进行分析，实现对网络攻击特别是新型网络攻击行为的分析；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d）当检测到攻击行为时，记录攻击源IP、攻击类型、攻击目标、攻击时间，在发生严重入侵事件时应提供报警。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恶意代码和垃圾邮件防范</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a）应在关键网络节点处对恶意代码进行检测和清除，并维护恶意代码防护机制的升级和更新；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b）应在关键网络节点处对垃圾邮件进行检测和防护，并维护垃圾邮件防护机制的升级和更新。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a）应在网络边界、重要网络节点进行安全审计，审计覆盖到每个用户，对重要的用户行为和重要安全事件进行审计；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b）审计记录应包括事件的日期和时间、用户、事件类型、事件是否成功及其他与审计相关的信息；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c）应对审计记录进行保护，定期备份，避免受到未预期的删除、修改或覆盖等；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d）应能对远程访问的用户行为、访问互联网的用户行为等单独进行行为审计和数据分析。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679"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验证</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s="Arial"/>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安全区域边界测评中，技术检测人员将以安全配置核查、人工验证和网络监听与分析等方法为主，文档查阅与分析等方法为辅来获取必要证据，用于评测系统的网络安全保护能力。</w:t>
      </w:r>
      <w:bookmarkStart w:id="41" w:name="_Toc33883591"/>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8</w:t>
      </w:r>
      <w:r>
        <w:rPr>
          <w:rFonts w:ascii="宋体" w:hAnsi="宋体" w:eastAsia="宋体"/>
          <w:b w:val="0"/>
          <w:bCs w:val="0"/>
          <w:color w:val="000000" w:themeColor="text1"/>
          <w:sz w:val="24"/>
          <w:szCs w:val="24"/>
          <w14:textFill>
            <w14:solidFill>
              <w14:schemeClr w14:val="tx1"/>
            </w14:solidFill>
          </w14:textFill>
        </w:rPr>
        <w:t xml:space="preserve">.5.1.4 </w:t>
      </w:r>
      <w:r>
        <w:rPr>
          <w:rFonts w:hint="eastAsia" w:ascii="宋体" w:hAnsi="宋体" w:eastAsia="宋体"/>
          <w:b w:val="0"/>
          <w:bCs w:val="0"/>
          <w:color w:val="000000" w:themeColor="text1"/>
          <w:sz w:val="24"/>
          <w:szCs w:val="24"/>
          <w14:textFill>
            <w14:solidFill>
              <w14:schemeClr w14:val="tx1"/>
            </w14:solidFill>
          </w14:textFill>
        </w:rPr>
        <w:t>安全计算环境测评</w:t>
      </w:r>
      <w:bookmarkEnd w:id="41"/>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4安全计算环境（通用要求）测评指标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029"/>
        <w:gridCol w:w="6172"/>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0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621"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身份</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鉴别</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a）应对登录的用户进行身份标识和鉴别，身份标识具有唯一性，身份鉴别信息具有复杂度要求并定期更换；</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b）应具有登录失败处理功能，应配置并启用结束会话、限制非法登录次数和当登录连接超时自动退出等相关措施；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c）当进行远程管理时，应采取必要措施防止鉴别信息在网络传输过程中被窃听；</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d）应采用口令、密码技术、生物技术等两种或两种以上组合的鉴别技术对用户进行身份鉴别，且其中一种鉴别技术至少应使用密码技术来实现。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a）应对登录的用户分配账户和权限；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b）应重命名或删除默认账户，修改默认账户的默认口令；</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c）应及时删除或停用多余的、过期的账户，避免共享账户的存在；</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d）应授予管理用户所需的最小权限，实现管理用户的权限分离；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e）应由授权主体配置访问控制策略，访问控制策略规定主体对客体的访问规则；</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f）访问控制的粒度应达到主体为用户级或进程级，客体为文件、数据库表级；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g）应对重要主体和客体设置安全标记，并控制主体对有安全标记信息资源的访问。</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a）应启用安全审计功能，审计覆盖到每个用户，对重要的用户行为和重要安全事件进行审计；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b）审计记录应包括事件的日期和时间、用户、事件类型、事件是否成功及其他与审计相关的信息；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c）应对审计记录进行保护，定期备份，避免受到未预期的删除、修改或覆盖等；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d）应对审计进程进行保护，防止未经授权的中断。</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a）应遵循最小安装的原则，仅安装需要的组件和应用程序；</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b）应关闭不需要的系统服务、默认共享和高危端口；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c）应通过设定终端接入方式或网络地址范围对通过网络进行管理的管理终端进行限制；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d）应提供数据有效性检验功能，保证通过人机接口输入或通过通信接口输入的内容符合系统设定要求；</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e）应能发现可能存在的已知漏洞，并在经过充分测试评估后，及时修补漏洞；</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f）应能够检测到对重要节点进行入侵的行为，并在发生严重入侵事件时提供报警。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60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可信验证</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可基于可信根对计算设备的系统引导程序、系统程序、重要配置参数和应用程序等进行可信验证，并在应用程序的关键执行环节进行动态可信验证，在检测到其可信性受到破坏后进行报警，并将验证结果形成审计记录送至安全管理中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完整性</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a）应采用校验技术或密码技术保证重要数据在传输过程中的完整性，包括但不限于鉴别数据、重要业务数据、重要审计数据、重要配置数据、重要视频数据和重要个人信息等；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b）应采用校验技术或密码技术保证重要数据在存储过程中的完整性，包括但不限于鉴别数据、重要业务数据、重要审计数据、重要配置数据、重要视频数据和重要个人信息等。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保密性</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a）应采用密码技术保证重要数据在传输过程中的保密性，包括但不限于鉴别数据、重要业务数据和重要个人信息等；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b）应采用密码技术保证重要数据在存储过程中的保密性，包括但不限于鉴别数据、重要业务数据和重要个人信息等。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60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备份</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恢复</w:t>
            </w: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a）应提供重要数据的本地数据备份与恢复功能；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b）应提供异地实时备份功能，利用通信网络将重要数据实时备份至备份场地；</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604" w:type="pct"/>
            <w:vMerge w:val="continue"/>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p>
        </w:tc>
        <w:tc>
          <w:tcPr>
            <w:tcW w:w="3621"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c）应提供重要数据处理系统的热冗余，保证系统的高可用性。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计算环境测评中，技术检测人员主要关注服务器操作系统、数据库管理系统、网络设备、安全设备以及应用系统在身份鉴别、访问控制、安全审计等方面的安全保护能力，将以安全配置核查和人工验证为主，文档查阅和分析为辅来获取证据（如相关措施的部署和配置情况），用于评测系统的安全保护能力。</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2" w:name="_Toc33883592"/>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5 </w:t>
      </w:r>
      <w:r>
        <w:rPr>
          <w:rFonts w:hint="eastAsia" w:ascii="宋体" w:hAnsi="宋体" w:eastAsia="宋体"/>
          <w:b w:val="0"/>
          <w:bCs w:val="0"/>
          <w:color w:val="000000" w:themeColor="text1"/>
          <w:sz w:val="24"/>
          <w:szCs w:val="24"/>
          <w14:textFill>
            <w14:solidFill>
              <w14:schemeClr w14:val="tx1"/>
            </w14:solidFill>
          </w14:textFill>
        </w:rPr>
        <w:t>安全管理中心测评</w:t>
      </w:r>
      <w:bookmarkEnd w:id="42"/>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表</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5安全管理中心（通用要求）测评指标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57"/>
        <w:gridCol w:w="6044"/>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67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子类</w:t>
            </w:r>
          </w:p>
        </w:tc>
        <w:tc>
          <w:tcPr>
            <w:tcW w:w="354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系统</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a）应对系统管理员进行身份鉴别，只允许其通过特定的命令或操作界面进行系统管理操作，并对这些操作进行审计；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b）应通过系统管理员对系统的资源和运行进行配置、控制和管理，包括用户身份、系统资源配置、系统加载和启动、系统运行的异常处理、数据和设备的备份与恢复等。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a）应对审计管理员进行身份鉴别，只允许其通过特定的命令或操作界面进行安全审计操作，并对这些操作进行审计；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b）应通过审计管理员对审计记录应进行分析，并根据分析结果进行处理，包括根据安全审计策略对审计记录进行存储、管理和查询等。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a）应对安全管理员进行身份鉴别，只允许其通过特定的命令或操作界面进行安全管理操作，并对这些操作进行审计；</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b）应通过安全管理员对系统中的安全策略进行配置，包括安全参数的设置，主体、客体进行统一安全标记，对主体进行授权，配置可信验证策略等。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679"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集中</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管控</w:t>
            </w: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a）应划分出特定的管理区域，对分布在网络中的安全设备或安全组件进行管控；</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b）应能够建立一条安全的信息传输路径，对网络中的安全设备或安全组件进行管理；</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c）应对网络链路、安全设备、网络设备和服务器等的运行状况进行集中监测；</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d）应对分散在各个设备上的审计数据进行收集汇总和集中分析，并保证审计记录的留存时间符合法律法规要求；</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e）应对安全策略、恶意代码、补丁升级等安全相关事项进行集中管理；</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679"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546"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f）应能对网络中发生的各类安全事件进行识别、报警和分析。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安全管理中心测评中，技术检测人员将以安全配置核查和人工验证为主，文档查阅和分析为辅来获取证据（如相关措施的部署和配置情况），用于评测系统的安全保护能力。</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3" w:name="_Toc33883593"/>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6 </w:t>
      </w:r>
      <w:r>
        <w:rPr>
          <w:rFonts w:hint="eastAsia" w:ascii="宋体" w:hAnsi="宋体" w:eastAsia="宋体"/>
          <w:b w:val="0"/>
          <w:bCs w:val="0"/>
          <w:color w:val="000000" w:themeColor="text1"/>
          <w:sz w:val="24"/>
          <w:szCs w:val="24"/>
          <w14:textFill>
            <w14:solidFill>
              <w14:schemeClr w14:val="tx1"/>
            </w14:solidFill>
          </w14:textFill>
        </w:rPr>
        <w:t>安全管理制度测评</w:t>
      </w:r>
      <w:bookmarkEnd w:id="43"/>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6安全管理制度（通用要求）测评指标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285"/>
        <w:gridCol w:w="591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0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75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47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75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安全策略</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a）应制定网络安全工作的总体方针和安全策略，阐明机构安全工作的总体目标、范围、原则和安全框架等。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管理制度</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a）应对安全管理活动中的各类管理内容建立安全管理制度；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b）应对管理人员或操作人员执行的日常管理操作建立操作规程；</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c）应形成由安全策略、管理制度、操作规程、记录表单等构成的全面的安全管理制度体系。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制定和发布</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a）应指定或授权专门的部门或人员负责安全管理制度的制定；</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b）安全管理制度应通过正式、有效的方式发布，并进行版本控制。</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754" w:type="pc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评审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和修订</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a）应定期对安全管理制度的合理性和适用性进行论证和审定，对存在不足或需要改进的安全管理制度进行修订。</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类测评中，技术检测人员将以文档查看和分析为主，访谈为辅获取证据，来评测项目委托单位安全管理类措施的落实情况。安全管理类测评主要涉及安全主管、安全管理人员、管理制度文档、各类操作规程文件和操作记录等。</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4" w:name="_Toc33883594"/>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7 </w:t>
      </w:r>
      <w:r>
        <w:rPr>
          <w:rFonts w:hint="eastAsia" w:ascii="宋体" w:hAnsi="宋体" w:eastAsia="宋体"/>
          <w:b w:val="0"/>
          <w:bCs w:val="0"/>
          <w:color w:val="000000" w:themeColor="text1"/>
          <w:sz w:val="24"/>
          <w:szCs w:val="24"/>
          <w14:textFill>
            <w14:solidFill>
              <w14:schemeClr w14:val="tx1"/>
            </w14:solidFill>
          </w14:textFill>
        </w:rPr>
        <w:t>安全管理机构测评</w:t>
      </w:r>
      <w:bookmarkEnd w:id="44"/>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7安全管理机构（通用要求）测评指标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285"/>
        <w:gridCol w:w="591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754"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47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岗位设置</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a）应成立指导和管理网络安全工作的委员会或领导小组，其最高领导由单位主管领导担任或授权；</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b）应设立网络安全管理工作的职能部门，设立安全主管、安全管理各个方面的负责人岗位，并定义各负责人的职责；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c）应设立系统管理员、审计管理员和安全管理员等岗位，并定义部门及各个工作岗位的职责。</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人员配备</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a）应配备一定数量的系统管理员、审计管理员和安全管理员等；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b）应配备专职安全管理员，不可兼任。</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授权</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和审批</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a）应根据各个部门和岗位的职责明确授权审批事项、审批部门和批准人等；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b）应针对系统变更、重要操作、物理访问和系统接入等事项建立审批程序，按照审批程序执行审批过程，对重要活动建立逐级审批制度；</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c）应定期审查审批事项，及时更新需授权和审批的项目、审批部门和审批人等信息。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沟通</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和合作</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a）应加强各类管理人员、组织内部机构和网络安全管理部门之间的合作与沟通，定期召开协调会议，共同协作处理网络安全问题；</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b）应加强与网络安全职能部门、各类供应商、业界专家及安全组织的合作与沟通；</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c）应建立外联单位联系列表，包括外联单位名称、合作内容、联系人和联系方式等信息。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754"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审核</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和检查</w:t>
            </w: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a）应定期进行常规安全检查，检查内容包括系统日常运行、系统漏洞和数据备份等情况；</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b）应定期进行全面安全检查，检查内容包括现有安全技术措施的有效性、安全配置与安全策略的一致性、安全管理制度的执行情况等；</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00"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754"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47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c）应制定安全检查表格实施安全检查，汇总安全检查数据，形成安全检查报告，并对安全检查结果进行通报。</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ascii="华文仿宋" w:hAnsi="华文仿宋" w:eastAsia="华文仿宋" w:cs="宋体"/>
                <w:color w:val="000000" w:themeColor="text1"/>
                <w:szCs w:val="21"/>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安全管理机构测评主要涉及安全主管、相关管理制度以及相关工作</w:t>
      </w:r>
      <w:r>
        <w:rPr>
          <w:rFonts w:hAnsi="宋体"/>
          <w:color w:val="000000" w:themeColor="text1"/>
          <w:sz w:val="24"/>
          <w:szCs w:val="24"/>
          <w14:textFill>
            <w14:solidFill>
              <w14:schemeClr w14:val="tx1"/>
            </w14:solidFill>
          </w14:textFill>
        </w:rPr>
        <w:t>/会议记录等技术检测对象。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5" w:name="_Toc33883595"/>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8 </w:t>
      </w:r>
      <w:r>
        <w:rPr>
          <w:rFonts w:hint="eastAsia" w:ascii="宋体" w:hAnsi="宋体" w:eastAsia="宋体"/>
          <w:b w:val="0"/>
          <w:bCs w:val="0"/>
          <w:color w:val="000000" w:themeColor="text1"/>
          <w:sz w:val="24"/>
          <w:szCs w:val="24"/>
          <w14:textFill>
            <w14:solidFill>
              <w14:schemeClr w14:val="tx1"/>
            </w14:solidFill>
          </w14:textFill>
        </w:rPr>
        <w:t>安全管理人员测评</w:t>
      </w:r>
      <w:bookmarkEnd w:id="45"/>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8安全管理人员（通用要求）测评指标</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542"/>
        <w:gridCol w:w="565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5"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0"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6" w:type="pct"/>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人员录用</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a）应指定或授权专门的部门或人员负责人员录用；</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b）应对被录用人员的身份、安全背景、专业资格或资质等进行审查，对其所具有的技术技能进行考核；</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c）应与被录用人员签署保密协议，与关键岗位人员签署岗位责任协议。</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人员离岗</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a）应及时终止离岗人员的所有访问权限，取回各种身份证件、钥匙、徽章等以及机构提供的软硬件设备；</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b）应办理严格的调离手续，并承诺调离后的保密义务后方可离开。</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安全意识</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教育和培训</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a）应对各类人员进行安全意识教育和岗位技能培训，并告知相关的安全责任和惩戒措施；</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b）应针对不同岗位制定不同的培训计划，对安全基础知识、岗位操作规程等进行培训；</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c）应定期对不同岗位的人员进行技能考核。</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5" w:type="pct"/>
            <w:vMerge w:val="restart"/>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外部人员</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访问管理</w:t>
            </w: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a）应在外部人员物理访问受控区域前先提出书面申请，批准后由专人全程陪同，并登记备案；</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b）应在外部人员接入受控网络访问系统前先提出书面申请，批准后由专人开设账户、分配权限，并登记备案；</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c）外部人员离场后应及时清除其所有的访问权限；</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99"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5" w:type="pct"/>
            <w:vMerge w:val="continue"/>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0" w:type="pct"/>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d）获得系统访问授权的外部人员应签署保密协议，不得进行非授权操作，不得复制和泄露任何敏感信息。</w:t>
            </w:r>
          </w:p>
        </w:tc>
        <w:tc>
          <w:tcPr>
            <w:tcW w:w="476" w:type="pct"/>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安全管理人员测评主要涉及安全主管、相关管理制度以及相关工作</w:t>
      </w:r>
      <w:r>
        <w:rPr>
          <w:rFonts w:hAnsi="宋体"/>
          <w:color w:val="000000" w:themeColor="text1"/>
          <w:sz w:val="24"/>
          <w:szCs w:val="24"/>
          <w14:textFill>
            <w14:solidFill>
              <w14:schemeClr w14:val="tx1"/>
            </w14:solidFill>
          </w14:textFill>
        </w:rPr>
        <w:t>/会议记录等检测对象。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6" w:name="_Toc33883596"/>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.5.1.</w:t>
      </w:r>
      <w:r>
        <w:rPr>
          <w:rFonts w:ascii="宋体" w:hAnsi="宋体" w:eastAsia="宋体"/>
          <w:b w:val="0"/>
          <w:bCs w:val="0"/>
          <w:color w:val="000000" w:themeColor="text1"/>
          <w:sz w:val="24"/>
          <w:szCs w:val="24"/>
          <w14:textFill>
            <w14:solidFill>
              <w14:schemeClr w14:val="tx1"/>
            </w14:solidFill>
          </w14:textFill>
        </w:rPr>
        <w:t xml:space="preserve">9 </w:t>
      </w:r>
      <w:r>
        <w:rPr>
          <w:rFonts w:hint="eastAsia" w:ascii="宋体" w:hAnsi="宋体" w:eastAsia="宋体"/>
          <w:b w:val="0"/>
          <w:bCs w:val="0"/>
          <w:color w:val="000000" w:themeColor="text1"/>
          <w:sz w:val="24"/>
          <w:szCs w:val="24"/>
          <w14:textFill>
            <w14:solidFill>
              <w14:schemeClr w14:val="tx1"/>
            </w14:solidFill>
          </w14:textFill>
        </w:rPr>
        <w:t>安全建设管理测评</w:t>
      </w:r>
      <w:bookmarkEnd w:id="46"/>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w:t>
      </w:r>
      <w:r>
        <w:rPr>
          <w:rFonts w:hint="eastAsia" w:hAnsi="宋体" w:cs="宋体"/>
          <w:color w:val="000000" w:themeColor="text1"/>
          <w:kern w:val="2"/>
          <w:sz w:val="24"/>
          <w:szCs w:val="24"/>
          <w14:textFill>
            <w14:solidFill>
              <w14:schemeClr w14:val="tx1"/>
            </w14:solidFill>
          </w14:textFill>
        </w:rPr>
        <w:t>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9安全建设管理（通用要求）测评指标</w:t>
      </w:r>
    </w:p>
    <w:tbl>
      <w:tblPr>
        <w:tblStyle w:val="53"/>
        <w:tblW w:w="5000" w:type="pct"/>
        <w:tblInd w:w="0" w:type="dxa"/>
        <w:tblLayout w:type="autofit"/>
        <w:tblCellMar>
          <w:top w:w="0" w:type="dxa"/>
          <w:left w:w="108" w:type="dxa"/>
          <w:bottom w:w="0" w:type="dxa"/>
          <w:right w:w="108" w:type="dxa"/>
        </w:tblCellMar>
      </w:tblPr>
      <w:tblGrid>
        <w:gridCol w:w="506"/>
        <w:gridCol w:w="1544"/>
        <w:gridCol w:w="5664"/>
        <w:gridCol w:w="808"/>
      </w:tblGrid>
      <w:tr>
        <w:tblPrEx>
          <w:tblCellMar>
            <w:top w:w="0" w:type="dxa"/>
            <w:left w:w="108" w:type="dxa"/>
            <w:bottom w:w="0" w:type="dxa"/>
            <w:right w:w="108" w:type="dxa"/>
          </w:tblCellMar>
        </w:tblPrEx>
        <w:trPr>
          <w:trHeight w:val="636" w:hRule="atLeast"/>
        </w:trPr>
        <w:tc>
          <w:tcPr>
            <w:tcW w:w="297" w:type="pct"/>
            <w:tcBorders>
              <w:top w:val="single" w:color="auto" w:sz="8" w:space="0"/>
              <w:left w:val="single" w:color="auto" w:sz="8" w:space="0"/>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6"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3"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4"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定级和备案</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a）应以书面的形式说明保护对象的安全保护等级及确定等级的方法和理由；</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b）应组织相关部门和有关安全技术专家对定级结果的合理性和正确性进行论证和审定；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c）应保证定级结果经过相关部门的批准；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d）应将备案材料报主管部门和相应公安机关备案。</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方案</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设计</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a）应根据安全保护等级选择基本安全措施，依据风险分析的结果补充和调整安全措施；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260"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b）应根据保护对象的安全保护等级及与其他级别保护对象的关系进行安全整体规划和安全方案设计，设计内容应包含密码技术相关内容，并形成配套文件；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c）应组织相关部门和有关安全专家对安全整体规划及其配套文件的合理性和正确性进行论证和审定，经过批准后才能正式实施。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产品采购</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和使用</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a）应确保网络安全产品采购和使用符合国家的有关规定；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b）应确保密码产品与服务的采购和使用符合国家密码管理主管部门的要求；</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c）应预先对产品进行选型测试，确定产品的候选范围，并定期审定和更新候选产品名单。</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自行</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软件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a）应将开发环境与实际运行环境物理分开，测试数据和测试结果受到控制；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b）应制定软件开发管理制度，明确说明开发过程的控制方法和人员行为准则；</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c）应制定代码编写安全规范，要求开发人员参照规范编写代码；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d）应具备软件设计的相关文档和使用指南，并对文档使用进行控制；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e）应保证在软件开发过程中对安全性进行测试，在软件安装前对可能存在的恶意代码进行检测；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f）应对程序资源库的修改、更新、发布进行授权和批准，并严格进行版本控制；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g）应保证开发人员为专职人员，开发人员的开发活动受到控制、监视和审查。</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软件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a）应在软件交付前检测其中可能存在的恶意代码；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b）应保证开发单位提供软件设计文档和使用指南；</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c）应保证开发单位提供软件源代码，并审查软件中可能存在的后门和隐蔽信道。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工程实施</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a）应指定或授权专门的部门或人员负责工程实施过程的管理；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b）应制定安全工程实施方案控制工程实施过程；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c）应通过第三方工程监理控制项目的实施过程。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测试验收</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a）应制订测试验收方案，并依据测试验收方案实施测试验收，形成测试验收报告；</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b）应进行上线前的安全性测试，并出具安全测试报告，安全测试报告应包含密码应用安全性测试相关内容。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系统交付</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a）应制定交付清单，并根据交付清单对所交接的设备、软件和文档等进行清点；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b）应对负责运行维护的技术人员进行相应的技能培训；</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c）应提供建设过程文档和运行维护文档。</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等级测评</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a）应定期进行等级测评，发现不符合相应等级保护标准要求的及时整改；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b）应在发生重大变更或级别发生变化时进行等级测评；</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c）应确保测评机构的选择符合国家有关规定。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服务</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供应商选择</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a）应确保服务供应商的选择符合国家的有关规定；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b）应与选定的服务供应商签订相关协议，明确整个服务供应链各方需履行的网络安全相关义务；</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c）应定期监督、评审和审核服务供应商提供的服务，并对其变更服务内容加以控制。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安全建设管理测评主要涉及系统建设负责人、各类管理制度、操作规程文件和执行过程记录等技术检测对象。</w:t>
      </w: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47" w:name="_Toc33883597"/>
      <w:r>
        <w:rPr>
          <w:rFonts w:hint="eastAsia" w:ascii="宋体" w:hAnsi="宋体"/>
          <w:b w:val="0"/>
          <w:bCs w:val="0"/>
          <w:color w:val="000000" w:themeColor="text1"/>
          <w:sz w:val="24"/>
          <w:szCs w:val="24"/>
          <w:lang w:val="en-US" w:eastAsia="zh-CN"/>
          <w14:textFill>
            <w14:solidFill>
              <w14:schemeClr w14:val="tx1"/>
            </w14:solidFill>
          </w14:textFill>
        </w:rPr>
        <w:t>8</w:t>
      </w:r>
      <w:r>
        <w:rPr>
          <w:rFonts w:ascii="宋体" w:hAnsi="宋体" w:eastAsia="宋体"/>
          <w:b w:val="0"/>
          <w:bCs w:val="0"/>
          <w:color w:val="000000" w:themeColor="text1"/>
          <w:sz w:val="24"/>
          <w:szCs w:val="24"/>
          <w14:textFill>
            <w14:solidFill>
              <w14:schemeClr w14:val="tx1"/>
            </w14:solidFill>
          </w14:textFill>
        </w:rPr>
        <w:t xml:space="preserve">.5.1.10 </w:t>
      </w:r>
      <w:r>
        <w:rPr>
          <w:rFonts w:hint="eastAsia" w:ascii="宋体" w:hAnsi="宋体" w:eastAsia="宋体"/>
          <w:b w:val="0"/>
          <w:bCs w:val="0"/>
          <w:color w:val="000000" w:themeColor="text1"/>
          <w:sz w:val="24"/>
          <w:szCs w:val="24"/>
          <w14:textFill>
            <w14:solidFill>
              <w14:schemeClr w14:val="tx1"/>
            </w14:solidFill>
          </w14:textFill>
        </w:rPr>
        <w:t>安全运维管理测评</w:t>
      </w:r>
      <w:bookmarkEnd w:id="47"/>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1</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测评指标</w:t>
      </w:r>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10</w:t>
      </w:r>
      <w:r>
        <w:rPr>
          <w:rFonts w:hAnsi="宋体" w:cs="Arial"/>
          <w:color w:val="000000" w:themeColor="text1"/>
          <w:sz w:val="24"/>
          <w:szCs w:val="24"/>
          <w14:textFill>
            <w14:solidFill>
              <w14:schemeClr w14:val="tx1"/>
            </w14:solidFill>
          </w14:textFill>
        </w:rPr>
        <w:t xml:space="preserve"> </w:t>
      </w:r>
      <w:r>
        <w:rPr>
          <w:rFonts w:hint="eastAsia" w:hAnsi="宋体" w:cs="Arial"/>
          <w:color w:val="000000" w:themeColor="text1"/>
          <w:sz w:val="24"/>
          <w:szCs w:val="24"/>
          <w14:textFill>
            <w14:solidFill>
              <w14:schemeClr w14:val="tx1"/>
            </w14:solidFill>
          </w14:textFill>
        </w:rPr>
        <w:t>安全运维管理（通用要求）测评指标</w:t>
      </w:r>
    </w:p>
    <w:tbl>
      <w:tblPr>
        <w:tblStyle w:val="53"/>
        <w:tblW w:w="5000" w:type="pct"/>
        <w:tblInd w:w="0" w:type="dxa"/>
        <w:tblLayout w:type="fixed"/>
        <w:tblCellMar>
          <w:top w:w="0" w:type="dxa"/>
          <w:left w:w="108" w:type="dxa"/>
          <w:bottom w:w="0" w:type="dxa"/>
          <w:right w:w="108" w:type="dxa"/>
        </w:tblCellMar>
      </w:tblPr>
      <w:tblGrid>
        <w:gridCol w:w="506"/>
        <w:gridCol w:w="1544"/>
        <w:gridCol w:w="5664"/>
        <w:gridCol w:w="808"/>
      </w:tblGrid>
      <w:tr>
        <w:tblPrEx>
          <w:tblCellMar>
            <w:top w:w="0" w:type="dxa"/>
            <w:left w:w="108" w:type="dxa"/>
            <w:bottom w:w="0" w:type="dxa"/>
            <w:right w:w="108" w:type="dxa"/>
          </w:tblCellMar>
        </w:tblPrEx>
        <w:trPr>
          <w:trHeight w:val="636" w:hRule="atLeast"/>
        </w:trPr>
        <w:tc>
          <w:tcPr>
            <w:tcW w:w="297" w:type="pct"/>
            <w:tcBorders>
              <w:top w:val="single" w:color="auto" w:sz="8" w:space="0"/>
              <w:left w:val="single" w:color="auto" w:sz="8" w:space="0"/>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906"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安全子类</w:t>
            </w:r>
          </w:p>
        </w:tc>
        <w:tc>
          <w:tcPr>
            <w:tcW w:w="3323"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测评指标描述</w:t>
            </w:r>
          </w:p>
        </w:tc>
        <w:tc>
          <w:tcPr>
            <w:tcW w:w="474" w:type="pct"/>
            <w:tcBorders>
              <w:top w:val="single" w:color="auto" w:sz="8" w:space="0"/>
              <w:left w:val="nil"/>
              <w:bottom w:val="single" w:color="auto" w:sz="4" w:space="0"/>
              <w:right w:val="single" w:color="auto" w:sz="8" w:space="0"/>
            </w:tcBorders>
            <w:shd w:val="clear" w:color="000000"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环境管理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a）应指定专门的部门或人员负责机房安全，对机房出入进行管理，定期对机房供配电、空调、温湿度控制、消防等设施进行维护管理；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b）应建立机房安全管理制度，对有关物理访问、物品带进出和环境安全等方面的管理作出规定；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c）应不在重要区域接待来访人员，不随意放置含有敏感信息的纸档文件和移动介质等。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资产管理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a）应编制并保存与保护对象相关的资产清单，包括资产责任部门、重要程度和所处位置等内容；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b）应根据资产的重要程度对资产进行标识管理，根据资产的价值选择相应的管理措施；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c）应对信息分类与标识方法作出规定，并对信息的使用、传输和存储等进行规范化管理。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介质管理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a）应将介质存放在安全的环境中，对各类介质进行控制和保护，实行存储环境专人管理，并根据存档介质的目录清单定期盘点；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b）应对介质在物理传输过程中的人员选择、打包、交付等情况进行控制，并对介质的归档和查询等进行登记记录。</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维护</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a）应对各种设备（包括备份和冗余设备）、线路等指定专门的部门或人员定期进行维护管理；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b）应建立配套设施、软硬件维护方面的管理制度，对其维护进行有效的管理，包括明确维护人员的责任、维修和服务的审批、维修过程的监督控制等；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c）信息处理设备应经过审批才能带离机房或办公地点，含有存储介质的设备带出工作环境时其中重要数据应加密；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d）含有存储介质的设备在报废或重用前，应进行完全清除或被安全覆盖，保证该设备上的敏感数据和授权软件无法被恢复重用。</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漏洞和风险管理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a）应采取必要的措施识别安全漏洞和隐患，对发现的安全漏洞和隐患及时进行修补或评估可能的影响后进行修补；</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b）应定期开展安全测评，形成安全测评报告，采取措施应对发现的安全问题。</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网络和系统安全管理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a）应划分不同的管理员角色进行网络和系统的运维管理，明确各个角色的责任和权限；</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b）应指定专门的部门或人员进行账户管理，对申请账户、建立账户、删除账户等进行控制；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c）应建立网络和系统安全管理制度，对安全策略、账户管理、配置管理、日志管理、日常操作、升级与打补丁、口令更新周期等方面作出规定；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d）应制定重要设备的配置和操作手册，依据手册对设备进行安全配置和优化配置等；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e）应详细记录运维操作日志，包括日常巡检工作、运行维护记录、参数的设置和修改等内容；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f）应指定专门的部门或人员对日志、监测和报警数据等进行分析、统计，及时发现可疑行为；</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g）应严格控制变更性运维，经过审批后才可改变连接、安装系统组件或调整配置参数，操作过程中应保留不可更改的审计日志，操作结束后应同步更新配置信息库；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h）应严格控制运维工具的使用，经过审批后才可接入进行操作，操作过程中应保留不可更改的审计日志，操作结束后应删除工具中的敏感数据；</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i）应严格控制远程运维的开通，经过审批后才可开通远程运维接口或通道，操作过程中应保留不可更改的审计日志，操作结束后立即关闭接口或通道；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j）应保证所有与外部的连接均得到授权和批准，应定期检查违反规定无线上网及其他违反网络安全策略的行为。</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恶意代码</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防范管理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a）应提高所有用户的防恶意代码意识，对外来计算机或存储设备接入系统前进行恶意代码检查等；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b）应定期验证防范恶意代码攻击的技术措施的有效性。</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c）应定期检查恶意代码库的升级情况，对截获的恶意代码进行及时分析处理。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配置管理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a）应记录和保存基本配置信息，包括网络拓扑结构、各个设备安装的软件组件、软件组件的版本和补丁信息、各个设备或软件组件的配置参数等；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b）应将基本配置信息改变纳入变更范畴，实施对配置信息改变的控制，并及时更新基本配置信息库。</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密码管理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a）应遵循密码相关国家标准和行业标准；</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b）应使用国家密码管理主管部门认证核准的密码技术和产品。</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变更管理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a）应明确变更需求，变更前根据变更需求制定变更方案，变更方案经过评审、审批后方可实施；</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b）应建立变更的申报和审批控制程序，依据程序控制所有的变更，记录变更实施过程；</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c）应建立中止变更并从失败变更中恢复的程序，明确过程控制方法和人员职责，必要时对恢复过程进行演练。</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备份与恢复管理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a）应识别需要定期备份的重要业务信息、系统数据及软件系统等；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36</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b）应规定备份信息的备份方式、备份频度、存储介质、保存期等；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c）应根据数据的重要性和数据对系统运行的影响，制定数据的备份策略和恢复策略、备份程序和恢复程序等。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38</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安全事件</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处置</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a）应及时向安全管理部门报告所发现的安全弱点和可疑事件；</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b）应制定安全事件报告和处置管理制度，明确不同安全事件的报告、处置和响应流程，规定安全事件的现场处理、事件报告和后期恢复的管理职责等；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40</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c）应在安全事件报告和响应处理过程中，分析和鉴定事件产生的原因，收集证据，记录处理过程，总结经验教训；</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d）对造成系统中断和造成信息泄漏的重大安全事件应采用不同的处理程序和报告程序。</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应急预案</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a）应规定统一的应急预案框架，包括启动预案的条件、应急组织构成、应急资源保障、事后教育和培训等内容；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b）应制定重要事件的应急预案，包括应急处理流程、系统恢复流程等内容；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c）应定期对系统相关的人员进行应急预案培训，并进行应急预案的演练；</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d）应定期对原有的应急预案重新评估，修订完善。</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324"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46</w:t>
            </w:r>
          </w:p>
        </w:tc>
        <w:tc>
          <w:tcPr>
            <w:tcW w:w="9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外包运维</w:t>
            </w:r>
          </w:p>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管理</w:t>
            </w: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a）应确保外包运维服务商的选择符合国家的有关规定；</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636"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47</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b）应与选定的外包运维服务商签订相关的协议，明确约定外包运维的范围、工作内容；</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48</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c）应保证选择的外包运维服务商在技术和管理方面均应具有按照等级保护要求开展安全运维工作的能力，并将能力要求在签订的协议中明确；</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r>
              <w:rPr>
                <w:rFonts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948" w:hRule="atLeast"/>
        </w:trPr>
        <w:tc>
          <w:tcPr>
            <w:tcW w:w="297"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49</w:t>
            </w:r>
          </w:p>
        </w:tc>
        <w:tc>
          <w:tcPr>
            <w:tcW w:w="906"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332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d）应在与外包运维服务商签订的协议中明确所有相关的安全要求，如可能涉及对敏感信息的访问、处理、存储要求，对IT 基础设施中断服务的应急保障要求等。</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三级</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ageBreakBefore w:val="0"/>
        <w:kinsoku/>
        <w:wordWrap/>
        <w:overflowPunct/>
        <w:topLinePunct w:val="0"/>
        <w:bidi w:val="0"/>
        <w:spacing w:line="620" w:lineRule="exact"/>
        <w:ind w:firstLine="480" w:firstLineChars="200"/>
        <w:textAlignment w:val="auto"/>
        <w:rPr>
          <w:rFonts w:hAnsi="宋体" w:cs="宋体"/>
          <w:color w:val="000000" w:themeColor="text1"/>
          <w:kern w:val="2"/>
          <w:sz w:val="24"/>
          <w:szCs w:val="24"/>
          <w14:textFill>
            <w14:solidFill>
              <w14:schemeClr w14:val="tx1"/>
            </w14:solidFill>
          </w14:textFill>
        </w:rPr>
      </w:pPr>
      <w:r>
        <w:rPr>
          <w:rFonts w:hAnsi="宋体" w:cs="宋体"/>
          <w:color w:val="000000" w:themeColor="text1"/>
          <w:kern w:val="2"/>
          <w:sz w:val="24"/>
          <w:szCs w:val="24"/>
          <w14:textFill>
            <w14:solidFill>
              <w14:schemeClr w14:val="tx1"/>
            </w14:solidFill>
          </w14:textFill>
        </w:rPr>
        <w:t>2</w:t>
      </w:r>
      <w:r>
        <w:rPr>
          <w:rFonts w:hint="eastAsia" w:hAnsi="宋体" w:cs="宋体"/>
          <w:color w:val="000000" w:themeColor="text1"/>
          <w:kern w:val="2"/>
          <w:sz w:val="24"/>
          <w:szCs w:val="24"/>
          <w14:textFill>
            <w14:solidFill>
              <w14:schemeClr w14:val="tx1"/>
            </w14:solidFill>
          </w14:textFill>
        </w:rPr>
        <w:t>）</w:t>
      </w:r>
      <w:r>
        <w:rPr>
          <w:rFonts w:hAnsi="宋体" w:cs="宋体"/>
          <w:color w:val="000000" w:themeColor="text1"/>
          <w:kern w:val="2"/>
          <w:sz w:val="24"/>
          <w:szCs w:val="24"/>
          <w14:textFill>
            <w14:solidFill>
              <w14:schemeClr w14:val="tx1"/>
            </w14:solidFill>
          </w14:textFill>
        </w:rPr>
        <w:t xml:space="preserve"> 测评实施</w:t>
      </w:r>
    </w:p>
    <w:p>
      <w:pPr>
        <w:pageBreakBefore w:val="0"/>
        <w:kinsoku/>
        <w:wordWrap/>
        <w:overflowPunct/>
        <w:topLinePunct w:val="0"/>
        <w:bidi w:val="0"/>
        <w:spacing w:line="620" w:lineRule="exact"/>
        <w:ind w:firstLine="480" w:firstLineChars="200"/>
        <w:textAlignment w:val="auto"/>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安全运维管理测评主要涉及安全主管、各类运维人员、各类管理制度、操作规程文件和执行过程记录等技术检测对象。</w:t>
      </w:r>
    </w:p>
    <w:p>
      <w:pPr>
        <w:pStyle w:val="5"/>
        <w:pageBreakBefore w:val="0"/>
        <w:tabs>
          <w:tab w:val="left" w:pos="709"/>
          <w:tab w:val="left" w:pos="1276"/>
          <w:tab w:val="left" w:pos="1418"/>
        </w:tabs>
        <w:kinsoku/>
        <w:wordWrap/>
        <w:overflowPunct/>
        <w:topLinePunct w:val="0"/>
        <w:bidi w:val="0"/>
        <w:spacing w:line="620" w:lineRule="exact"/>
        <w:ind w:left="1276" w:hanging="1134"/>
        <w:textAlignment w:val="auto"/>
        <w:rPr>
          <w:rFonts w:ascii="宋体" w:hAnsi="宋体" w:cs="宋体"/>
          <w:color w:val="000000" w:themeColor="text1"/>
          <w:sz w:val="24"/>
          <w:szCs w:val="24"/>
          <w14:textFill>
            <w14:solidFill>
              <w14:schemeClr w14:val="tx1"/>
            </w14:solidFill>
          </w14:textFill>
        </w:rPr>
      </w:pPr>
      <w:bookmarkStart w:id="48" w:name="_Toc33883598"/>
      <w:r>
        <w:rPr>
          <w:rFonts w:hint="eastAsia" w:ascii="宋体" w:hAnsi="宋体" w:cs="宋体"/>
          <w:color w:val="000000" w:themeColor="text1"/>
          <w:sz w:val="24"/>
          <w:szCs w:val="24"/>
          <w:lang w:val="en-US" w:eastAsia="zh-CN"/>
          <w14:textFill>
            <w14:solidFill>
              <w14:schemeClr w14:val="tx1"/>
            </w14:solidFill>
          </w14:textFill>
        </w:rPr>
        <w:t>8</w:t>
      </w:r>
      <w:r>
        <w:rPr>
          <w:rFonts w:ascii="宋体" w:hAnsi="宋体" w:cs="宋体"/>
          <w:color w:val="000000" w:themeColor="text1"/>
          <w:sz w:val="24"/>
          <w:szCs w:val="24"/>
          <w14:textFill>
            <w14:solidFill>
              <w14:schemeClr w14:val="tx1"/>
            </w14:solidFill>
          </w14:textFill>
        </w:rPr>
        <w:t xml:space="preserve">.5.2 </w:t>
      </w:r>
      <w:r>
        <w:rPr>
          <w:rFonts w:hint="eastAsia" w:ascii="宋体" w:hAnsi="宋体" w:cs="宋体"/>
          <w:color w:val="000000" w:themeColor="text1"/>
          <w:sz w:val="24"/>
          <w:szCs w:val="24"/>
          <w14:textFill>
            <w14:solidFill>
              <w14:schemeClr w14:val="tx1"/>
            </w14:solidFill>
          </w14:textFill>
        </w:rPr>
        <w:t>扩展安全要求</w:t>
      </w:r>
      <w:bookmarkEnd w:id="48"/>
      <w:bookmarkStart w:id="49" w:name="_Toc33883599"/>
    </w:p>
    <w:p>
      <w:pPr>
        <w:pStyle w:val="5"/>
        <w:pageBreakBefore w:val="0"/>
        <w:tabs>
          <w:tab w:val="left" w:pos="709"/>
          <w:tab w:val="left" w:pos="1276"/>
          <w:tab w:val="left" w:pos="1418"/>
        </w:tabs>
        <w:kinsoku/>
        <w:wordWrap/>
        <w:overflowPunct/>
        <w:topLinePunct w:val="0"/>
        <w:bidi w:val="0"/>
        <w:spacing w:line="620" w:lineRule="exact"/>
        <w:ind w:left="1276" w:hanging="1134"/>
        <w:textAlignment w:val="auto"/>
        <w:rPr>
          <w:rFonts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b w:val="0"/>
          <w:bCs w:val="0"/>
          <w:color w:val="000000" w:themeColor="text1"/>
          <w:sz w:val="24"/>
          <w:szCs w:val="24"/>
          <w14:textFill>
            <w14:solidFill>
              <w14:schemeClr w14:val="tx1"/>
            </w14:solidFill>
          </w14:textFill>
        </w:rPr>
        <w:t>.5.2.</w:t>
      </w:r>
      <w:r>
        <w:rPr>
          <w:rFonts w:ascii="宋体" w:hAnsi="宋体"/>
          <w:b w:val="0"/>
          <w:bCs w:val="0"/>
          <w:color w:val="000000" w:themeColor="text1"/>
          <w:sz w:val="24"/>
          <w:szCs w:val="24"/>
          <w14:textFill>
            <w14:solidFill>
              <w14:schemeClr w14:val="tx1"/>
            </w14:solidFill>
          </w14:textFill>
        </w:rPr>
        <w:t xml:space="preserve">1 </w:t>
      </w:r>
      <w:r>
        <w:rPr>
          <w:rFonts w:hint="eastAsia" w:ascii="宋体" w:hAnsi="宋体"/>
          <w:b w:val="0"/>
          <w:bCs w:val="0"/>
          <w:color w:val="000000" w:themeColor="text1"/>
          <w:sz w:val="24"/>
          <w:szCs w:val="24"/>
          <w14:textFill>
            <w14:solidFill>
              <w14:schemeClr w14:val="tx1"/>
            </w14:solidFill>
          </w14:textFill>
        </w:rPr>
        <w:t>安全物理环境测评</w:t>
      </w:r>
      <w:bookmarkEnd w:id="49"/>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表</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11安全物理环境（安全扩展要求）测评指标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81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基础设施位置</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a）应保证云计算基础设施位于中国境内。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无线接入点的物理位置</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a）应为无线接入设备的安装选择合理位置，避免过度覆盖和电磁干扰。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感知节点设备物理防护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a）感知节点设备所处的物理环境应不对感知节点设备造成物理破坏，如挤压、强振动；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b）感知节点设备在工作状态所处物理环境应能正确反映环境状态（如温湿度传感器不能安装在阳光直射区域）；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c）感知节点设备在工作状态所处物理环境应不对感知节点设备的正常工作造成影响，如强干扰、阻挡屏蔽等；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d）关键感知节点设备应具有可供长时间工作的电力供应（关键网关节点设备应具有持久稳定的电力供应能力）。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restart"/>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室外控制设备物理防护</w:t>
            </w: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a）室外控制设备应放置于采用铁板或其他防火材料制作的箱体或装置中并紧固；箱体或装置具有透风、散热、防盗、防雨和防火能力等；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b）室外控制设备放置应远离强电磁干扰、强热源等环境，如无法避免应及时做好应急处置及检修，保证设备正常运行。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a）应保证承载大数据存储、处理和分析的设备机房位于中国境内。</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0" w:name="_Toc33883600"/>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2 </w:t>
      </w:r>
      <w:r>
        <w:rPr>
          <w:rFonts w:hint="eastAsia" w:ascii="宋体" w:hAnsi="宋体" w:eastAsia="宋体"/>
          <w:b w:val="0"/>
          <w:bCs w:val="0"/>
          <w:color w:val="000000" w:themeColor="text1"/>
          <w:sz w:val="24"/>
          <w:szCs w:val="24"/>
          <w14:textFill>
            <w14:solidFill>
              <w14:schemeClr w14:val="tx1"/>
            </w14:solidFill>
          </w14:textFill>
        </w:rPr>
        <w:t>安全通信网络测评</w:t>
      </w:r>
      <w:bookmarkEnd w:id="50"/>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2</w:t>
      </w:r>
      <w:r>
        <w:rPr>
          <w:rFonts w:hint="eastAsia" w:hAnsi="宋体" w:cs="Arial"/>
          <w:color w:val="000000" w:themeColor="text1"/>
          <w:sz w:val="24"/>
          <w:szCs w:val="24"/>
          <w14:textFill>
            <w14:solidFill>
              <w14:schemeClr w14:val="tx1"/>
            </w14:solidFill>
          </w14:textFill>
        </w:rPr>
        <w:t>安全通信网络（安全扩展要求）测评指标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网络架构</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a）应保证云计算平台不承载高于其安全保护等级的业务应用系统；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b）应实现不同云服务客户虚拟网络之间的隔离；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c）应具有根据云服务客户业务需求提供通信传输、边界防护、入侵防范等安全机制的能力；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d）应具有根据云服务客户业务需求自主设置安全策略的能力，包括定义访问路径、选择安全组件、配置安全策略；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e）应提供开放接口或开放性安全服务，允许云服务客户接入第三方安全产品或在云计算平台选择第三方安全服务。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a）工业控制系统与企业其他系统之间应划分为两个区域，区域间应采用单向的技术隔离手段；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b）工业控制系统内部应根据业务特点划分为不同的安全域，安全域之间应采用技术隔离手段；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c）涉及实时控制和数据传输的工业控制系统，应使用独立的网络设备组网，在物理层面上实现与其它数据网及外部公共信息网的安全隔离。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通信传输</w:t>
            </w:r>
          </w:p>
        </w:tc>
        <w:tc>
          <w:tcPr>
            <w:tcW w:w="4701" w:type="dxa"/>
            <w:noWrap/>
            <w:vAlign w:val="center"/>
          </w:tcPr>
          <w:p>
            <w:pPr>
              <w:pageBreakBefore w:val="0"/>
              <w:kinsoku/>
              <w:wordWrap/>
              <w:overflowPunct/>
              <w:topLinePunct w:val="0"/>
              <w:bidi w:val="0"/>
              <w:spacing w:line="620" w:lineRule="exact"/>
              <w:jc w:val="left"/>
              <w:textAlignment w:val="auto"/>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a）在工业控制系统内使用广域网进行控制指令或相关数据交换的应采用加密认证技术手段实现身份认证、访问控制和数据加密传输。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a）应保证大数据平台不承载高于其安全保护等级的大数据应用；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b）应保证大数据平台的管理流量与系统业务流量分离。</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1" w:name="_Toc33883601"/>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3 </w:t>
      </w:r>
      <w:r>
        <w:rPr>
          <w:rFonts w:hint="eastAsia" w:ascii="宋体" w:hAnsi="宋体" w:eastAsia="宋体"/>
          <w:b w:val="0"/>
          <w:bCs w:val="0"/>
          <w:color w:val="000000" w:themeColor="text1"/>
          <w:sz w:val="24"/>
          <w:szCs w:val="24"/>
          <w14:textFill>
            <w14:solidFill>
              <w14:schemeClr w14:val="tx1"/>
            </w14:solidFill>
          </w14:textFill>
        </w:rPr>
        <w:t>安全区域边界测评</w:t>
      </w:r>
      <w:bookmarkEnd w:id="51"/>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3</w:t>
      </w:r>
      <w:r>
        <w:rPr>
          <w:rFonts w:hint="eastAsia" w:hAnsi="宋体" w:cs="Arial"/>
          <w:color w:val="000000" w:themeColor="text1"/>
          <w:sz w:val="24"/>
          <w:szCs w:val="24"/>
          <w14:textFill>
            <w14:solidFill>
              <w14:schemeClr w14:val="tx1"/>
            </w14:solidFill>
          </w14:textFill>
        </w:rPr>
        <w:t>安全区域边界（安全扩展要求）测评指标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a）应在虚拟化网络边界部署访问控制机制，并设置访问控制规则；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b）应在不同等级的网络区域边界部署访问控制机制，设置访问控制规则。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a）应能检测到云服务客户发起的网络攻击行为，并能记录攻击类型、攻击时间、攻击流量等；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b）应能检测到对虚拟网络节点的网络攻击行为，并能记录攻击类型、攻击时间、攻击流量等；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c）应能检测到虚拟机与宿主机、虚拟机与虚拟机之间的异常流量；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d）应在检测到网络攻击行为、异常流量情况时进行告警。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安全审计</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a）应对云服务商和云服务客户在远程管理时执行的特权命令进行审计，至少包括虚拟机删除、虚拟机重启；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b）应保证云服务商对云服务客户系统和数据的操作可被云服务客户审计。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边界防护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a）应保证有线网络与无线网络边界之间的访问和数据流通过无线接入网关设备。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a）无线接入设备应开启接入认证功能，并支持采用认证服务器认证或国家密码管理机构批准的密码模块进行认证。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a）应能够检测到非授权无线接入设备和非授权移动终端的接入行为；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b）应能够检测到针对无线接入设备的网络扫描、DDoS攻击、密钥破解、中间人攻击和欺骗攻击等行为；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c）应能够检测到无线接入设备的SSID广播、WPS等高风险功能的开启状态；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d）应禁用无线接入设备和无线接入网关存在风险的功能，如：SSID广播、WEP认证等；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e）应禁止多个AP使用同一个认证密钥；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f）应能够阻断非授权无线接入设备或非授权移动终端。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接入控制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a）应保证只有授权的感知节点可以接入。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a）应能够限制与感知节点通信的目标地址，以避免对陌生地址的攻击行为；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b）应能够限制与网关节点通信的目标地址，以避免对陌生地址的攻击行为。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a）应在工业控制系统与企业其他系统之间部署访问控制设备，配置访问控制策略，禁止任何穿越区域边界的E-Mail、Web、Telnet、Rlogin、FTP等通用网络服务；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b）应在工业控制系统内安全域和安全域之间的边界防护机制失效时，及时进行报警。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拨号使用控制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a）工业控制系统确需使用拨号访问服务的，应限制具有拨号访问权限的用户数量，并采取用户身份鉴别和访问控制等措施；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b）拨号服务器和客户端均应使用经安全加固的操作系统，并采取数字证书认证、传输加密和访问控制等措施。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无线使用控制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a）应对所有参与无线通信的用户（人员、软件进程或者设备）提供唯一性标识和鉴别；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b）应对所有参与无线通信的用户（人员、软件进程或者设备）进行授权以及执行使用进行限制；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c）应对无线通信采取传输加密的安全措施，实现传输报文的机密性保护；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d）对采用无线通信技术进行控制的工业控制系统，应能识别其物理环境中发射的未经授权的无线设备，报告未经授权试图接入或干扰控制系统的行为。</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480" w:firstLineChars="200"/>
        <w:textAlignment w:val="auto"/>
        <w:rPr>
          <w:rFonts w:ascii="宋体" w:hAnsi="宋体" w:eastAsia="宋体"/>
          <w:b w:val="0"/>
          <w:bCs w:val="0"/>
          <w:color w:val="000000" w:themeColor="text1"/>
          <w:sz w:val="24"/>
          <w:szCs w:val="24"/>
          <w14:textFill>
            <w14:solidFill>
              <w14:schemeClr w14:val="tx1"/>
            </w14:solidFill>
          </w14:textFill>
        </w:rPr>
      </w:pPr>
      <w:bookmarkStart w:id="52" w:name="_Toc33883602"/>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4 </w:t>
      </w:r>
      <w:r>
        <w:rPr>
          <w:rFonts w:hint="eastAsia" w:ascii="宋体" w:hAnsi="宋体" w:eastAsia="宋体"/>
          <w:b w:val="0"/>
          <w:bCs w:val="0"/>
          <w:color w:val="000000" w:themeColor="text1"/>
          <w:sz w:val="24"/>
          <w:szCs w:val="24"/>
          <w14:textFill>
            <w14:solidFill>
              <w14:schemeClr w14:val="tx1"/>
            </w14:solidFill>
          </w14:textFill>
        </w:rPr>
        <w:t>安全计算环境测评</w:t>
      </w:r>
      <w:bookmarkEnd w:id="52"/>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4</w:t>
      </w:r>
      <w:r>
        <w:rPr>
          <w:rFonts w:hint="eastAsia" w:hAnsi="宋体" w:cs="Arial"/>
          <w:color w:val="000000" w:themeColor="text1"/>
          <w:sz w:val="24"/>
          <w:szCs w:val="24"/>
          <w14:textFill>
            <w14:solidFill>
              <w14:schemeClr w14:val="tx1"/>
            </w14:solidFill>
          </w14:textFill>
        </w:rPr>
        <w:t>安全计算环境（安全扩展要求）测评指标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身份鉴别</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a）当远程管理云计算平台中设备时，管理终端和云计算平台之间应建立双向身份验证机制。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访问控制</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a）应保证当虚拟机迁移时，访问控制策略随其迁移；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b）应允许云服务客户设置不同虚拟机之间的访问控制策略。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入侵防范</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a）应能检测虚拟机之间的资源隔离失效，并进行告警；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b）应能检测非授权新建虚拟机或者重新启用虚拟机，并进行告警；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c）应能够检测恶意代码感染及在虚拟机间蔓延的情况，并进行告警。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镜像和快照保护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a）应针对重要业务系统提供加固的操作系统镜像或操作系统安全加固服务；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b）应提供虚拟机镜像、快照完整性校验功能，防止虚拟机镜像被恶意篡改；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c）应采取密码技术或其他技术手段防止虚拟机镜像、快照中可能存在的敏感资源被非法访问。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数据完整性</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和保密性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a）应确保云服务客户数据、用户个人信息等存储于中国境内，如需出境应遵循国家相关规定；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b）应确保只有在云服务客户授权下，云服务商或第三方才具有云服务客户数据的管理权限；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c）应使用校验码或密码技术确保虚拟机迁移过程中重要数据的完整性，并在检测到完整性受到破坏时采取必要的恢复措施；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d）应支持云服务客户部署密钥管理解决方案，保证云服务客户自行实现数据的加解密过程。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数据备份恢复</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a）云服务客户应在本地保存其业务数据的备份；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b）应提供查询云服务客户数据及备份存储位置的能力；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c）云服务商的云存储服务应保证云服务客户数据存在若干个可用的副本，各副本之间的内容应保持一致；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d）应为云服务客户将业务系统及数据迁移到其他云计算平台和本地系统提供技术手段，并协助完成迁移过程。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剩余信息保护</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a）应保证虚拟机所使用的内存和存储空间回收时得到完全清除；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b）云服务客户删除业务应用数据时，云计算平台应将云存储中所有副本删除。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移动终端管控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a）应保证移动终端安装、注册并运行终端管理客户端软件；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b）移动终端应接受移动终端管理服务端的设备生命周期管理、设备远程控制，如：远程锁定、远程擦除等。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移动应用管控</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a）应具有选择应用软件安装、运行的功能；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b）应只允许指定证书签名的应用软件安装和运行；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c）应具有软件白名单功能，应能根据白名单控制应用软件安装、运行。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a）应保证只有授权的用户可以对感知节点设备上的软件应用进行配置或变更；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b）应具有对其连接的网关节点设备（包括读卡器）进行身份标识和鉴别的能力；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c）应具有对其连接的其他感知节点设备（包括路由节点）进行身份标识和鉴别的能力。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网关节点</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a）应具备对合法连接设备（包括终端节点、路由节点、数据处理中心）进行标识和鉴别的能力；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b）应具备过滤非法节点和伪造节点所发送的数据的能力；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c）授权用户应能够在设备使用过程中对关键密钥进行在线更新；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d）授权用户应能够在设备使用过程中对关键配置参数进行在线更新。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抗数据重放</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a）应能够鉴别数据的新鲜性，避免历史数据的重放攻击；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b）应能够鉴别历史数据的非法修改，避免数据的修改重放攻击。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数据融合处理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a）应对来自传感网的数据进行数据融合处理，使不同种类的数据可以在同一个平台被使用。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控制设备安全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a）控制设备自身应实现相应级别安全通用要求提出的身份鉴别、访问控制和安全审计等安全要求，如受条件限制控制设备无法实现上述要求，应由其上位控制或管理设备实现同等功能或通过管理手段控制；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b）应在经过充分测试评估后，在不影响系统安全稳定运行的情况下对控制设备进行补丁更新、固件更新等工作；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c）应关闭或拆除控制设备的软盘驱动、光盘驱动、USB 接口、串行口或多余网口等，确需保留的应通过相关的技术措施实施严格的监控管理；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d）应使用专用设备和专用软件对控制设备进行更新；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e）应保证控制设备在上线前经过安全性检测，避免控制设备固件中存在恶意代码程序。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40</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a）大数据平台应对数据采集终端、数据导入服务组件、数据导出终端、数据导出服务组件的使用实施身份鉴别；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b）大数据平台应能对不同客户的大数据应用实施标识和鉴别；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c）大数据平台应为大数据应用提供集中管控其计算和存储资源使用状况的能力；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d）大数据平台应对其提供的辅助工具或服务组件，实施有效管理；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e）大数据平台应屏蔽计算、内存、存储资源故障，保障业务正常运行；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f）大数据平台应提供静态脱敏和去标识化的工具或服务组件技术；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g）对外提供服务的大数据平台，平台或第三方只有在大数据应用授权下才可以对大数据应用的数据资源进行访问、使用和管理；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h）大数据平台应提供数据分类分级安全管理功能，供大数据应用针对不同类别级别的数据采取不同的安全保护措施；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i）大数据平台应提供设置数据安全标记功能，基于安全标记的授权和访问控制措施，满足细粒度授权访问控制管理能力要求；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j）大数据平台应在数据采集、存储、处理、分析等各个环节，支持对数据进行分类分级处置，并保证安全保护策略保持一致；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k）涉及重要数据接口、重要服务接口的调用，应实施访问控制，包括但不限于数据处理、使用、分析、导出、共享、交换等相关操作；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l）应在数据清洗和转换过程中对重要数据进行保护,以保证重要数据清洗和转换后的一致性，避免数据失真,并在产生问题时能有效还原和恢复；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m）应跟踪和记录数据采集、处理、分析和挖掘等过程，保证溯源数据能重现相应过程，溯源数据满足合规审计要求；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n）大数据平台应保证不同客户大数据应用的审计数据隔离存放，并提供不同客户审计数据收集汇总和集中分析的能力。</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3" w:name="_Toc33883604"/>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5 </w:t>
      </w:r>
      <w:r>
        <w:rPr>
          <w:rFonts w:hint="eastAsia" w:ascii="宋体" w:hAnsi="宋体" w:eastAsia="宋体"/>
          <w:b w:val="0"/>
          <w:bCs w:val="0"/>
          <w:color w:val="000000" w:themeColor="text1"/>
          <w:sz w:val="24"/>
          <w:szCs w:val="24"/>
          <w14:textFill>
            <w14:solidFill>
              <w14:schemeClr w14:val="tx1"/>
            </w14:solidFill>
          </w14:textFill>
        </w:rPr>
        <w:t>安全建设管理测评</w:t>
      </w:r>
      <w:bookmarkEnd w:id="53"/>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5</w:t>
      </w:r>
      <w:r>
        <w:rPr>
          <w:rFonts w:hint="eastAsia" w:hAnsi="宋体" w:cs="Arial"/>
          <w:color w:val="000000" w:themeColor="text1"/>
          <w:sz w:val="24"/>
          <w:szCs w:val="24"/>
          <w14:textFill>
            <w14:solidFill>
              <w14:schemeClr w14:val="tx1"/>
            </w14:solidFill>
          </w14:textFill>
        </w:rPr>
        <w:t>安全建设管理（安全扩展要求）测评指标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云服务商选择</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a）应选择安全合规的云服务商，其所提供的云计算平台应为其所承载的业务应用系统提供相应等级的安全保护能力；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b）应在服务水平协议中规定云服务的各项服务内容和具体技术指标；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c）应在服务水平协议中规定云服务商的权限与责任，包括管理范围、职责划分、访问授权、隐私保护、行为准则、违约责任等；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d）应在服务水平协议中规定服务合约到期时，完整提供云服务客户数据，并承诺相关数据在云计算平台上清除；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e）应与选定的云服务商签署保密协议，要求其不得泄露云服务客户数据。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供应链管理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a）应确保供应商的选择符合国家有关规定；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b）应将供应链安全事件信息或安全威胁信息及时传达到云服务客户；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c）应将供应商的重要变更及时传达到云服务客户，并评估变更带来的安全风险，采取措施对风险进行控制。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移动应用软件</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a）应保证移动终端安装、运行的应用软件来自可靠分发渠道或使用可靠证书签名；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b）应保证移动终端安装、运行的应用软件由指定的开发者开发。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移动应用软件</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开发</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a）应对移动业务应用软件开发者进行资格审查；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b）应保证开发移动业务应用软件的签名证书合法性。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工业控制系统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产品采购和使用</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a）工业控制系统重要设备应通过专业机构的安全性检测后方可采购使用。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外包软件开发</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a）应在外包开发合同中规定针对开发单位、供应商的约束条款，包括设备及系统在生命周期内有关保密、禁止关键技术扩散和设备行业专用等方面的内容。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a）应选择安全合规的大数据平台，其所提供的大数据平台服务应为其所承载的大数据应用提供相应等级的安全保护能力；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b）应以书面方式约定大数据平台提供者的权限与责任、各项服务内容和具体技术指标等，尤其是安全服务内容；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c）应明确约束数据交换、共享的接收方对数据的保护责任，并确保接收方有足够或相当的安全防护能力。</w:t>
            </w:r>
          </w:p>
        </w:tc>
      </w:tr>
    </w:tbl>
    <w:p>
      <w:pPr>
        <w:pageBreakBefore w:val="0"/>
        <w:kinsoku/>
        <w:wordWrap/>
        <w:overflowPunct/>
        <w:topLinePunct w:val="0"/>
        <w:bidi w:val="0"/>
        <w:spacing w:line="620" w:lineRule="exact"/>
        <w:textAlignment w:val="auto"/>
        <w:rPr>
          <w:rFonts w:hAnsi="宋体"/>
          <w:color w:val="000000" w:themeColor="text1"/>
          <w:sz w:val="24"/>
          <w:szCs w:val="24"/>
          <w14:textFill>
            <w14:solidFill>
              <w14:schemeClr w14:val="tx1"/>
            </w14:solidFill>
          </w14:textFill>
        </w:rPr>
      </w:pPr>
    </w:p>
    <w:p>
      <w:pPr>
        <w:pStyle w:val="6"/>
        <w:pageBreakBefore w:val="0"/>
        <w:kinsoku/>
        <w:wordWrap/>
        <w:overflowPunct/>
        <w:topLinePunct w:val="0"/>
        <w:bidi w:val="0"/>
        <w:spacing w:before="0" w:after="0" w:line="620" w:lineRule="exact"/>
        <w:ind w:firstLine="240" w:firstLineChars="100"/>
        <w:textAlignment w:val="auto"/>
        <w:rPr>
          <w:rFonts w:ascii="宋体" w:hAnsi="宋体" w:eastAsia="宋体"/>
          <w:b w:val="0"/>
          <w:bCs w:val="0"/>
          <w:color w:val="000000" w:themeColor="text1"/>
          <w:sz w:val="24"/>
          <w:szCs w:val="24"/>
          <w14:textFill>
            <w14:solidFill>
              <w14:schemeClr w14:val="tx1"/>
            </w14:solidFill>
          </w14:textFill>
        </w:rPr>
      </w:pPr>
      <w:bookmarkStart w:id="54" w:name="_Toc33883605"/>
      <w:r>
        <w:rPr>
          <w:rFonts w:hint="eastAsia" w:ascii="宋体" w:hAnsi="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color w:val="000000" w:themeColor="text1"/>
          <w:sz w:val="24"/>
          <w:szCs w:val="24"/>
          <w14:textFill>
            <w14:solidFill>
              <w14:schemeClr w14:val="tx1"/>
            </w14:solidFill>
          </w14:textFill>
        </w:rPr>
        <w:t>.5.2.</w:t>
      </w:r>
      <w:r>
        <w:rPr>
          <w:rFonts w:ascii="宋体" w:hAnsi="宋体" w:eastAsia="宋体"/>
          <w:b w:val="0"/>
          <w:bCs w:val="0"/>
          <w:color w:val="000000" w:themeColor="text1"/>
          <w:sz w:val="24"/>
          <w:szCs w:val="24"/>
          <w14:textFill>
            <w14:solidFill>
              <w14:schemeClr w14:val="tx1"/>
            </w14:solidFill>
          </w14:textFill>
        </w:rPr>
        <w:t xml:space="preserve">6 </w:t>
      </w:r>
      <w:r>
        <w:rPr>
          <w:rFonts w:hint="eastAsia" w:ascii="宋体" w:hAnsi="宋体" w:eastAsia="宋体"/>
          <w:b w:val="0"/>
          <w:bCs w:val="0"/>
          <w:color w:val="000000" w:themeColor="text1"/>
          <w:sz w:val="24"/>
          <w:szCs w:val="24"/>
          <w14:textFill>
            <w14:solidFill>
              <w14:schemeClr w14:val="tx1"/>
            </w14:solidFill>
          </w14:textFill>
        </w:rPr>
        <w:t>安全运维管理测评</w:t>
      </w:r>
      <w:bookmarkEnd w:id="54"/>
    </w:p>
    <w:p>
      <w:pPr>
        <w:pageBreakBefore w:val="0"/>
        <w:kinsoku/>
        <w:wordWrap/>
        <w:overflowPunct/>
        <w:topLinePunct w:val="0"/>
        <w:bidi w:val="0"/>
        <w:spacing w:line="620" w:lineRule="exact"/>
        <w:jc w:val="center"/>
        <w:textAlignment w:val="auto"/>
        <w:rPr>
          <w:rFonts w:hAnsi="宋体" w:cs="Arial"/>
          <w:color w:val="000000" w:themeColor="text1"/>
          <w:sz w:val="24"/>
          <w:szCs w:val="24"/>
          <w14:textFill>
            <w14:solidFill>
              <w14:schemeClr w14:val="tx1"/>
            </w14:solidFill>
          </w14:textFill>
        </w:rPr>
      </w:pPr>
      <w:r>
        <w:rPr>
          <w:rFonts w:hAnsi="宋体" w:cs="Arial"/>
          <w:color w:val="000000" w:themeColor="text1"/>
          <w:sz w:val="24"/>
          <w:szCs w:val="24"/>
          <w14:textFill>
            <w14:solidFill>
              <w14:schemeClr w14:val="tx1"/>
            </w14:solidFill>
          </w14:textFill>
        </w:rPr>
        <w:t xml:space="preserve">表 </w:t>
      </w:r>
      <w:r>
        <w:rPr>
          <w:rFonts w:hint="eastAsia" w:hAnsi="宋体" w:cs="Arial"/>
          <w:color w:val="000000" w:themeColor="text1"/>
          <w:sz w:val="24"/>
          <w:szCs w:val="24"/>
          <w:lang w:val="en-US" w:eastAsia="zh-CN"/>
          <w14:textFill>
            <w14:solidFill>
              <w14:schemeClr w14:val="tx1"/>
            </w14:solidFill>
          </w14:textFill>
        </w:rPr>
        <w:t>8</w:t>
      </w:r>
      <w:r>
        <w:rPr>
          <w:rFonts w:hAnsi="宋体" w:cs="Arial"/>
          <w:color w:val="000000" w:themeColor="text1"/>
          <w:sz w:val="24"/>
          <w:szCs w:val="24"/>
          <w14:textFill>
            <w14:solidFill>
              <w14:schemeClr w14:val="tx1"/>
            </w14:solidFill>
          </w14:textFill>
        </w:rPr>
        <w:noBreakHyphen/>
      </w:r>
      <w:r>
        <w:rPr>
          <w:rFonts w:hint="eastAsia" w:hAnsi="宋体" w:cs="Arial"/>
          <w:color w:val="000000" w:themeColor="text1"/>
          <w:sz w:val="24"/>
          <w:szCs w:val="24"/>
          <w14:textFill>
            <w14:solidFill>
              <w14:schemeClr w14:val="tx1"/>
            </w14:solidFill>
          </w14:textFill>
        </w:rPr>
        <w:t>1</w:t>
      </w:r>
      <w:r>
        <w:rPr>
          <w:rFonts w:hAnsi="宋体" w:cs="Arial"/>
          <w:color w:val="000000" w:themeColor="text1"/>
          <w:sz w:val="24"/>
          <w:szCs w:val="24"/>
          <w14:textFill>
            <w14:solidFill>
              <w14:schemeClr w14:val="tx1"/>
            </w14:solidFill>
          </w14:textFill>
        </w:rPr>
        <w:t>6</w:t>
      </w:r>
      <w:r>
        <w:rPr>
          <w:rFonts w:hint="eastAsia" w:hAnsi="宋体" w:cs="Arial"/>
          <w:color w:val="000000" w:themeColor="text1"/>
          <w:sz w:val="24"/>
          <w:szCs w:val="24"/>
          <w14:textFill>
            <w14:solidFill>
              <w14:schemeClr w14:val="tx1"/>
            </w14:solidFill>
          </w14:textFill>
        </w:rPr>
        <w:t>安全运维管理（安全扩展要求）测评指标</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4"/>
        <w:gridCol w:w="1880"/>
        <w:gridCol w:w="2066"/>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cantSplit/>
          <w:trHeight w:val="573"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序号</w:t>
            </w:r>
          </w:p>
        </w:tc>
        <w:tc>
          <w:tcPr>
            <w:tcW w:w="1880"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扩展类型</w:t>
            </w:r>
          </w:p>
        </w:tc>
        <w:tc>
          <w:tcPr>
            <w:tcW w:w="2066"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安全子类</w:t>
            </w:r>
          </w:p>
        </w:tc>
        <w:tc>
          <w:tcPr>
            <w:tcW w:w="4701" w:type="dxa"/>
            <w:tcBorders>
              <w:top w:val="single" w:color="auto" w:sz="4" w:space="0"/>
              <w:left w:val="single" w:color="auto" w:sz="4" w:space="0"/>
              <w:bottom w:val="single" w:color="auto" w:sz="4" w:space="0"/>
              <w:right w:val="single" w:color="auto" w:sz="4" w:space="0"/>
            </w:tcBorders>
            <w:shd w:val="clear" w:color="auto" w:fill="BFBFBF"/>
            <w:vAlign w:val="center"/>
          </w:tcPr>
          <w:p>
            <w:pPr>
              <w:pageBreakBefore w:val="0"/>
              <w:widowControl/>
              <w:kinsoku/>
              <w:wordWrap/>
              <w:overflowPunct/>
              <w:topLinePunct w:val="0"/>
              <w:bidi w:val="0"/>
              <w:spacing w:line="620" w:lineRule="exact"/>
              <w:jc w:val="center"/>
              <w:textAlignment w:val="auto"/>
              <w:rPr>
                <w:rFonts w:hAnsi="宋体" w:cs="宋体"/>
                <w:b/>
                <w:bCs/>
                <w:color w:val="000000" w:themeColor="text1"/>
                <w:sz w:val="24"/>
                <w:szCs w:val="24"/>
                <w14:textFill>
                  <w14:solidFill>
                    <w14:schemeClr w14:val="tx1"/>
                  </w14:solidFill>
                </w14:textFill>
              </w:rPr>
            </w:pPr>
            <w:r>
              <w:rPr>
                <w:rFonts w:hAnsi="宋体" w:cs="宋体"/>
                <w:b/>
                <w:bCs/>
                <w:color w:val="000000" w:themeColor="text1"/>
                <w:sz w:val="24"/>
                <w:szCs w:val="24"/>
                <w14:textFill>
                  <w14:solidFill>
                    <w14:schemeClr w14:val="tx1"/>
                  </w14:solidFill>
                </w14:textFill>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云计算环境管理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a）云计算平台的运维地点应位于中国境内，境外对境内云计算平台实施运维操作应遵循国家相关规定。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移动互联网</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配置管理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a）应建立合法无线接入设备和合法移动终端配置库，用于对非法无线接入设备和非法移动终端的识别。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物联网安全</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感知节点管理</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a）应指定人员定期巡视感知节点设备、网关节点设备的部署环境，对可能影响感知节点设备、网关节点设备正常工作的环境异常进行记录和维护；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b）应对感知节点设备、网关节点设备入库、存储、部署、携带、维修、丢失和报废等过程作出明确规定，并进行全程管理；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c）应加强对感知节点设备、网关节点设备部署环境的保密性管理，包括负责检查和维护的人员调离工作岗位应立即交还相关检查工具和检查维护记录等。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880"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大数据系统</w:t>
            </w:r>
          </w:p>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安全扩展要求</w:t>
            </w:r>
          </w:p>
        </w:tc>
        <w:tc>
          <w:tcPr>
            <w:tcW w:w="2066" w:type="dxa"/>
            <w:vMerge w:val="restart"/>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大数据平台</w:t>
            </w: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a）应建立数字资产安全管理策略，对数据全生命周期的操作规范、保护措施、管理人员职责等进行规定，包括并不限于数据采集、存储、处理、应用、流动、销毁等过程；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b）应制定并执行数据分类分级保护策略，针对不同类别级别的数据制定不同的安全保护措施；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c）应在数据分类分级的基础上，划分重要数字资产范围，明确重要数据进行自动脱敏或去标识的使用场景和业务处理流程；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704" w:type="dxa"/>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p>
        </w:tc>
        <w:tc>
          <w:tcPr>
            <w:tcW w:w="1880"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2066" w:type="dxa"/>
            <w:vMerge w:val="continue"/>
            <w:noWrap/>
            <w:vAlign w:val="center"/>
          </w:tcPr>
          <w:p>
            <w:pPr>
              <w:pageBreakBefore w:val="0"/>
              <w:kinsoku/>
              <w:wordWrap/>
              <w:overflowPunct/>
              <w:topLinePunct w:val="0"/>
              <w:bidi w:val="0"/>
              <w:spacing w:line="620" w:lineRule="exact"/>
              <w:jc w:val="center"/>
              <w:textAlignment w:val="auto"/>
              <w:rPr>
                <w:rFonts w:hAnsi="宋体" w:cs="宋体"/>
                <w:color w:val="000000" w:themeColor="text1"/>
                <w:sz w:val="24"/>
                <w:szCs w:val="24"/>
                <w14:textFill>
                  <w14:solidFill>
                    <w14:schemeClr w14:val="tx1"/>
                  </w14:solidFill>
                </w14:textFill>
              </w:rPr>
            </w:pPr>
          </w:p>
        </w:tc>
        <w:tc>
          <w:tcPr>
            <w:tcW w:w="4701" w:type="dxa"/>
            <w:noWrap/>
            <w:vAlign w:val="center"/>
          </w:tcPr>
          <w:p>
            <w:pPr>
              <w:pageBreakBefore w:val="0"/>
              <w:kinsoku/>
              <w:wordWrap/>
              <w:overflowPunct/>
              <w:topLinePunct w:val="0"/>
              <w:bidi w:val="0"/>
              <w:spacing w:line="620" w:lineRule="exact"/>
              <w:jc w:val="left"/>
              <w:textAlignment w:val="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d）应定期评审数据的类别和级别，如需要变更数据的类别或级别，应依据变更审批流程执行变更。</w:t>
            </w:r>
          </w:p>
        </w:tc>
      </w:tr>
    </w:tbl>
    <w:p>
      <w:pPr>
        <w:pageBreakBefore w:val="0"/>
        <w:kinsoku/>
        <w:wordWrap/>
        <w:overflowPunct/>
        <w:topLinePunct w:val="0"/>
        <w:bidi w:val="0"/>
        <w:spacing w:line="620" w:lineRule="exact"/>
        <w:textAlignment w:val="auto"/>
        <w:rPr>
          <w:rFonts w:hAnsi="宋体" w:cs="宋体"/>
          <w:color w:val="000000" w:themeColor="text1"/>
          <w:sz w:val="24"/>
          <w:szCs w:val="24"/>
          <w14:textFill>
            <w14:solidFill>
              <w14:schemeClr w14:val="tx1"/>
            </w14:solidFill>
          </w14:textFill>
        </w:rPr>
      </w:pPr>
    </w:p>
    <w:p>
      <w:pPr>
        <w:pStyle w:val="4"/>
        <w:pageBreakBefore w:val="0"/>
        <w:widowControl w:val="0"/>
        <w:kinsoku/>
        <w:wordWrap/>
        <w:overflowPunct/>
        <w:topLinePunct w:val="0"/>
        <w:bidi w:val="0"/>
        <w:snapToGrid/>
        <w:spacing w:before="0" w:after="0" w:line="620" w:lineRule="exact"/>
        <w:ind w:firstLine="640" w:firstLineChars="200"/>
        <w:jc w:val="left"/>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55" w:name="_Toc17808283"/>
      <w:bookmarkStart w:id="56" w:name="_Toc31466"/>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2.8.6测评方法</w:t>
      </w:r>
      <w:bookmarkEnd w:id="55"/>
      <w:bookmarkEnd w:id="56"/>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本次等级保护测评项目，供应商应提供科学、合理的测评方法开展等级保护测评工作。</w:t>
      </w:r>
    </w:p>
    <w:p>
      <w:pPr>
        <w:pStyle w:val="4"/>
        <w:pageBreakBefore w:val="0"/>
        <w:widowControl w:val="0"/>
        <w:kinsoku/>
        <w:wordWrap/>
        <w:overflowPunct/>
        <w:topLinePunct w:val="0"/>
        <w:bidi w:val="0"/>
        <w:snapToGrid/>
        <w:spacing w:before="0" w:after="0" w:line="620" w:lineRule="exact"/>
        <w:ind w:firstLine="640" w:firstLineChars="200"/>
        <w:jc w:val="left"/>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bookmarkStart w:id="57" w:name="_Toc17808284"/>
      <w:bookmarkStart w:id="58" w:name="_Toc9262"/>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2.8.7测评步骤</w:t>
      </w:r>
      <w:bookmarkEnd w:id="57"/>
      <w:bookmarkEnd w:id="58"/>
    </w:p>
    <w:p>
      <w:pPr>
        <w:pageBreakBefore w:val="0"/>
        <w:widowControl w:val="0"/>
        <w:kinsoku/>
        <w:wordWrap/>
        <w:overflowPunct/>
        <w:topLinePunct w:val="0"/>
        <w:bidi w:val="0"/>
        <w:snapToGrid/>
        <w:spacing w:line="620" w:lineRule="exact"/>
        <w:ind w:firstLine="640" w:firstLineChars="20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本次等级保护测评项目，供应商应从差距测评和整体测评的测评步骤进行开展等级保护测评工作。</w:t>
      </w:r>
    </w:p>
    <w:p>
      <w:pPr>
        <w:pStyle w:val="2"/>
        <w:pageBreakBefore w:val="0"/>
        <w:widowControl w:val="0"/>
        <w:kinsoku/>
        <w:wordWrap/>
        <w:overflowPunct/>
        <w:topLinePunct w:val="0"/>
        <w:bidi w:val="0"/>
        <w:snapToGrid/>
        <w:spacing w:line="620" w:lineRule="exact"/>
        <w:ind w:firstLine="482"/>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2.8.8 保密承诺</w:t>
      </w:r>
    </w:p>
    <w:p>
      <w:pPr>
        <w:pStyle w:val="2"/>
        <w:pageBreakBefore w:val="0"/>
        <w:widowControl w:val="0"/>
        <w:kinsoku/>
        <w:wordWrap/>
        <w:overflowPunct/>
        <w:topLinePunct w:val="0"/>
        <w:bidi w:val="0"/>
        <w:snapToGrid/>
        <w:spacing w:line="620" w:lineRule="exact"/>
        <w:ind w:firstLine="48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中标供应商应签订保密承诺书和保密协议。</w:t>
      </w:r>
    </w:p>
    <w:p>
      <w:pPr>
        <w:pStyle w:val="2"/>
        <w:pageBreakBefore w:val="0"/>
        <w:widowControl w:val="0"/>
        <w:kinsoku/>
        <w:wordWrap/>
        <w:overflowPunct/>
        <w:topLinePunct w:val="0"/>
        <w:bidi w:val="0"/>
        <w:snapToGrid/>
        <w:spacing w:line="620" w:lineRule="exact"/>
        <w:ind w:firstLine="480"/>
        <w:textAlignment w:val="auto"/>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pPr>
    </w:p>
    <w:p>
      <w:pPr>
        <w:pStyle w:val="19"/>
        <w:pageBreakBefore w:val="0"/>
        <w:widowControl w:val="0"/>
        <w:numPr>
          <w:ilvl w:val="0"/>
          <w:numId w:val="0"/>
        </w:numPr>
        <w:kinsoku/>
        <w:wordWrap/>
        <w:overflowPunct/>
        <w:topLinePunct w:val="0"/>
        <w:bidi w:val="0"/>
        <w:snapToGrid/>
        <w:spacing w:line="620" w:lineRule="exact"/>
        <w:ind w:firstLine="560" w:firstLineChars="200"/>
        <w:textAlignment w:val="auto"/>
        <w:rPr>
          <w:rFonts w:hint="default"/>
          <w:color w:val="000000" w:themeColor="text1"/>
          <w:lang w:val="en-US" w:eastAsia="zh-CN"/>
          <w14:textFill>
            <w14:solidFill>
              <w14:schemeClr w14:val="tx1"/>
            </w14:solidFill>
          </w14:textFill>
        </w:rPr>
      </w:pPr>
    </w:p>
    <w:p>
      <w:pPr>
        <w:pStyle w:val="3"/>
        <w:pageBreakBefore w:val="0"/>
        <w:kinsoku/>
        <w:wordWrap/>
        <w:overflowPunct/>
        <w:topLinePunct w:val="0"/>
        <w:bidi w:val="0"/>
        <w:spacing w:before="0" w:after="0" w:line="620" w:lineRule="exact"/>
        <w:textAlignment w:val="auto"/>
        <w:rPr>
          <w:rFonts w:ascii="仿宋" w:hAnsi="仿宋" w:eastAsia="仿宋" w:cs="仿宋"/>
          <w:b/>
          <w:color w:val="000000" w:themeColor="text1"/>
          <w:sz w:val="32"/>
          <w:szCs w:val="32"/>
          <w14:textFill>
            <w14:solidFill>
              <w14:schemeClr w14:val="tx1"/>
            </w14:solidFill>
          </w14:textFill>
        </w:rPr>
      </w:pPr>
      <w:bookmarkStart w:id="59" w:name="_Toc468808807"/>
      <w:r>
        <w:rPr>
          <w:rFonts w:hint="eastAsia" w:ascii="仿宋" w:hAnsi="仿宋" w:eastAsia="仿宋" w:cs="仿宋"/>
          <w:b/>
          <w:color w:val="000000" w:themeColor="text1"/>
          <w:sz w:val="32"/>
          <w:szCs w:val="32"/>
          <w14:textFill>
            <w14:solidFill>
              <w14:schemeClr w14:val="tx1"/>
            </w14:solidFill>
          </w14:textFill>
        </w:rPr>
        <w:t>第三章</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评审办法</w:t>
      </w:r>
      <w:bookmarkEnd w:id="10"/>
      <w:bookmarkEnd w:id="11"/>
      <w:r>
        <w:rPr>
          <w:rFonts w:hint="eastAsia" w:ascii="仿宋" w:hAnsi="仿宋" w:eastAsia="仿宋" w:cs="仿宋"/>
          <w:b/>
          <w:color w:val="000000" w:themeColor="text1"/>
          <w:sz w:val="32"/>
          <w:szCs w:val="32"/>
          <w14:textFill>
            <w14:solidFill>
              <w14:schemeClr w14:val="tx1"/>
            </w14:solidFill>
          </w14:textFill>
        </w:rPr>
        <w:t>（综合评分法）</w:t>
      </w:r>
      <w:bookmarkEnd w:id="59"/>
    </w:p>
    <w:p>
      <w:pPr>
        <w:pStyle w:val="4"/>
        <w:pageBreakBefore w:val="0"/>
        <w:kinsoku/>
        <w:wordWrap/>
        <w:overflowPunct/>
        <w:topLinePunct w:val="0"/>
        <w:bidi w:val="0"/>
        <w:spacing w:before="0" w:after="0" w:line="620" w:lineRule="exact"/>
        <w:textAlignment w:val="auto"/>
        <w:rPr>
          <w:rFonts w:ascii="仿宋" w:hAnsi="仿宋" w:eastAsia="仿宋" w:cs="仿宋"/>
          <w:b/>
          <w:color w:val="000000" w:themeColor="text1"/>
          <w:sz w:val="32"/>
          <w14:textFill>
            <w14:solidFill>
              <w14:schemeClr w14:val="tx1"/>
            </w14:solidFill>
          </w14:textFill>
        </w:rPr>
      </w:pPr>
      <w:bookmarkStart w:id="60" w:name="_Toc385507152"/>
      <w:bookmarkStart w:id="61" w:name="_Toc406313792"/>
      <w:bookmarkStart w:id="62" w:name="_Toc406413564"/>
      <w:bookmarkStart w:id="63" w:name="_Toc396318580"/>
      <w:bookmarkStart w:id="64" w:name="_Toc468808809"/>
      <w:bookmarkStart w:id="65" w:name="_Toc378497710"/>
      <w:bookmarkStart w:id="66" w:name="_Toc227057964"/>
      <w:bookmarkStart w:id="67" w:name="_Toc226969358"/>
      <w:bookmarkStart w:id="68" w:name="_Toc226969359"/>
      <w:bookmarkStart w:id="69" w:name="_Toc107822557"/>
      <w:bookmarkStart w:id="70" w:name="_Toc227057965"/>
      <w:r>
        <w:rPr>
          <w:rFonts w:ascii="仿宋" w:hAnsi="仿宋" w:eastAsia="仿宋" w:cs="仿宋"/>
          <w:b/>
          <w:color w:val="000000" w:themeColor="text1"/>
          <w:sz w:val="32"/>
          <w14:textFill>
            <w14:solidFill>
              <w14:schemeClr w14:val="tx1"/>
            </w14:solidFill>
          </w14:textFill>
        </w:rPr>
        <w:t>3.</w:t>
      </w:r>
      <w:r>
        <w:rPr>
          <w:rFonts w:hint="eastAsia" w:ascii="仿宋" w:hAnsi="仿宋" w:eastAsia="仿宋" w:cs="仿宋"/>
          <w:b/>
          <w:color w:val="000000" w:themeColor="text1"/>
          <w:sz w:val="32"/>
          <w:lang w:val="en-US" w:eastAsia="zh-CN"/>
          <w14:textFill>
            <w14:solidFill>
              <w14:schemeClr w14:val="tx1"/>
            </w14:solidFill>
          </w14:textFill>
        </w:rPr>
        <w:t>1</w:t>
      </w:r>
      <w:r>
        <w:rPr>
          <w:rFonts w:hint="eastAsia" w:ascii="仿宋" w:hAnsi="仿宋" w:eastAsia="仿宋" w:cs="仿宋"/>
          <w:b/>
          <w:color w:val="000000" w:themeColor="text1"/>
          <w:sz w:val="32"/>
          <w14:textFill>
            <w14:solidFill>
              <w14:schemeClr w14:val="tx1"/>
            </w14:solidFill>
          </w14:textFill>
        </w:rPr>
        <w:t>评审的量化因素及权重比值</w:t>
      </w:r>
      <w:bookmarkEnd w:id="60"/>
      <w:bookmarkEnd w:id="61"/>
      <w:bookmarkEnd w:id="62"/>
      <w:bookmarkEnd w:id="63"/>
      <w:bookmarkEnd w:id="64"/>
      <w:bookmarkEnd w:id="65"/>
      <w:bookmarkEnd w:id="66"/>
      <w:bookmarkEnd w:id="67"/>
    </w:p>
    <w:p>
      <w:pPr>
        <w:pageBreakBefore w:val="0"/>
        <w:kinsoku/>
        <w:wordWrap/>
        <w:overflowPunct/>
        <w:topLinePunct w:val="0"/>
        <w:bidi w:val="0"/>
        <w:spacing w:line="62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本项目采用综合评分方式确定中标候选人排名</w:t>
      </w:r>
      <w:r>
        <w:rPr>
          <w:rFonts w:hint="eastAsia" w:ascii="仿宋" w:hAnsi="仿宋" w:eastAsia="仿宋" w:cs="仿宋"/>
          <w:color w:val="000000" w:themeColor="text1"/>
          <w:sz w:val="32"/>
          <w:szCs w:val="32"/>
          <w14:textFill>
            <w14:solidFill>
              <w14:schemeClr w14:val="tx1"/>
            </w14:solidFill>
          </w14:textFill>
        </w:rPr>
        <w:t>。综合评分包括：</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价格评分（</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+项目实施能力（6分）+响应文件规范性（2分）</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left="141" w:leftChars="67"/>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谈判人最终得分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价格评审得分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投标人综合实力实力</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+项目实施能力+响应文件规范性</w:t>
      </w:r>
    </w:p>
    <w:p>
      <w:pPr>
        <w:pStyle w:val="4"/>
        <w:pageBreakBefore w:val="0"/>
        <w:kinsoku/>
        <w:wordWrap/>
        <w:overflowPunct/>
        <w:topLinePunct w:val="0"/>
        <w:bidi w:val="0"/>
        <w:spacing w:line="620" w:lineRule="exact"/>
        <w:textAlignment w:val="auto"/>
        <w:rPr>
          <w:rFonts w:ascii="仿宋" w:hAnsi="仿宋" w:eastAsia="仿宋" w:cs="仿宋"/>
          <w:b/>
          <w:color w:val="000000" w:themeColor="text1"/>
          <w:sz w:val="32"/>
          <w14:textFill>
            <w14:solidFill>
              <w14:schemeClr w14:val="tx1"/>
            </w14:solidFill>
          </w14:textFill>
        </w:rPr>
      </w:pPr>
      <w:bookmarkStart w:id="71" w:name="_Toc468808810"/>
      <w:r>
        <w:rPr>
          <w:rFonts w:ascii="仿宋" w:hAnsi="仿宋" w:eastAsia="仿宋" w:cs="仿宋"/>
          <w:b/>
          <w:bCs w:val="0"/>
          <w:color w:val="000000" w:themeColor="text1"/>
          <w:sz w:val="32"/>
          <w14:textFill>
            <w14:solidFill>
              <w14:schemeClr w14:val="tx1"/>
            </w14:solidFill>
          </w14:textFill>
        </w:rPr>
        <w:t xml:space="preserve">3.3 </w:t>
      </w:r>
      <w:bookmarkStart w:id="72" w:name="_Toc196153694"/>
      <w:bookmarkStart w:id="73" w:name="_Toc196153893"/>
      <w:bookmarkStart w:id="74" w:name="_Toc408249246"/>
      <w:bookmarkStart w:id="75" w:name="_Toc197247444"/>
      <w:bookmarkStart w:id="76" w:name="_Toc319905129"/>
      <w:bookmarkStart w:id="77" w:name="_Toc420655597"/>
      <w:bookmarkStart w:id="78" w:name="_Toc263963173"/>
      <w:bookmarkStart w:id="79" w:name="_Toc263964481"/>
      <w:bookmarkStart w:id="80" w:name="_Toc196153992"/>
      <w:bookmarkStart w:id="81" w:name="_Toc400970099"/>
      <w:bookmarkStart w:id="82" w:name="_Toc229558393"/>
      <w:bookmarkStart w:id="83" w:name="_Toc224619345"/>
      <w:bookmarkStart w:id="84" w:name="_Toc263964579"/>
      <w:bookmarkStart w:id="85" w:name="_Toc193268467"/>
      <w:bookmarkStart w:id="86" w:name="_Toc192354826"/>
      <w:r>
        <w:rPr>
          <w:rFonts w:hint="eastAsia" w:ascii="仿宋" w:hAnsi="仿宋" w:eastAsia="仿宋" w:cs="仿宋"/>
          <w:b/>
          <w:color w:val="000000" w:themeColor="text1"/>
          <w:sz w:val="32"/>
          <w14:textFill>
            <w14:solidFill>
              <w14:schemeClr w14:val="tx1"/>
            </w14:solidFill>
          </w14:textFill>
        </w:rPr>
        <w:t>评审方法</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Start w:id="87" w:name="_Toc196153993"/>
      <w:bookmarkStart w:id="88" w:name="_Toc196153695"/>
      <w:bookmarkStart w:id="89" w:name="_Toc196153894"/>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90" w:name="_Toc408249247"/>
      <w:bookmarkStart w:id="91" w:name="_Toc263964482"/>
      <w:bookmarkStart w:id="92" w:name="_Toc197247445"/>
      <w:bookmarkStart w:id="93" w:name="_Toc400970100"/>
      <w:r>
        <w:rPr>
          <w:rFonts w:ascii="仿宋" w:hAnsi="仿宋" w:eastAsia="仿宋" w:cs="仿宋"/>
          <w:b/>
          <w:color w:val="000000" w:themeColor="text1"/>
          <w:sz w:val="32"/>
          <w:szCs w:val="32"/>
          <w14:textFill>
            <w14:solidFill>
              <w14:schemeClr w14:val="tx1"/>
            </w14:solidFill>
          </w14:textFill>
        </w:rPr>
        <w:t>3.3.1</w:t>
      </w:r>
      <w:r>
        <w:rPr>
          <w:rFonts w:hint="eastAsia" w:ascii="仿宋" w:hAnsi="仿宋" w:eastAsia="仿宋" w:cs="仿宋"/>
          <w:b/>
          <w:color w:val="000000" w:themeColor="text1"/>
          <w:sz w:val="32"/>
          <w:szCs w:val="32"/>
          <w14:textFill>
            <w14:solidFill>
              <w14:schemeClr w14:val="tx1"/>
            </w14:solidFill>
          </w14:textFill>
        </w:rPr>
        <w:t>谈判申请文件的初步评审</w:t>
      </w:r>
      <w:bookmarkEnd w:id="85"/>
      <w:bookmarkEnd w:id="86"/>
      <w:bookmarkEnd w:id="87"/>
      <w:bookmarkEnd w:id="88"/>
      <w:bookmarkEnd w:id="89"/>
      <w:bookmarkEnd w:id="90"/>
      <w:bookmarkEnd w:id="91"/>
      <w:bookmarkEnd w:id="92"/>
      <w:bookmarkEnd w:id="93"/>
    </w:p>
    <w:p>
      <w:pPr>
        <w:pageBreakBefore w:val="0"/>
        <w:kinsoku/>
        <w:wordWrap/>
        <w:overflowPunct/>
        <w:topLinePunct w:val="0"/>
        <w:bidi w:val="0"/>
        <w:spacing w:line="620" w:lineRule="exact"/>
        <w:ind w:left="425"/>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3.3.1.1</w:t>
      </w:r>
      <w:r>
        <w:rPr>
          <w:rFonts w:hint="eastAsia" w:ascii="仿宋" w:hAnsi="仿宋" w:eastAsia="仿宋" w:cs="仿宋"/>
          <w:color w:val="000000" w:themeColor="text1"/>
          <w:sz w:val="32"/>
          <w:szCs w:val="32"/>
          <w14:textFill>
            <w14:solidFill>
              <w14:schemeClr w14:val="tx1"/>
            </w14:solidFill>
          </w14:textFill>
        </w:rPr>
        <w:t>在初步评审中，评审小组将首先审定每份谈判申请文件是否响应了谈判文件的下述要求。</w:t>
      </w:r>
    </w:p>
    <w:p>
      <w:pPr>
        <w:pageBreakBefore w:val="0"/>
        <w:kinsoku/>
        <w:wordWrap/>
        <w:overflowPunct/>
        <w:topLinePunct w:val="0"/>
        <w:bidi w:val="0"/>
        <w:spacing w:line="620" w:lineRule="exact"/>
        <w:ind w:left="425"/>
        <w:textAlignment w:val="auto"/>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3.3.1.2</w:t>
      </w:r>
      <w:r>
        <w:rPr>
          <w:rFonts w:hint="eastAsia" w:ascii="仿宋" w:hAnsi="仿宋" w:eastAsia="仿宋" w:cs="仿宋"/>
          <w:bCs/>
          <w:color w:val="000000" w:themeColor="text1"/>
          <w:sz w:val="32"/>
          <w:szCs w:val="32"/>
          <w14:textFill>
            <w14:solidFill>
              <w14:schemeClr w14:val="tx1"/>
            </w14:solidFill>
          </w14:textFill>
        </w:rPr>
        <w:t>如发现下列情况之一的，其</w:t>
      </w:r>
      <w:r>
        <w:rPr>
          <w:rFonts w:hint="eastAsia" w:ascii="仿宋" w:hAnsi="仿宋" w:eastAsia="仿宋" w:cs="仿宋"/>
          <w:color w:val="000000" w:themeColor="text1"/>
          <w:sz w:val="32"/>
          <w:szCs w:val="32"/>
          <w14:textFill>
            <w14:solidFill>
              <w14:schemeClr w14:val="tx1"/>
            </w14:solidFill>
          </w14:textFill>
        </w:rPr>
        <w:t>谈判</w:t>
      </w:r>
      <w:r>
        <w:rPr>
          <w:rFonts w:hint="eastAsia" w:ascii="仿宋" w:hAnsi="仿宋" w:eastAsia="仿宋" w:cs="仿宋"/>
          <w:bCs/>
          <w:color w:val="000000" w:themeColor="text1"/>
          <w:sz w:val="32"/>
          <w:szCs w:val="32"/>
          <w14:textFill>
            <w14:solidFill>
              <w14:schemeClr w14:val="tx1"/>
            </w14:solidFill>
          </w14:textFill>
        </w:rPr>
        <w:t>将被</w:t>
      </w:r>
      <w:r>
        <w:rPr>
          <w:rFonts w:hint="eastAsia" w:ascii="仿宋" w:hAnsi="仿宋" w:eastAsia="仿宋" w:cs="仿宋"/>
          <w:color w:val="000000" w:themeColor="text1"/>
          <w:sz w:val="32"/>
          <w:szCs w:val="32"/>
          <w14:textFill>
            <w14:solidFill>
              <w14:schemeClr w14:val="tx1"/>
            </w14:solidFill>
          </w14:textFill>
        </w:rPr>
        <w:t>评审小组</w:t>
      </w:r>
      <w:r>
        <w:rPr>
          <w:rFonts w:hint="eastAsia" w:ascii="仿宋" w:hAnsi="仿宋" w:eastAsia="仿宋" w:cs="仿宋"/>
          <w:bCs/>
          <w:color w:val="000000" w:themeColor="text1"/>
          <w:sz w:val="32"/>
          <w:szCs w:val="32"/>
          <w14:textFill>
            <w14:solidFill>
              <w14:schemeClr w14:val="tx1"/>
            </w14:solidFill>
          </w14:textFill>
        </w:rPr>
        <w:t>否决：</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）投标文件未按招标文件要求进行签署、盖章的；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）资格证明文件不全的；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）同一投标人提交两个以上不同的投标文件或者报价，以及投标文件没有提交谈判报价的；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）投标文件载明的招标项目完成期限超过谈判文件规定的期限；</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）经评审小组认定投标人的报价低于成本价形成恶性竞争的；</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）明显不符合招标文件服务标准的要求；</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）投标文件附有采购人不能接受的条件；</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）报价超过招标文件规定的限价；</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）其他不符合招标文件实质性要求及法律、法规规定的其他情形。</w:t>
      </w:r>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94" w:name="_Toc193268468"/>
      <w:bookmarkStart w:id="95" w:name="_Toc197247446"/>
      <w:bookmarkStart w:id="96" w:name="_Toc196153895"/>
      <w:bookmarkStart w:id="97" w:name="_Toc192354827"/>
      <w:bookmarkStart w:id="98" w:name="_Toc400970101"/>
      <w:bookmarkStart w:id="99" w:name="_Toc196153696"/>
      <w:bookmarkStart w:id="100" w:name="_Toc196153994"/>
      <w:bookmarkStart w:id="101" w:name="_Toc408249248"/>
      <w:bookmarkStart w:id="102" w:name="_Toc263964483"/>
      <w:r>
        <w:rPr>
          <w:rFonts w:ascii="仿宋" w:hAnsi="仿宋" w:eastAsia="仿宋" w:cs="仿宋"/>
          <w:b/>
          <w:color w:val="000000" w:themeColor="text1"/>
          <w:sz w:val="32"/>
          <w:szCs w:val="32"/>
          <w14:textFill>
            <w14:solidFill>
              <w14:schemeClr w14:val="tx1"/>
            </w14:solidFill>
          </w14:textFill>
        </w:rPr>
        <w:t xml:space="preserve">3.3.2 </w:t>
      </w:r>
      <w:r>
        <w:rPr>
          <w:rFonts w:hint="eastAsia" w:ascii="仿宋" w:hAnsi="仿宋" w:eastAsia="仿宋" w:cs="仿宋"/>
          <w:b/>
          <w:color w:val="000000" w:themeColor="text1"/>
          <w:sz w:val="32"/>
          <w:szCs w:val="32"/>
          <w14:textFill>
            <w14:solidFill>
              <w14:schemeClr w14:val="tx1"/>
            </w14:solidFill>
          </w14:textFill>
        </w:rPr>
        <w:t>报价计算错误的修正原则</w:t>
      </w:r>
      <w:bookmarkEnd w:id="94"/>
      <w:bookmarkEnd w:id="95"/>
      <w:bookmarkEnd w:id="96"/>
      <w:bookmarkEnd w:id="97"/>
      <w:bookmarkEnd w:id="98"/>
      <w:bookmarkEnd w:id="99"/>
      <w:bookmarkEnd w:id="100"/>
      <w:bookmarkEnd w:id="101"/>
      <w:bookmarkEnd w:id="102"/>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 xml:space="preserve">3.3.2.1 </w:t>
      </w:r>
      <w:r>
        <w:rPr>
          <w:rFonts w:hint="eastAsia" w:ascii="仿宋" w:hAnsi="仿宋" w:eastAsia="仿宋" w:cs="仿宋"/>
          <w:color w:val="000000" w:themeColor="text1"/>
          <w:sz w:val="32"/>
          <w:szCs w:val="32"/>
          <w14:textFill>
            <w14:solidFill>
              <w14:schemeClr w14:val="tx1"/>
            </w14:solidFill>
          </w14:textFill>
        </w:rPr>
        <w:t>评审小组将对确定为实质上响应招标文件要求的投标文件进行校核，看其是否有计算上或汇总上的算术错误，修正错误的原则如下：</w:t>
      </w:r>
    </w:p>
    <w:p>
      <w:pPr>
        <w:pageBreakBefore w:val="0"/>
        <w:kinsoku/>
        <w:wordWrap/>
        <w:overflowPunct/>
        <w:topLinePunct w:val="0"/>
        <w:bidi w:val="0"/>
        <w:adjustRightInd w:val="0"/>
        <w:snapToGrid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）投标文件中的大写金额与小写金额不一致的，以大写金额为准；</w:t>
      </w:r>
    </w:p>
    <w:p>
      <w:pPr>
        <w:pageBreakBefore w:val="0"/>
        <w:kinsoku/>
        <w:wordWrap/>
        <w:overflowPunct/>
        <w:topLinePunct w:val="0"/>
        <w:bidi w:val="0"/>
        <w:spacing w:line="620" w:lineRule="exact"/>
        <w:textAlignment w:val="auto"/>
        <w:rPr>
          <w:rFonts w:ascii="仿宋" w:hAnsi="仿宋" w:eastAsia="仿宋" w:cs="仿宋"/>
          <w:b/>
          <w:color w:val="000000" w:themeColor="text1"/>
          <w:sz w:val="32"/>
          <w:szCs w:val="32"/>
          <w14:textFill>
            <w14:solidFill>
              <w14:schemeClr w14:val="tx1"/>
            </w14:solidFill>
          </w14:textFill>
        </w:rPr>
      </w:pPr>
      <w:bookmarkStart w:id="103" w:name="_Toc196153697"/>
      <w:bookmarkStart w:id="104" w:name="_Toc197247447"/>
      <w:bookmarkStart w:id="105" w:name="_Toc196153896"/>
      <w:bookmarkStart w:id="106" w:name="_Toc192354828"/>
      <w:bookmarkStart w:id="107" w:name="_Toc263964484"/>
      <w:bookmarkStart w:id="108" w:name="_Toc408249249"/>
      <w:bookmarkStart w:id="109" w:name="_Toc193268469"/>
      <w:bookmarkStart w:id="110" w:name="_Toc196153995"/>
      <w:bookmarkStart w:id="111" w:name="_Toc400970102"/>
      <w:r>
        <w:rPr>
          <w:rFonts w:ascii="仿宋" w:hAnsi="仿宋" w:eastAsia="仿宋" w:cs="仿宋"/>
          <w:b/>
          <w:color w:val="000000" w:themeColor="text1"/>
          <w:sz w:val="32"/>
          <w:szCs w:val="32"/>
          <w14:textFill>
            <w14:solidFill>
              <w14:schemeClr w14:val="tx1"/>
            </w14:solidFill>
          </w14:textFill>
        </w:rPr>
        <w:t xml:space="preserve">3.3.3 </w:t>
      </w:r>
      <w:r>
        <w:rPr>
          <w:rFonts w:hint="eastAsia" w:ascii="仿宋" w:hAnsi="仿宋" w:eastAsia="仿宋" w:cs="仿宋"/>
          <w:b/>
          <w:color w:val="000000" w:themeColor="text1"/>
          <w:sz w:val="32"/>
          <w:szCs w:val="32"/>
          <w14:textFill>
            <w14:solidFill>
              <w14:schemeClr w14:val="tx1"/>
            </w14:solidFill>
          </w14:textFill>
        </w:rPr>
        <w:t>谈判申请文件的详细评审</w:t>
      </w:r>
      <w:bookmarkEnd w:id="103"/>
      <w:bookmarkEnd w:id="104"/>
      <w:bookmarkEnd w:id="105"/>
      <w:bookmarkEnd w:id="106"/>
      <w:bookmarkEnd w:id="107"/>
      <w:bookmarkEnd w:id="108"/>
      <w:bookmarkEnd w:id="109"/>
      <w:bookmarkEnd w:id="110"/>
      <w:bookmarkEnd w:id="111"/>
    </w:p>
    <w:p>
      <w:pPr>
        <w:pageBreakBefore w:val="0"/>
        <w:kinsoku/>
        <w:wordWrap/>
        <w:overflowPunct/>
        <w:topLinePunct w:val="0"/>
        <w:bidi w:val="0"/>
        <w:spacing w:line="62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综合评审包括：</w:t>
      </w:r>
      <w:r>
        <w:rPr>
          <w:rFonts w:hint="eastAsia" w:ascii="仿宋" w:hAnsi="仿宋" w:eastAsia="仿宋" w:cs="仿宋"/>
          <w:color w:val="000000" w:themeColor="text1"/>
          <w:sz w:val="32"/>
          <w:szCs w:val="32"/>
          <w14:textFill>
            <w14:solidFill>
              <w14:schemeClr w14:val="tx1"/>
            </w14:solidFill>
          </w14:textFill>
        </w:rPr>
        <w:t>价格评审得分</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项目实施方案</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投标人综合实力实力</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实施人员能力</w:t>
      </w:r>
      <w:r>
        <w:rPr>
          <w:rFonts w:hint="eastAsia" w:ascii="仿宋" w:hAnsi="仿宋" w:eastAsia="仿宋" w:cs="仿宋"/>
          <w:color w:val="000000" w:themeColor="text1"/>
          <w:sz w:val="32"/>
          <w:szCs w:val="32"/>
          <w:lang w:val="en-US" w:eastAsia="zh-CN"/>
          <w14:textFill>
            <w14:solidFill>
              <w14:schemeClr w14:val="tx1"/>
            </w14:solidFill>
          </w14:textFill>
        </w:rPr>
        <w:t>+项目实施能力+响应文件规范性</w:t>
      </w:r>
      <w:r>
        <w:rPr>
          <w:rFonts w:hint="eastAsia" w:ascii="仿宋" w:hAnsi="仿宋" w:eastAsia="仿宋" w:cs="仿宋"/>
          <w:bCs/>
          <w:color w:val="000000" w:themeColor="text1"/>
          <w:sz w:val="32"/>
          <w:szCs w:val="32"/>
          <w14:textFill>
            <w14:solidFill>
              <w14:schemeClr w14:val="tx1"/>
            </w14:solidFill>
          </w14:textFill>
        </w:rPr>
        <w:t>。</w:t>
      </w:r>
    </w:p>
    <w:p>
      <w:pPr>
        <w:pageBreakBefore w:val="0"/>
        <w:kinsoku/>
        <w:wordWrap/>
        <w:overflowPunct/>
        <w:topLinePunct w:val="0"/>
        <w:bidi w:val="0"/>
        <w:spacing w:line="62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评委将根据评分标准，依据综合评分结果排名。</w:t>
      </w:r>
    </w:p>
    <w:p>
      <w:pPr>
        <w:pageBreakBefore w:val="0"/>
        <w:kinsoku/>
        <w:wordWrap/>
        <w:overflowPunct/>
        <w:topLinePunct w:val="0"/>
        <w:bidi w:val="0"/>
        <w:spacing w:line="62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评分标准</w:t>
      </w:r>
    </w:p>
    <w:tbl>
      <w:tblPr>
        <w:tblStyle w:val="5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193"/>
        <w:gridCol w:w="697"/>
        <w:gridCol w:w="458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352"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bookmarkStart w:id="112" w:name="_Toc468808811"/>
            <w:r>
              <w:rPr>
                <w:rFonts w:hint="eastAsia" w:cs="宋体" w:asciiTheme="minorEastAsia" w:hAnsiTheme="minorEastAsia"/>
                <w:b/>
                <w:color w:val="000000" w:themeColor="text1"/>
                <w:sz w:val="24"/>
                <w:szCs w:val="24"/>
                <w14:textFill>
                  <w14:solidFill>
                    <w14:schemeClr w14:val="tx1"/>
                  </w14:solidFill>
                </w14:textFill>
              </w:rPr>
              <w:t>序号</w:t>
            </w:r>
          </w:p>
        </w:tc>
        <w:tc>
          <w:tcPr>
            <w:tcW w:w="700"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评分因素</w:t>
            </w:r>
          </w:p>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及权重</w:t>
            </w:r>
          </w:p>
        </w:tc>
        <w:tc>
          <w:tcPr>
            <w:tcW w:w="409"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分值</w:t>
            </w:r>
          </w:p>
        </w:tc>
        <w:tc>
          <w:tcPr>
            <w:tcW w:w="2689"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评分标准</w:t>
            </w:r>
          </w:p>
        </w:tc>
        <w:tc>
          <w:tcPr>
            <w:tcW w:w="848" w:type="pct"/>
            <w:vAlign w:val="center"/>
          </w:tcPr>
          <w:p>
            <w:pPr>
              <w:spacing w:line="400" w:lineRule="exact"/>
              <w:ind w:left="-107" w:leftChars="-51" w:right="-94" w:rightChars="-45"/>
              <w:jc w:val="center"/>
              <w:rPr>
                <w:rFonts w:cs="宋体"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b/>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报价</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0分</w:t>
            </w:r>
          </w:p>
        </w:tc>
        <w:tc>
          <w:tcPr>
            <w:tcW w:w="2689"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以本次经评审的有效的最低最后报价为基准价，报价得分=（基准价/报价）×</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0。</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报价为n个系统的等级保护测评费用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2</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项目实施方案1</w:t>
            </w:r>
            <w:r>
              <w:rPr>
                <w:rFonts w:cs="宋体" w:asciiTheme="minorEastAsia" w:hAnsiTheme="minorEastAsia"/>
                <w:color w:val="000000" w:themeColor="text1"/>
                <w:sz w:val="24"/>
                <w:szCs w:val="24"/>
                <w14:textFill>
                  <w14:solidFill>
                    <w14:schemeClr w14:val="tx1"/>
                  </w14:solidFill>
                </w14:textFill>
              </w:rPr>
              <w:t>0</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w:t>
            </w:r>
            <w:r>
              <w:rPr>
                <w:rFonts w:cs="宋体" w:asciiTheme="minorEastAsia" w:hAnsiTheme="minorEastAsia"/>
                <w:color w:val="000000" w:themeColor="text1"/>
                <w:sz w:val="24"/>
                <w:szCs w:val="24"/>
                <w14:textFill>
                  <w14:solidFill>
                    <w14:schemeClr w14:val="tx1"/>
                  </w14:solidFill>
                </w14:textFill>
              </w:rPr>
              <w:t>0</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spacing w:line="40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.项目实施方案完备性评分：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投标人项目实施方案组成应包括：项目实施标准、测评准备、方案编制、现场测评、报告编制、项目人员安排、项目实施周期等内容每有一个得1分，最多</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分，没有的不得分。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2.项目实施方案理解程度评分：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能准确理解项目的意义和背景，对项目的需求、目标、意义、以及本项目开展思路和框架有全面、准确的理解，能够明确项目的输出成果，得</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分；对项目的需求及输出成果理解不明确的，不得分。</w:t>
            </w:r>
          </w:p>
          <w:p>
            <w:pPr>
              <w:spacing w:line="40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3.项目实施方案合理性与可执行性评分：</w:t>
            </w:r>
          </w:p>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方案系统整体性很强，设计方案统一明晰，项目计划明晰，时间把控非常合理，服务内容的安排十分明确、合理，制定了详细、规范的项目计划，每符合一个得0.5分，最多得</w:t>
            </w: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分；没有不得分。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w:t>
            </w:r>
          </w:p>
        </w:tc>
        <w:tc>
          <w:tcPr>
            <w:tcW w:w="700"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投标人</w:t>
            </w:r>
          </w:p>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综合实力31%</w:t>
            </w:r>
          </w:p>
        </w:tc>
        <w:tc>
          <w:tcPr>
            <w:tcW w:w="409"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31分</w:t>
            </w:r>
          </w:p>
        </w:tc>
        <w:tc>
          <w:tcPr>
            <w:tcW w:w="2689" w:type="pct"/>
            <w:vAlign w:val="center"/>
          </w:tcPr>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1.供应商具有中国合格评定国家认可委员会颁发的CNAS证书得7分；</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2.供应商具有中国网络安全审查技术与认证中心颁发的信息安全风险评估服务资质证书得6分；</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3.供应商具有I</w:t>
            </w:r>
            <w:r>
              <w:rPr>
                <w:rFonts w:hAnsi="宋体" w:cs="宋体"/>
                <w:color w:val="000000" w:themeColor="text1"/>
                <w:sz w:val="24"/>
                <w:szCs w:val="24"/>
                <w14:textFill>
                  <w14:solidFill>
                    <w14:schemeClr w14:val="tx1"/>
                  </w14:solidFill>
                </w14:textFill>
              </w:rPr>
              <w:t>SO9001</w:t>
            </w:r>
            <w:r>
              <w:rPr>
                <w:rFonts w:hint="eastAsia" w:hAnsi="宋体" w:cs="宋体"/>
                <w:color w:val="000000" w:themeColor="text1"/>
                <w:sz w:val="24"/>
                <w:szCs w:val="24"/>
                <w14:textFill>
                  <w14:solidFill>
                    <w14:schemeClr w14:val="tx1"/>
                  </w14:solidFill>
                </w14:textFill>
              </w:rPr>
              <w:t>质量体系认证证书、ISO14001环境管理体系认证证书、ISO45001职业健康安全管理体系认证证书，认证范围包括“网络安全等级保护测评”，每有1个得2分，最多得6分，没有不得分。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.供应商具有ISO</w:t>
            </w:r>
            <w:r>
              <w:rPr>
                <w:rFonts w:hAnsi="宋体" w:cs="宋体"/>
                <w:color w:val="000000" w:themeColor="text1"/>
                <w:sz w:val="24"/>
                <w:szCs w:val="24"/>
                <w14:textFill>
                  <w14:solidFill>
                    <w14:schemeClr w14:val="tx1"/>
                  </w14:solidFill>
                </w14:textFill>
              </w:rPr>
              <w:t>27001</w:t>
            </w:r>
            <w:r>
              <w:rPr>
                <w:rFonts w:hint="eastAsia" w:hAnsi="宋体" w:cs="宋体"/>
                <w:color w:val="000000" w:themeColor="text1"/>
                <w:sz w:val="24"/>
                <w:szCs w:val="24"/>
                <w14:textFill>
                  <w14:solidFill>
                    <w14:schemeClr w14:val="tx1"/>
                  </w14:solidFill>
                </w14:textFill>
              </w:rPr>
              <w:t>信息安全管理体系认证证书，认证范围包括“网络安全等级保护测评”得6分。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5</w:t>
            </w:r>
            <w:r>
              <w:rPr>
                <w:rFonts w:hint="eastAsia" w:hAnsi="宋体" w:cs="宋体"/>
                <w:color w:val="000000" w:themeColor="text1"/>
                <w:sz w:val="24"/>
                <w:szCs w:val="24"/>
                <w14:textFill>
                  <w14:solidFill>
                    <w14:schemeClr w14:val="tx1"/>
                  </w14:solidFill>
                </w14:textFill>
              </w:rPr>
              <w:t>.供应商具有ISO2</w:t>
            </w:r>
            <w:r>
              <w:rPr>
                <w:rFonts w:hAnsi="宋体" w:cs="宋体"/>
                <w:color w:val="000000" w:themeColor="text1"/>
                <w:sz w:val="24"/>
                <w:szCs w:val="24"/>
                <w14:textFill>
                  <w14:solidFill>
                    <w14:schemeClr w14:val="tx1"/>
                  </w14:solidFill>
                </w14:textFill>
              </w:rPr>
              <w:t>0000</w:t>
            </w:r>
            <w:r>
              <w:rPr>
                <w:rFonts w:hint="eastAsia" w:hAnsi="宋体" w:cs="宋体"/>
                <w:color w:val="000000" w:themeColor="text1"/>
                <w:sz w:val="24"/>
                <w:szCs w:val="24"/>
                <w14:textFill>
                  <w14:solidFill>
                    <w14:schemeClr w14:val="tx1"/>
                  </w14:solidFill>
                </w14:textFill>
              </w:rPr>
              <w:t>-</w:t>
            </w: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服务管理体系认证证书，认证范围包括“信息系统测试服务”得6分。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4</w:t>
            </w:r>
          </w:p>
        </w:tc>
        <w:tc>
          <w:tcPr>
            <w:tcW w:w="700"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实施人员能力</w:t>
            </w:r>
          </w:p>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w:t>
            </w:r>
          </w:p>
        </w:tc>
        <w:tc>
          <w:tcPr>
            <w:tcW w:w="409" w:type="pct"/>
            <w:vAlign w:val="center"/>
          </w:tcPr>
          <w:p>
            <w:pPr>
              <w:spacing w:line="400" w:lineRule="exact"/>
              <w:jc w:val="center"/>
              <w:rPr>
                <w:rFonts w:hint="eastAsia"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31分</w:t>
            </w:r>
          </w:p>
        </w:tc>
        <w:tc>
          <w:tcPr>
            <w:tcW w:w="2689" w:type="pct"/>
            <w:vAlign w:val="center"/>
          </w:tcPr>
          <w:p>
            <w:pPr>
              <w:spacing w:line="400" w:lineRule="exact"/>
              <w:jc w:val="left"/>
              <w:rPr>
                <w:rFonts w:hAnsi="宋体" w:cs="宋体"/>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1.拟派本项目的项目负责人同时具有信息安全等级测评师（高级）证书、信息系统项目管理师证书（高级）、咨询师证书，</w:t>
            </w:r>
            <w:r>
              <w:rPr>
                <w:rFonts w:hint="eastAsia" w:hAnsi="宋体" w:cs="宋体"/>
                <w:color w:val="000000" w:themeColor="text1"/>
                <w:sz w:val="24"/>
                <w:szCs w:val="24"/>
                <w14:textFill>
                  <w14:solidFill>
                    <w14:schemeClr w14:val="tx1"/>
                  </w14:solidFill>
                </w14:textFill>
              </w:rPr>
              <w:t>得6分，每少提供一个证书扣2分，扣完为止。</w:t>
            </w:r>
          </w:p>
          <w:p>
            <w:pPr>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2.拟派本项目的项目经理同时具有信息安全等级测评师（中级）证书、CISP证书</w:t>
            </w:r>
            <w:r>
              <w:rPr>
                <w:rFonts w:hAnsi="宋体" w:cs="宋体"/>
                <w:color w:val="000000" w:themeColor="text1"/>
                <w:sz w:val="24"/>
                <w:szCs w:val="24"/>
                <w14:textFill>
                  <w14:solidFill>
                    <w14:schemeClr w14:val="tx1"/>
                  </w14:solidFill>
                </w14:textFill>
              </w:rPr>
              <w:t>、CISAW</w:t>
            </w:r>
            <w:r>
              <w:rPr>
                <w:rFonts w:hint="eastAsia" w:hAnsi="宋体" w:cs="宋体"/>
                <w:color w:val="000000" w:themeColor="text1"/>
                <w:sz w:val="24"/>
                <w:szCs w:val="24"/>
                <w14:textFill>
                  <w14:solidFill>
                    <w14:schemeClr w14:val="tx1"/>
                  </w14:solidFill>
                </w14:textFill>
              </w:rPr>
              <w:t>证书、</w:t>
            </w:r>
            <w:r>
              <w:rPr>
                <w:rFonts w:hAnsi="宋体" w:cs="宋体"/>
                <w:color w:val="000000" w:themeColor="text1"/>
                <w:sz w:val="24"/>
                <w:szCs w:val="24"/>
                <w14:textFill>
                  <w14:solidFill>
                    <w14:schemeClr w14:val="tx1"/>
                  </w14:solidFill>
                </w14:textFill>
              </w:rPr>
              <w:t>ISO27001证书</w:t>
            </w:r>
            <w:r>
              <w:rPr>
                <w:rFonts w:hint="eastAsia" w:hAnsi="宋体" w:cs="宋体"/>
                <w:color w:val="000000" w:themeColor="text1"/>
                <w:sz w:val="24"/>
                <w:szCs w:val="24"/>
                <w14:textFill>
                  <w14:solidFill>
                    <w14:schemeClr w14:val="tx1"/>
                  </w14:solidFill>
                </w14:textFill>
              </w:rPr>
              <w:t>、</w:t>
            </w:r>
            <w:r>
              <w:rPr>
                <w:rFonts w:hAnsi="宋体" w:cs="宋体"/>
                <w:color w:val="000000" w:themeColor="text1"/>
                <w:sz w:val="24"/>
                <w:szCs w:val="24"/>
                <w14:textFill>
                  <w14:solidFill>
                    <w14:schemeClr w14:val="tx1"/>
                  </w14:solidFill>
                </w14:textFill>
              </w:rPr>
              <w:t>COBIT</w:t>
            </w:r>
            <w:r>
              <w:rPr>
                <w:rFonts w:hint="eastAsia" w:hAnsi="宋体" w:cs="宋体"/>
                <w:color w:val="000000" w:themeColor="text1"/>
                <w:sz w:val="24"/>
                <w:szCs w:val="24"/>
                <w14:textFill>
                  <w14:solidFill>
                    <w14:schemeClr w14:val="tx1"/>
                  </w14:solidFill>
                </w14:textFill>
              </w:rPr>
              <w:t>证书、C</w:t>
            </w:r>
            <w:r>
              <w:rPr>
                <w:rFonts w:hAnsi="宋体" w:cs="宋体"/>
                <w:color w:val="000000" w:themeColor="text1"/>
                <w:sz w:val="24"/>
                <w:szCs w:val="24"/>
                <w14:textFill>
                  <w14:solidFill>
                    <w14:schemeClr w14:val="tx1"/>
                  </w14:solidFill>
                </w14:textFill>
              </w:rPr>
              <w:t>IIP-A</w:t>
            </w:r>
            <w:r>
              <w:rPr>
                <w:rFonts w:hint="eastAsia" w:hAnsi="宋体" w:cs="宋体"/>
                <w:color w:val="000000" w:themeColor="text1"/>
                <w:sz w:val="24"/>
                <w:szCs w:val="24"/>
                <w14:textFill>
                  <w14:solidFill>
                    <w14:schemeClr w14:val="tx1"/>
                  </w14:solidFill>
                </w14:textFill>
              </w:rPr>
              <w:t>证书，每具有一个证书得2分，最多10分。</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3</w:t>
            </w:r>
            <w:r>
              <w:rPr>
                <w:rFonts w:hint="eastAsia" w:hAnsi="宋体" w:cs="宋体"/>
                <w:color w:val="000000" w:themeColor="text1"/>
                <w:sz w:val="24"/>
                <w:szCs w:val="24"/>
                <w14:textFill>
                  <w14:solidFill>
                    <w14:schemeClr w14:val="tx1"/>
                  </w14:solidFill>
                </w14:textFill>
              </w:rPr>
              <w:t>.拟派本项目的测评人员同时具有信息安全等级测评师（中级）证书、</w:t>
            </w:r>
            <w:r>
              <w:rPr>
                <w:rFonts w:hAnsi="宋体" w:cs="宋体"/>
                <w:color w:val="000000" w:themeColor="text1"/>
                <w:sz w:val="24"/>
                <w:szCs w:val="24"/>
                <w14:textFill>
                  <w14:solidFill>
                    <w14:schemeClr w14:val="tx1"/>
                  </w14:solidFill>
                </w14:textFill>
              </w:rPr>
              <w:t>CISAW</w:t>
            </w:r>
            <w:r>
              <w:rPr>
                <w:rFonts w:hint="eastAsia" w:hAnsi="宋体" w:cs="宋体"/>
                <w:color w:val="000000" w:themeColor="text1"/>
                <w:sz w:val="24"/>
                <w:szCs w:val="24"/>
                <w14:textFill>
                  <w14:solidFill>
                    <w14:schemeClr w14:val="tx1"/>
                  </w14:solidFill>
                </w14:textFill>
              </w:rPr>
              <w:t>证书、</w:t>
            </w:r>
            <w:r>
              <w:rPr>
                <w:rFonts w:hAnsi="宋体" w:cs="宋体"/>
                <w:color w:val="000000" w:themeColor="text1"/>
                <w:sz w:val="24"/>
                <w:szCs w:val="24"/>
                <w14:textFill>
                  <w14:solidFill>
                    <w14:schemeClr w14:val="tx1"/>
                  </w14:solidFill>
                </w14:textFill>
              </w:rPr>
              <w:t>ITIL证书得</w:t>
            </w:r>
            <w:r>
              <w:rPr>
                <w:rFonts w:hint="eastAsia" w:hAnsi="宋体" w:cs="宋体"/>
                <w:color w:val="000000" w:themeColor="text1"/>
                <w:sz w:val="24"/>
                <w:szCs w:val="24"/>
                <w14:textFill>
                  <w14:solidFill>
                    <w14:schemeClr w14:val="tx1"/>
                  </w14:solidFill>
                </w14:textFill>
              </w:rPr>
              <w:t>6分，每少提供一个证书扣2分，扣完为止。</w:t>
            </w:r>
          </w:p>
          <w:p>
            <w:pPr>
              <w:spacing w:line="400" w:lineRule="exact"/>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.拟派本项目的其他测评人员具有CISP</w:t>
            </w:r>
            <w:r>
              <w:rPr>
                <w:rFonts w:hAnsi="宋体" w:cs="宋体"/>
                <w:color w:val="000000" w:themeColor="text1"/>
                <w:sz w:val="24"/>
                <w:szCs w:val="24"/>
                <w14:textFill>
                  <w14:solidFill>
                    <w14:schemeClr w14:val="tx1"/>
                  </w14:solidFill>
                </w14:textFill>
              </w:rPr>
              <w:t>-PTE</w:t>
            </w:r>
            <w:r>
              <w:rPr>
                <w:rFonts w:hint="eastAsia" w:hAnsi="宋体" w:cs="宋体"/>
                <w:color w:val="000000" w:themeColor="text1"/>
                <w:sz w:val="24"/>
                <w:szCs w:val="24"/>
                <w14:textFill>
                  <w14:solidFill>
                    <w14:schemeClr w14:val="tx1"/>
                  </w14:solidFill>
                </w14:textFill>
              </w:rPr>
              <w:t>证书、ISO27001证书、I</w:t>
            </w:r>
            <w:r>
              <w:rPr>
                <w:rFonts w:hAnsi="宋体" w:cs="宋体"/>
                <w:color w:val="000000" w:themeColor="text1"/>
                <w:sz w:val="24"/>
                <w:szCs w:val="24"/>
                <w14:textFill>
                  <w14:solidFill>
                    <w14:schemeClr w14:val="tx1"/>
                  </w14:solidFill>
                </w14:textFill>
              </w:rPr>
              <w:t>TIL</w:t>
            </w:r>
            <w:r>
              <w:rPr>
                <w:rFonts w:hint="eastAsia" w:hAnsi="宋体" w:cs="宋体"/>
                <w:color w:val="000000" w:themeColor="text1"/>
                <w:sz w:val="24"/>
                <w:szCs w:val="24"/>
                <w14:textFill>
                  <w14:solidFill>
                    <w14:schemeClr w14:val="tx1"/>
                  </w14:solidFill>
                </w14:textFill>
              </w:rPr>
              <w:t>证书，每具有一个证书得3分（每个证书不能重复得分），最多9分。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提供相关人员有效的证书复印件</w:t>
            </w:r>
            <w:r>
              <w:rPr>
                <w:rFonts w:hint="eastAsia" w:hAnsi="宋体" w:cs="宋体"/>
                <w:color w:val="000000" w:themeColor="text1"/>
                <w:sz w:val="24"/>
                <w:szCs w:val="24"/>
                <w14:textFill>
                  <w14:solidFill>
                    <w14:schemeClr w14:val="tx1"/>
                  </w14:solidFill>
                </w14:textFill>
              </w:rPr>
              <w:t>并加盖投标人公章。提供相关人员的社保证明。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5</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项目实施能力</w:t>
            </w:r>
            <w:r>
              <w:rPr>
                <w:rFonts w:cs="宋体" w:asciiTheme="minorEastAsia" w:hAnsiTheme="minorEastAsia"/>
                <w:color w:val="000000" w:themeColor="text1"/>
                <w:sz w:val="24"/>
                <w:szCs w:val="24"/>
                <w14:textFill>
                  <w14:solidFill>
                    <w14:schemeClr w14:val="tx1"/>
                  </w14:solidFill>
                </w14:textFill>
              </w:rPr>
              <w:t>6</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6</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pStyle w:val="17"/>
              <w:rPr>
                <w:rFonts w:cs="宋体" w:asciiTheme="minorEastAsia" w:hAnsiTheme="minorEastAsia"/>
                <w:color w:val="000000" w:themeColor="text1"/>
                <w:sz w:val="24"/>
                <w14:textFill>
                  <w14:solidFill>
                    <w14:schemeClr w14:val="tx1"/>
                  </w14:solidFill>
                </w14:textFill>
              </w:rPr>
            </w:pPr>
            <w:r>
              <w:rPr>
                <w:rFonts w:hint="eastAsia" w:cs="宋体" w:asciiTheme="minorEastAsia" w:hAnsiTheme="minorEastAsia"/>
                <w:color w:val="000000" w:themeColor="text1"/>
                <w:sz w:val="24"/>
                <w14:textFill>
                  <w14:solidFill>
                    <w14:schemeClr w14:val="tx1"/>
                  </w14:solidFill>
                </w14:textFill>
              </w:rPr>
              <w:t>具有测评服务的能力，提供一个项目案例证明材料得</w:t>
            </w:r>
            <w:r>
              <w:rPr>
                <w:rFonts w:cs="宋体" w:asciiTheme="minorEastAsia" w:hAnsiTheme="minorEastAsia"/>
                <w:color w:val="000000" w:themeColor="text1"/>
                <w:sz w:val="24"/>
                <w14:textFill>
                  <w14:solidFill>
                    <w14:schemeClr w14:val="tx1"/>
                  </w14:solidFill>
                </w14:textFill>
              </w:rPr>
              <w:t>1</w:t>
            </w:r>
            <w:r>
              <w:rPr>
                <w:rFonts w:hint="eastAsia" w:cs="宋体" w:asciiTheme="minorEastAsia" w:hAnsiTheme="minorEastAsia"/>
                <w:color w:val="000000" w:themeColor="text1"/>
                <w:sz w:val="24"/>
                <w14:textFill>
                  <w14:solidFill>
                    <w14:schemeClr w14:val="tx1"/>
                  </w14:solidFill>
                </w14:textFill>
              </w:rPr>
              <w:t>分，最多得</w:t>
            </w:r>
            <w:r>
              <w:rPr>
                <w:rFonts w:cs="宋体" w:asciiTheme="minorEastAsia" w:hAnsiTheme="minorEastAsia"/>
                <w:color w:val="000000" w:themeColor="text1"/>
                <w:sz w:val="24"/>
                <w14:textFill>
                  <w14:solidFill>
                    <w14:schemeClr w14:val="tx1"/>
                  </w14:solidFill>
                </w14:textFill>
              </w:rPr>
              <w:t>6</w:t>
            </w:r>
            <w:r>
              <w:rPr>
                <w:rFonts w:hint="eastAsia" w:cs="宋体" w:asciiTheme="minorEastAsia" w:hAnsiTheme="minorEastAsia"/>
                <w:color w:val="000000" w:themeColor="text1"/>
                <w:sz w:val="24"/>
                <w14:textFill>
                  <w14:solidFill>
                    <w14:schemeClr w14:val="tx1"/>
                  </w14:solidFill>
                </w14:textFill>
              </w:rPr>
              <w:t>分。</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提供相关证明材料加盖投标人公章。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52"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6</w:t>
            </w:r>
          </w:p>
        </w:tc>
        <w:tc>
          <w:tcPr>
            <w:tcW w:w="700"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响应文件规范性</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w:t>
            </w:r>
          </w:p>
        </w:tc>
        <w:tc>
          <w:tcPr>
            <w:tcW w:w="409" w:type="pct"/>
            <w:vAlign w:val="center"/>
          </w:tcPr>
          <w:p>
            <w:pPr>
              <w:spacing w:line="400" w:lineRule="exact"/>
              <w:jc w:val="center"/>
              <w:rPr>
                <w:rFonts w:cs="宋体" w:asciiTheme="minorEastAsia" w:hAnsiTheme="minorEastAsia"/>
                <w:color w:val="000000" w:themeColor="text1"/>
                <w:sz w:val="24"/>
                <w:szCs w:val="24"/>
                <w14:textFill>
                  <w14:solidFill>
                    <w14:schemeClr w14:val="tx1"/>
                  </w14:solidFill>
                </w14:textFill>
              </w:rPr>
            </w:pP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分</w:t>
            </w:r>
          </w:p>
        </w:tc>
        <w:tc>
          <w:tcPr>
            <w:tcW w:w="2689"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响应文件制作规范，没有细微偏差情形的得</w:t>
            </w:r>
            <w:r>
              <w:rPr>
                <w:rFonts w:cs="宋体"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color w:val="000000" w:themeColor="text1"/>
                <w:sz w:val="24"/>
                <w:szCs w:val="24"/>
                <w14:textFill>
                  <w14:solidFill>
                    <w14:schemeClr w14:val="tx1"/>
                  </w14:solidFill>
                </w14:textFill>
              </w:rPr>
              <w:t>分；有一项细微偏差扣0.5分，扣完为止。</w:t>
            </w:r>
          </w:p>
        </w:tc>
        <w:tc>
          <w:tcPr>
            <w:tcW w:w="848" w:type="pct"/>
            <w:vAlign w:val="center"/>
          </w:tcPr>
          <w:p>
            <w:pPr>
              <w:spacing w:line="400" w:lineRule="exact"/>
              <w:jc w:val="left"/>
              <w:rPr>
                <w:rFonts w:cs="宋体" w:asciiTheme="minorEastAsia" w:hAnsiTheme="minorEastAsia"/>
                <w:color w:val="000000" w:themeColor="text1"/>
                <w:sz w:val="24"/>
                <w:szCs w:val="24"/>
                <w14:textFill>
                  <w14:solidFill>
                    <w14:schemeClr w14:val="tx1"/>
                  </w14:solidFill>
                </w14:textFill>
              </w:rPr>
            </w:pPr>
          </w:p>
        </w:tc>
      </w:tr>
    </w:tbl>
    <w:p>
      <w:pPr>
        <w:keepNext/>
        <w:keepLines/>
        <w:pageBreakBefore w:val="0"/>
        <w:tabs>
          <w:tab w:val="left" w:pos="576"/>
        </w:tabs>
        <w:kinsoku/>
        <w:wordWrap/>
        <w:overflowPunct/>
        <w:topLinePunct w:val="0"/>
        <w:bidi w:val="0"/>
        <w:spacing w:before="260" w:after="260" w:line="620" w:lineRule="exact"/>
        <w:textAlignment w:val="auto"/>
        <w:outlineLvl w:val="1"/>
        <w:rPr>
          <w:rFonts w:hint="eastAsia"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before="260" w:after="260" w:line="620" w:lineRule="exact"/>
        <w:textAlignment w:val="auto"/>
        <w:outlineLvl w:val="1"/>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符合性审查</w:t>
      </w:r>
      <w:bookmarkEnd w:id="112"/>
    </w:p>
    <w:tbl>
      <w:tblPr>
        <w:tblStyle w:val="53"/>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restart"/>
            <w:vAlign w:val="center"/>
          </w:tcPr>
          <w:p>
            <w:pPr>
              <w:pageBreakBefore w:val="0"/>
              <w:kinsoku/>
              <w:wordWrap/>
              <w:overflowPunct/>
              <w:topLinePunct w:val="0"/>
              <w:bidi w:val="0"/>
              <w:spacing w:line="620" w:lineRule="exact"/>
              <w:ind w:left="141" w:leftChars="67"/>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p>
            <w:pPr>
              <w:pageBreakBefore w:val="0"/>
              <w:kinsoku/>
              <w:wordWrap/>
              <w:overflowPunct/>
              <w:topLinePunct w:val="0"/>
              <w:bidi w:val="0"/>
              <w:spacing w:line="620" w:lineRule="exact"/>
              <w:ind w:left="141" w:leftChars="67"/>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符合性审查</w:t>
            </w:r>
          </w:p>
        </w:tc>
        <w:tc>
          <w:tcPr>
            <w:tcW w:w="7513" w:type="dxa"/>
          </w:tcPr>
          <w:p>
            <w:pPr>
              <w:pageBreakBefore w:val="0"/>
              <w:kinsoku/>
              <w:wordWrap/>
              <w:overflowPunct/>
              <w:topLinePunct w:val="0"/>
              <w:bidi w:val="0"/>
              <w:spacing w:line="620" w:lineRule="exact"/>
              <w:ind w:left="621" w:leftChars="67" w:hanging="480" w:hangingChars="200"/>
              <w:jc w:val="center"/>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资格证明文件不全的或招标人资格条件不满足招标文件要求的；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投标文件没有投标人授权代表签字和加盖单位章；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投标标文件没有报价的或投标人投报两个或多个报价的；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明显不符合技术规范书的要求；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投标文件附有招标人不能接受的条件；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存在恶意报价行为且损害招标人利益的；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9" w:type="dxa"/>
            <w:vMerge w:val="continue"/>
          </w:tcPr>
          <w:p>
            <w:pPr>
              <w:pageBreakBefore w:val="0"/>
              <w:kinsoku/>
              <w:wordWrap/>
              <w:overflowPunct/>
              <w:topLinePunct w:val="0"/>
              <w:bidi w:val="0"/>
              <w:spacing w:line="620" w:lineRule="exact"/>
              <w:ind w:left="621" w:leftChars="67" w:hanging="480" w:hangingChars="200"/>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p>
        </w:tc>
        <w:tc>
          <w:tcPr>
            <w:tcW w:w="7513" w:type="dxa"/>
          </w:tcPr>
          <w:p>
            <w:pPr>
              <w:pageBreakBefore w:val="0"/>
              <w:kinsoku/>
              <w:wordWrap/>
              <w:overflowPunct/>
              <w:topLinePunct w:val="0"/>
              <w:bidi w:val="0"/>
              <w:spacing w:line="620" w:lineRule="exact"/>
              <w:ind w:left="141" w:leftChars="67"/>
              <w:textAlignment w:val="auto"/>
              <w:rPr>
                <w:rFonts w:ascii="方正粗黑宋简体" w:hAnsi="方正粗黑宋简体" w:eastAsia="方正粗黑宋简体" w:cs="方正粗黑宋简体"/>
                <w:color w:val="000000" w:themeColor="text1"/>
                <w:sz w:val="24"/>
                <w14:textFill>
                  <w14:solidFill>
                    <w14:schemeClr w14:val="tx1"/>
                  </w14:solidFill>
                </w14:textFill>
              </w:rPr>
            </w:pPr>
            <w:r>
              <w:rPr>
                <w:rFonts w:hint="eastAsia" w:ascii="方正粗黑宋简体" w:hAnsi="方正粗黑宋简体" w:eastAsia="方正粗黑宋简体" w:cs="方正粗黑宋简体"/>
                <w:color w:val="000000" w:themeColor="text1"/>
                <w:sz w:val="24"/>
                <w14:textFill>
                  <w14:solidFill>
                    <w14:schemeClr w14:val="tx1"/>
                  </w14:solidFill>
                </w14:textFill>
              </w:rPr>
              <w:t>其他不符合招标文件实质性要求及法律、法规规定的其他情形；</w:t>
            </w:r>
          </w:p>
        </w:tc>
      </w:tr>
    </w:tbl>
    <w:p>
      <w:pPr>
        <w:pageBreakBefore w:val="0"/>
        <w:tabs>
          <w:tab w:val="left" w:pos="0"/>
        </w:tabs>
        <w:kinsoku/>
        <w:wordWrap/>
        <w:overflowPunct/>
        <w:topLinePunct w:val="0"/>
        <w:bidi w:val="0"/>
        <w:spacing w:beforeLines="50" w:afterLines="50" w:line="620" w:lineRule="exact"/>
        <w:ind w:left="141" w:leftChars="67" w:firstLine="480" w:firstLineChars="200"/>
        <w:textAlignment w:val="auto"/>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在详细评审之前，评审小组将首先根据谈判文件中载明的资格审查标准对谈判申请人递交的谈判文件进行审查，有任何一项因素不符合审查标准的，不能通过资格审查，同时审定每份投标文件是否在实质上响应了谈判文件的要求。</w:t>
      </w:r>
    </w:p>
    <w:p>
      <w:pPr>
        <w:pageBreakBefore w:val="0"/>
        <w:tabs>
          <w:tab w:val="left" w:pos="0"/>
        </w:tabs>
        <w:kinsoku/>
        <w:wordWrap/>
        <w:overflowPunct/>
        <w:topLinePunct w:val="0"/>
        <w:bidi w:val="0"/>
        <w:spacing w:beforeLines="50" w:afterLines="50" w:line="620" w:lineRule="exact"/>
        <w:ind w:left="141" w:leftChars="67" w:firstLine="480" w:firstLineChars="200"/>
        <w:textAlignment w:val="auto"/>
        <w:rPr>
          <w:rFonts w:ascii="华文细黑" w:hAnsi="华文细黑" w:eastAsia="华文细黑"/>
          <w:color w:val="000000" w:themeColor="text1"/>
          <w:sz w:val="24"/>
          <w14:textFill>
            <w14:solidFill>
              <w14:schemeClr w14:val="tx1"/>
            </w14:solidFill>
          </w14:textFill>
        </w:rPr>
      </w:pPr>
      <w:r>
        <w:rPr>
          <w:rFonts w:hint="eastAsia" w:ascii="华文细黑" w:hAnsi="华文细黑" w:eastAsia="华文细黑"/>
          <w:color w:val="000000" w:themeColor="text1"/>
          <w:sz w:val="24"/>
          <w14:textFill>
            <w14:solidFill>
              <w14:schemeClr w14:val="tx1"/>
            </w14:solidFill>
          </w14:textFill>
        </w:rPr>
        <w:t>只有资格审查满足要求及符合性审查合格的投标人人，其投标文件才能参与评价与比较。</w:t>
      </w: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Style w:val="2"/>
        <w:rPr>
          <w:rFonts w:hint="eastAsia" w:ascii="华文细黑" w:hAnsi="华文细黑" w:eastAsia="华文细黑"/>
          <w:b/>
          <w:bCs/>
          <w:color w:val="000000" w:themeColor="text1"/>
          <w:sz w:val="24"/>
          <w14:textFill>
            <w14:solidFill>
              <w14:schemeClr w14:val="tx1"/>
            </w14:solidFill>
          </w14:textFill>
        </w:rPr>
      </w:pPr>
    </w:p>
    <w:p>
      <w:pPr>
        <w:pStyle w:val="2"/>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hint="eastAsia" w:ascii="华文细黑" w:hAnsi="华文细黑" w:eastAsia="华文细黑"/>
          <w:b/>
          <w:bCs/>
          <w:color w:val="000000" w:themeColor="text1"/>
          <w:sz w:val="24"/>
          <w14:textFill>
            <w14:solidFill>
              <w14:schemeClr w14:val="tx1"/>
            </w14:solidFill>
          </w14:textFill>
        </w:rPr>
      </w:pPr>
    </w:p>
    <w:p>
      <w:pPr>
        <w:pageBreakBefore w:val="0"/>
        <w:widowControl/>
        <w:kinsoku/>
        <w:wordWrap/>
        <w:overflowPunct/>
        <w:topLinePunct w:val="0"/>
        <w:bidi w:val="0"/>
        <w:spacing w:line="620" w:lineRule="exact"/>
        <w:jc w:val="left"/>
        <w:textAlignment w:val="auto"/>
        <w:rPr>
          <w:rFonts w:ascii="华文细黑" w:hAnsi="华文细黑" w:eastAsia="华文细黑"/>
          <w:b/>
          <w:bCs/>
          <w:color w:val="000000" w:themeColor="text1"/>
          <w:sz w:val="24"/>
          <w14:textFill>
            <w14:solidFill>
              <w14:schemeClr w14:val="tx1"/>
            </w14:solidFill>
          </w14:textFill>
        </w:rPr>
      </w:pPr>
      <w:r>
        <w:rPr>
          <w:rFonts w:hint="eastAsia" w:ascii="华文细黑" w:hAnsi="华文细黑" w:eastAsia="华文细黑"/>
          <w:b/>
          <w:bCs/>
          <w:color w:val="000000" w:themeColor="text1"/>
          <w:sz w:val="24"/>
          <w14:textFill>
            <w14:solidFill>
              <w14:schemeClr w14:val="tx1"/>
            </w14:solidFill>
          </w14:textFill>
        </w:rPr>
        <w:t>附：资格审查标准</w:t>
      </w:r>
    </w:p>
    <w:p>
      <w:pPr>
        <w:pageBreakBefore w:val="0"/>
        <w:kinsoku/>
        <w:wordWrap/>
        <w:overflowPunct/>
        <w:topLinePunct w:val="0"/>
        <w:bidi w:val="0"/>
        <w:spacing w:line="620" w:lineRule="exact"/>
        <w:textAlignment w:val="auto"/>
        <w:rPr>
          <w:rFonts w:ascii="华文细黑" w:hAnsi="华文细黑" w:eastAsia="华文细黑"/>
          <w:b/>
          <w:color w:val="000000" w:themeColor="text1"/>
          <w:sz w:val="28"/>
          <w:szCs w:val="28"/>
          <w14:textFill>
            <w14:solidFill>
              <w14:schemeClr w14:val="tx1"/>
            </w14:solidFill>
          </w14:textFill>
        </w:rPr>
      </w:pPr>
    </w:p>
    <w:tbl>
      <w:tblPr>
        <w:tblStyle w:val="53"/>
        <w:tblW w:w="9180" w:type="dxa"/>
        <w:tblInd w:w="0" w:type="dxa"/>
        <w:tblLayout w:type="fixed"/>
        <w:tblCellMar>
          <w:top w:w="0" w:type="dxa"/>
          <w:left w:w="108" w:type="dxa"/>
          <w:bottom w:w="0" w:type="dxa"/>
          <w:right w:w="108" w:type="dxa"/>
        </w:tblCellMar>
      </w:tblPr>
      <w:tblGrid>
        <w:gridCol w:w="877"/>
        <w:gridCol w:w="2775"/>
        <w:gridCol w:w="5528"/>
      </w:tblGrid>
      <w:tr>
        <w:tblPrEx>
          <w:tblCellMar>
            <w:top w:w="0" w:type="dxa"/>
            <w:left w:w="108" w:type="dxa"/>
            <w:bottom w:w="0" w:type="dxa"/>
            <w:right w:w="108" w:type="dxa"/>
          </w:tblCellMar>
        </w:tblPrEx>
        <w:trPr>
          <w:trHeight w:val="375" w:hRule="atLeast"/>
        </w:trPr>
        <w:tc>
          <w:tcPr>
            <w:tcW w:w="9180" w:type="dxa"/>
            <w:gridSpan w:val="3"/>
            <w:tcBorders>
              <w:top w:val="single" w:color="auto" w:sz="8" w:space="0"/>
              <w:left w:val="single" w:color="auto" w:sz="8" w:space="0"/>
              <w:bottom w:val="single" w:color="auto" w:sz="8" w:space="0"/>
              <w:right w:val="single" w:color="000000"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谈判申请人资格审查标准</w:t>
            </w:r>
          </w:p>
        </w:tc>
      </w:tr>
      <w:tr>
        <w:tblPrEx>
          <w:tblCellMar>
            <w:top w:w="0" w:type="dxa"/>
            <w:left w:w="108" w:type="dxa"/>
            <w:bottom w:w="0" w:type="dxa"/>
            <w:right w:w="108" w:type="dxa"/>
          </w:tblCellMar>
        </w:tblPrEx>
        <w:trPr>
          <w:trHeight w:val="375" w:hRule="atLeast"/>
        </w:trPr>
        <w:tc>
          <w:tcPr>
            <w:tcW w:w="877" w:type="dxa"/>
            <w:tcBorders>
              <w:top w:val="nil"/>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序号</w:t>
            </w:r>
          </w:p>
        </w:tc>
        <w:tc>
          <w:tcPr>
            <w:tcW w:w="2775"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审查内容</w:t>
            </w:r>
          </w:p>
        </w:tc>
        <w:tc>
          <w:tcPr>
            <w:tcW w:w="5528"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华文细黑" w:hAnsi="华文细黑" w:eastAsia="华文细黑" w:cs="宋体"/>
                <w:b/>
                <w:bCs/>
                <w:color w:val="000000" w:themeColor="text1"/>
                <w:kern w:val="0"/>
                <w:sz w:val="24"/>
                <w14:textFill>
                  <w14:solidFill>
                    <w14:schemeClr w14:val="tx1"/>
                  </w14:solidFill>
                </w14:textFill>
              </w:rPr>
            </w:pPr>
            <w:r>
              <w:rPr>
                <w:rFonts w:hint="eastAsia" w:ascii="华文细黑" w:hAnsi="华文细黑" w:eastAsia="华文细黑" w:cs="宋体"/>
                <w:b/>
                <w:bCs/>
                <w:color w:val="000000" w:themeColor="text1"/>
                <w:kern w:val="0"/>
                <w:sz w:val="24"/>
                <w14:textFill>
                  <w14:solidFill>
                    <w14:schemeClr w14:val="tx1"/>
                  </w14:solidFill>
                </w14:textFill>
              </w:rPr>
              <w:t>审查标准</w:t>
            </w:r>
          </w:p>
        </w:tc>
      </w:tr>
      <w:tr>
        <w:tblPrEx>
          <w:tblCellMar>
            <w:top w:w="0" w:type="dxa"/>
            <w:left w:w="108" w:type="dxa"/>
            <w:bottom w:w="0" w:type="dxa"/>
            <w:right w:w="108" w:type="dxa"/>
          </w:tblCellMar>
        </w:tblPrEx>
        <w:trPr>
          <w:trHeight w:val="1455" w:hRule="atLeast"/>
        </w:trPr>
        <w:tc>
          <w:tcPr>
            <w:tcW w:w="877" w:type="dxa"/>
            <w:tcBorders>
              <w:top w:val="nil"/>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1</w:t>
            </w:r>
          </w:p>
        </w:tc>
        <w:tc>
          <w:tcPr>
            <w:tcW w:w="2775"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具有独立承担民事责任的能力</w:t>
            </w:r>
          </w:p>
        </w:tc>
        <w:tc>
          <w:tcPr>
            <w:tcW w:w="5528" w:type="dxa"/>
            <w:tcBorders>
              <w:top w:val="nil"/>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或其它有效“身份证明材料”。以上材料均提供复印件</w:t>
            </w:r>
          </w:p>
        </w:tc>
      </w:tr>
      <w:tr>
        <w:tblPrEx>
          <w:tblCellMar>
            <w:top w:w="0" w:type="dxa"/>
            <w:left w:w="108" w:type="dxa"/>
            <w:bottom w:w="0" w:type="dxa"/>
            <w:right w:w="108" w:type="dxa"/>
          </w:tblCellMar>
        </w:tblPrEx>
        <w:trPr>
          <w:trHeight w:val="735" w:hRule="atLeast"/>
        </w:trPr>
        <w:tc>
          <w:tcPr>
            <w:tcW w:w="877" w:type="dxa"/>
            <w:tcBorders>
              <w:top w:val="nil"/>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2</w:t>
            </w:r>
          </w:p>
        </w:tc>
        <w:tc>
          <w:tcPr>
            <w:tcW w:w="2775" w:type="dxa"/>
            <w:tcBorders>
              <w:top w:val="nil"/>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具备良好商业信誉的证明材料</w:t>
            </w:r>
          </w:p>
        </w:tc>
        <w:tc>
          <w:tcPr>
            <w:tcW w:w="5528" w:type="dxa"/>
            <w:tcBorders>
              <w:top w:val="nil"/>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3</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具备健全的财务会计制度的证明材料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年度经审计的财务报告复印件；②也可提供</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或</w:t>
            </w:r>
            <w:r>
              <w:rPr>
                <w:rFonts w:ascii="方正粗黑宋简体" w:hAnsi="方正粗黑宋简体" w:eastAsia="方正粗黑宋简体" w:cs="方正粗黑宋简体"/>
                <w:color w:val="000000" w:themeColor="text1"/>
                <w:kern w:val="0"/>
                <w:sz w:val="24"/>
                <w14:textFill>
                  <w14:solidFill>
                    <w14:schemeClr w14:val="tx1"/>
                  </w14:solidFill>
                </w14:textFill>
              </w:rPr>
              <w:t>2019</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度供应商内部的财务报表复印件（至少包含资产负债表和利润表）；③也可提供投标文件递交截止日前一年内银行出具的有效资信证明；④供应商注册时间距投标文件递交截止日不足一年的，提供成立后任意时段的资产负债表复印件。⑤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具有依法缴纳税收和社会保障资金良好记录的证明材料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①</w:t>
            </w:r>
            <w:r>
              <w:rPr>
                <w:rFonts w:ascii="方正粗黑宋简体" w:hAnsi="方正粗黑宋简体" w:eastAsia="方正粗黑宋简体" w:cs="方正粗黑宋简体"/>
                <w:color w:val="000000" w:themeColor="text1"/>
                <w:kern w:val="0"/>
                <w:sz w:val="24"/>
                <w14:textFill>
                  <w14:solidFill>
                    <w14:schemeClr w14:val="tx1"/>
                  </w14:solidFill>
                </w14:textFill>
              </w:rPr>
              <w:t>2018</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年</w:t>
            </w:r>
            <w:r>
              <w:rPr>
                <w:rFonts w:ascii="方正粗黑宋简体" w:hAnsi="方正粗黑宋简体" w:eastAsia="方正粗黑宋简体" w:cs="方正粗黑宋简体"/>
                <w:color w:val="000000" w:themeColor="text1"/>
                <w:kern w:val="0"/>
                <w:sz w:val="24"/>
                <w14:textFill>
                  <w14:solidFill>
                    <w14:schemeClr w14:val="tx1"/>
                  </w14:solidFill>
                </w14:textFill>
              </w:rPr>
              <w:t>1</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月至今任意三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②也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4</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具备履行合同所必需的设备和专业技术能力的证明材料</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ascii="方正粗黑宋简体" w:hAnsi="方正粗黑宋简体" w:eastAsia="方正粗黑宋简体" w:cs="方正粗黑宋简体"/>
                <w:color w:val="000000" w:themeColor="text1"/>
                <w:kern w:val="0"/>
                <w:sz w:val="24"/>
                <w14:textFill>
                  <w14:solidFill>
                    <w14:schemeClr w14:val="tx1"/>
                  </w14:solidFill>
                </w14:textFill>
              </w:rPr>
              <w:t>5</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参加采购活动前三年内在经营活动中没有重大违法记录的承诺函</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可提供承诺函原件，格式详见第</w:t>
            </w:r>
            <w:r>
              <w:rPr>
                <w:rFonts w:ascii="华文细黑" w:hAnsi="华文细黑" w:eastAsia="华文细黑"/>
                <w:b/>
                <w:bCs/>
                <w:color w:val="000000" w:themeColor="text1"/>
                <w:sz w:val="24"/>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、承诺函</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default" w:ascii="方正粗黑宋简体" w:hAnsi="方正粗黑宋简体" w:eastAsia="方正粗黑宋简体" w:cs="方正粗黑宋简体"/>
                <w:color w:val="000000" w:themeColor="text1"/>
                <w:kern w:val="0"/>
                <w:sz w:val="24"/>
                <w:lang w:val="en-US"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val="en-US" w:eastAsia="zh-CN"/>
                <w14:textFill>
                  <w14:solidFill>
                    <w14:schemeClr w14:val="tx1"/>
                  </w14:solidFill>
                </w14:textFill>
              </w:rPr>
              <w:t>6</w:t>
            </w:r>
          </w:p>
        </w:tc>
        <w:tc>
          <w:tcPr>
            <w:tcW w:w="2775"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具有网络安全等级保护测评机构推荐证书</w:t>
            </w:r>
          </w:p>
        </w:tc>
        <w:tc>
          <w:tcPr>
            <w:tcW w:w="5528" w:type="dxa"/>
            <w:tcBorders>
              <w:top w:val="single" w:color="auto" w:sz="4" w:space="0"/>
              <w:left w:val="nil"/>
              <w:bottom w:val="single" w:color="auto" w:sz="4"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t>提供</w:t>
            </w: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具有网络安全等级保护测评机构推荐证书</w:t>
            </w:r>
            <w:r>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t>原件</w:t>
            </w:r>
          </w:p>
        </w:tc>
      </w:tr>
      <w:tr>
        <w:tblPrEx>
          <w:tblCellMar>
            <w:top w:w="0" w:type="dxa"/>
            <w:left w:w="108" w:type="dxa"/>
            <w:bottom w:w="0" w:type="dxa"/>
            <w:right w:w="108" w:type="dxa"/>
          </w:tblCellMar>
        </w:tblPrEx>
        <w:trPr>
          <w:trHeight w:val="735" w:hRule="atLeast"/>
        </w:trPr>
        <w:tc>
          <w:tcPr>
            <w:tcW w:w="877" w:type="dxa"/>
            <w:tcBorders>
              <w:top w:val="single" w:color="auto" w:sz="4" w:space="0"/>
              <w:left w:val="single" w:color="auto" w:sz="8" w:space="0"/>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default" w:ascii="方正粗黑宋简体" w:hAnsi="方正粗黑宋简体" w:eastAsia="方正粗黑宋简体" w:cs="方正粗黑宋简体"/>
                <w:color w:val="000000" w:themeColor="text1"/>
                <w:kern w:val="0"/>
                <w:sz w:val="24"/>
                <w:lang w:val="en-US" w:eastAsia="zh-CN"/>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lang w:val="en-US" w:eastAsia="zh-CN"/>
                <w14:textFill>
                  <w14:solidFill>
                    <w14:schemeClr w14:val="tx1"/>
                  </w14:solidFill>
                </w14:textFill>
              </w:rPr>
              <w:t>7</w:t>
            </w:r>
          </w:p>
        </w:tc>
        <w:tc>
          <w:tcPr>
            <w:tcW w:w="2775" w:type="dxa"/>
            <w:tcBorders>
              <w:top w:val="single" w:color="auto" w:sz="4" w:space="0"/>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本项目不接受联合体</w:t>
            </w:r>
          </w:p>
          <w:p>
            <w:pPr>
              <w:pageBreakBefore w:val="0"/>
              <w:widowControl/>
              <w:kinsoku/>
              <w:wordWrap/>
              <w:overflowPunct/>
              <w:topLinePunct w:val="0"/>
              <w:bidi w:val="0"/>
              <w:spacing w:line="620" w:lineRule="exact"/>
              <w:jc w:val="center"/>
              <w:textAlignment w:val="auto"/>
              <w:rPr>
                <w:rFonts w:hint="eastAsia" w:ascii="方正粗黑宋简体" w:hAnsi="方正粗黑宋简体" w:eastAsia="方正粗黑宋简体" w:cs="方正粗黑宋简体"/>
                <w:color w:val="000000" w:themeColor="text1"/>
                <w:kern w:val="0"/>
                <w:sz w:val="24"/>
                <w14:textFill>
                  <w14:solidFill>
                    <w14:schemeClr w14:val="tx1"/>
                  </w14:solidFill>
                </w14:textFill>
              </w:rPr>
            </w:pPr>
            <w:r>
              <w:rPr>
                <w:rFonts w:hint="eastAsia" w:ascii="方正粗黑宋简体" w:hAnsi="方正粗黑宋简体" w:eastAsia="方正粗黑宋简体" w:cs="方正粗黑宋简体"/>
                <w:color w:val="000000" w:themeColor="text1"/>
                <w:kern w:val="0"/>
                <w:sz w:val="24"/>
                <w14:textFill>
                  <w14:solidFill>
                    <w14:schemeClr w14:val="tx1"/>
                  </w14:solidFill>
                </w14:textFill>
              </w:rPr>
              <w:t>报价</w:t>
            </w:r>
          </w:p>
        </w:tc>
        <w:tc>
          <w:tcPr>
            <w:tcW w:w="5528" w:type="dxa"/>
            <w:tcBorders>
              <w:top w:val="single" w:color="auto" w:sz="4" w:space="0"/>
              <w:left w:val="nil"/>
              <w:bottom w:val="single" w:color="auto" w:sz="8" w:space="0"/>
              <w:right w:val="single" w:color="auto" w:sz="8" w:space="0"/>
            </w:tcBorders>
            <w:vAlign w:val="center"/>
          </w:tcPr>
          <w:p>
            <w:pPr>
              <w:pageBreakBefore w:val="0"/>
              <w:widowControl/>
              <w:kinsoku/>
              <w:wordWrap/>
              <w:overflowPunct/>
              <w:topLinePunct w:val="0"/>
              <w:bidi w:val="0"/>
              <w:spacing w:line="620" w:lineRule="exact"/>
              <w:jc w:val="left"/>
              <w:textAlignment w:val="auto"/>
              <w:rPr>
                <w:rFonts w:hint="eastAsia" w:ascii="方正粗黑宋简体" w:hAnsi="方正粗黑宋简体" w:eastAsia="方正粗黑宋简体" w:cs="方正粗黑宋简体"/>
                <w:color w:val="000000" w:themeColor="text1"/>
                <w:kern w:val="0"/>
                <w:sz w:val="24"/>
                <w:lang w:eastAsia="zh-CN"/>
                <w14:textFill>
                  <w14:solidFill>
                    <w14:schemeClr w14:val="tx1"/>
                  </w14:solidFill>
                </w14:textFill>
              </w:rPr>
            </w:pPr>
          </w:p>
        </w:tc>
      </w:tr>
      <w:bookmarkEnd w:id="68"/>
      <w:bookmarkEnd w:id="69"/>
      <w:bookmarkEnd w:id="70"/>
    </w:tbl>
    <w:p>
      <w:pPr>
        <w:keepNext/>
        <w:keepLines/>
        <w:pageBreakBefore w:val="0"/>
        <w:tabs>
          <w:tab w:val="left" w:pos="576"/>
        </w:tabs>
        <w:kinsoku/>
        <w:wordWrap/>
        <w:overflowPunct/>
        <w:topLinePunct w:val="0"/>
        <w:bidi w:val="0"/>
        <w:spacing w:before="260" w:after="260" w:line="620" w:lineRule="exact"/>
        <w:textAlignment w:val="auto"/>
        <w:outlineLvl w:val="1"/>
        <w:rPr>
          <w:rFonts w:ascii="华文细黑" w:hAnsi="华文细黑" w:eastAsia="华文细黑"/>
          <w:b/>
          <w:bCs/>
          <w:color w:val="000000" w:themeColor="text1"/>
          <w:sz w:val="24"/>
          <w14:textFill>
            <w14:solidFill>
              <w14:schemeClr w14:val="tx1"/>
            </w14:solidFill>
          </w14:textFill>
        </w:rPr>
      </w:pPr>
      <w:bookmarkStart w:id="113" w:name="_Toc468808812"/>
      <w:bookmarkStart w:id="114" w:name="_Toc226969360"/>
      <w:bookmarkStart w:id="115" w:name="_Toc107822558"/>
      <w:bookmarkStart w:id="116" w:name="_Toc488655907"/>
      <w:bookmarkStart w:id="117" w:name="_Toc227057966"/>
      <w:r>
        <w:rPr>
          <w:rFonts w:ascii="华文细黑" w:hAnsi="华文细黑" w:eastAsia="华文细黑"/>
          <w:b/>
          <w:bCs/>
          <w:color w:val="000000" w:themeColor="text1"/>
          <w:sz w:val="24"/>
          <w14:textFill>
            <w14:solidFill>
              <w14:schemeClr w14:val="tx1"/>
            </w14:solidFill>
          </w14:textFill>
        </w:rPr>
        <w:t xml:space="preserve">3.4  </w:t>
      </w:r>
      <w:bookmarkStart w:id="118" w:name="_Toc226969362"/>
      <w:bookmarkStart w:id="119" w:name="_Toc488655909"/>
      <w:bookmarkStart w:id="120" w:name="_Toc227057968"/>
      <w:bookmarkStart w:id="121" w:name="_Toc107822560"/>
      <w:r>
        <w:rPr>
          <w:rFonts w:hint="eastAsia" w:ascii="华文细黑" w:hAnsi="华文细黑" w:eastAsia="华文细黑"/>
          <w:b/>
          <w:bCs/>
          <w:color w:val="000000" w:themeColor="text1"/>
          <w:sz w:val="24"/>
          <w14:textFill>
            <w14:solidFill>
              <w14:schemeClr w14:val="tx1"/>
            </w14:solidFill>
          </w14:textFill>
        </w:rPr>
        <w:t>报价表（格式）</w:t>
      </w:r>
      <w:bookmarkEnd w:id="113"/>
    </w:p>
    <w:bookmarkEnd w:id="114"/>
    <w:bookmarkEnd w:id="115"/>
    <w:bookmarkEnd w:id="116"/>
    <w:bookmarkEnd w:id="117"/>
    <w:bookmarkEnd w:id="118"/>
    <w:bookmarkEnd w:id="119"/>
    <w:bookmarkEnd w:id="120"/>
    <w:bookmarkEnd w:id="121"/>
    <w:p>
      <w:pPr>
        <w:pageBreakBefore w:val="0"/>
        <w:kinsoku/>
        <w:wordWrap/>
        <w:overflowPunct/>
        <w:topLinePunct w:val="0"/>
        <w:bidi w:val="0"/>
        <w:spacing w:line="620" w:lineRule="exact"/>
        <w:jc w:val="center"/>
        <w:textAlignment w:val="auto"/>
        <w:rPr>
          <w:b/>
          <w:color w:val="000000" w:themeColor="text1"/>
          <w:sz w:val="32"/>
          <w:szCs w:val="32"/>
          <w14:textFill>
            <w14:solidFill>
              <w14:schemeClr w14:val="tx1"/>
            </w14:solidFill>
          </w14:textFill>
        </w:rPr>
      </w:pPr>
      <w:bookmarkStart w:id="122" w:name="_Toc516487564"/>
      <w:bookmarkStart w:id="123" w:name="_Toc527444256"/>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620" w:lineRule="exact"/>
        <w:jc w:val="center"/>
        <w:textAlignment w:val="auto"/>
        <w:rPr>
          <w:color w:val="000000" w:themeColor="text1"/>
          <w:sz w:val="28"/>
          <w:szCs w:val="28"/>
          <w14:textFill>
            <w14:solidFill>
              <w14:schemeClr w14:val="tx1"/>
            </w14:solidFill>
          </w14:textFill>
        </w:rPr>
      </w:pPr>
    </w:p>
    <w:p>
      <w:pPr>
        <w:pageBreakBefore w:val="0"/>
        <w:kinsoku/>
        <w:wordWrap/>
        <w:overflowPunct/>
        <w:topLinePunct w:val="0"/>
        <w:bidi w:val="0"/>
        <w:spacing w:line="620" w:lineRule="exact"/>
        <w:ind w:firstLine="422" w:firstLineChars="150"/>
        <w:textAlignment w:val="auto"/>
        <w:rPr>
          <w:rFonts w:hint="eastAsia" w:ascii="宋体" w:eastAsia="宋体" w:cs="宋体"/>
          <w:b/>
          <w:color w:val="000000" w:themeColor="text1"/>
          <w:sz w:val="32"/>
          <w:szCs w:val="32"/>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项</w:t>
      </w:r>
      <w:r>
        <w:rPr>
          <w:rFonts w:hint="eastAsia" w:ascii="宋体" w:hAnsi="宋体" w:cs="宋体"/>
          <w:b/>
          <w:color w:val="000000" w:themeColor="text1"/>
          <w:spacing w:val="-20"/>
          <w:sz w:val="28"/>
          <w:szCs w:val="28"/>
          <w14:textFill>
            <w14:solidFill>
              <w14:schemeClr w14:val="tx1"/>
            </w14:solidFill>
          </w14:textFill>
        </w:rPr>
        <w:t>目</w:t>
      </w:r>
      <w:r>
        <w:rPr>
          <w:rFonts w:hint="eastAsia" w:ascii="宋体" w:hAnsi="宋体" w:cs="宋体"/>
          <w:b/>
          <w:color w:val="000000" w:themeColor="text1"/>
          <w:spacing w:val="-20"/>
          <w:sz w:val="28"/>
          <w:szCs w:val="28"/>
          <w:lang w:val="en-US" w:eastAsia="zh-CN"/>
          <w14:textFill>
            <w14:solidFill>
              <w14:schemeClr w14:val="tx1"/>
            </w14:solidFill>
          </w14:textFill>
        </w:rPr>
        <w:t>名称</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u w:val="single"/>
          <w14:textFill>
            <w14:solidFill>
              <w14:schemeClr w14:val="tx1"/>
            </w14:solidFill>
          </w14:textFill>
        </w:rPr>
        <w:t>四川省政府政</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和公共</w:t>
      </w:r>
      <w:r>
        <w:rPr>
          <w:rFonts w:hint="eastAsia" w:ascii="宋体" w:hAnsi="宋体" w:cs="宋体"/>
          <w:b/>
          <w:color w:val="000000" w:themeColor="text1"/>
          <w:sz w:val="28"/>
          <w:szCs w:val="28"/>
          <w:u w:val="single"/>
          <w:lang w:val="en-US" w:eastAsia="zh-CN"/>
          <w14:textFill>
            <w14:solidFill>
              <w14:schemeClr w14:val="tx1"/>
            </w14:solidFill>
          </w14:textFill>
        </w:rPr>
        <w:t>资源</w:t>
      </w:r>
      <w:r>
        <w:rPr>
          <w:rFonts w:hint="eastAsia" w:ascii="宋体" w:hAnsi="宋体" w:cs="宋体"/>
          <w:b/>
          <w:color w:val="000000" w:themeColor="text1"/>
          <w:sz w:val="28"/>
          <w:szCs w:val="28"/>
          <w:u w:val="single"/>
          <w14:textFill>
            <w14:solidFill>
              <w14:schemeClr w14:val="tx1"/>
            </w14:solidFill>
          </w14:textFill>
        </w:rPr>
        <w:t>交易服</w:t>
      </w:r>
      <w:r>
        <w:rPr>
          <w:rFonts w:hint="eastAsia" w:ascii="宋体" w:hAnsi="宋体" w:cs="宋体"/>
          <w:b/>
          <w:color w:val="000000" w:themeColor="text1"/>
          <w:sz w:val="28"/>
          <w:szCs w:val="28"/>
          <w:u w:val="single"/>
          <w:lang w:val="en-US" w:eastAsia="zh-CN"/>
          <w14:textFill>
            <w14:solidFill>
              <w14:schemeClr w14:val="tx1"/>
            </w14:solidFill>
          </w14:textFill>
        </w:rPr>
        <w:t>务</w:t>
      </w:r>
      <w:r>
        <w:rPr>
          <w:rFonts w:hint="eastAsia" w:ascii="宋体" w:hAnsi="宋体" w:cs="宋体"/>
          <w:b/>
          <w:color w:val="000000" w:themeColor="text1"/>
          <w:sz w:val="28"/>
          <w:szCs w:val="28"/>
          <w:u w:val="single"/>
          <w14:textFill>
            <w14:solidFill>
              <w14:schemeClr w14:val="tx1"/>
            </w14:solidFill>
          </w14:textFill>
        </w:rPr>
        <w:t>中心</w:t>
      </w:r>
      <w:r>
        <w:rPr>
          <w:rFonts w:hint="eastAsia" w:ascii="宋体" w:hAnsi="宋体" w:cs="宋体"/>
          <w:b/>
          <w:color w:val="000000" w:themeColor="text1"/>
          <w:sz w:val="28"/>
          <w:szCs w:val="28"/>
          <w:u w:val="single"/>
          <w:lang w:eastAsia="zh-CN"/>
          <w14:textFill>
            <w14:solidFill>
              <w14:schemeClr w14:val="tx1"/>
            </w14:solidFill>
          </w14:textFill>
        </w:rPr>
        <w:t>系统安全等级保护测评项目</w:t>
      </w:r>
      <w:r>
        <w:rPr>
          <w:rFonts w:hint="eastAsia" w:ascii="宋体" w:hAnsi="宋体" w:cs="宋体"/>
          <w:b/>
          <w:color w:val="000000" w:themeColor="text1"/>
          <w:sz w:val="28"/>
          <w:szCs w:val="28"/>
          <w:u w:val="single"/>
          <w:lang w:val="en-US" w:eastAsia="zh-CN"/>
          <w14:textFill>
            <w14:solidFill>
              <w14:schemeClr w14:val="tx1"/>
            </w14:solidFill>
          </w14:textFill>
        </w:rPr>
        <w:t>报价表</w:t>
      </w:r>
    </w:p>
    <w:p>
      <w:pPr>
        <w:pStyle w:val="33"/>
        <w:pageBreakBefore w:val="0"/>
        <w:kinsoku/>
        <w:wordWrap/>
        <w:overflowPunct/>
        <w:topLinePunct w:val="0"/>
        <w:bidi w:val="0"/>
        <w:spacing w:line="620" w:lineRule="exact"/>
        <w:textAlignment w:val="auto"/>
        <w:rPr>
          <w:rFonts w:ascii="宋体" w:hAnsi="宋体" w:eastAsia="宋体" w:cs="宋体"/>
          <w:color w:val="000000" w:themeColor="text1"/>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620" w:lineRule="exact"/>
              <w:jc w:val="center"/>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序</w:t>
            </w:r>
            <w:r>
              <w:rPr>
                <w:rFonts w:hint="eastAsia" w:ascii="宋体" w:hAnsi="宋体" w:cs="宋体"/>
                <w:b/>
                <w:color w:val="000000" w:themeColor="text1"/>
                <w:sz w:val="28"/>
                <w:szCs w:val="28"/>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620" w:lineRule="exact"/>
              <w:jc w:val="center"/>
              <w:textAlignment w:val="auto"/>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服</w:t>
            </w:r>
            <w:r>
              <w:rPr>
                <w:rFonts w:hint="eastAsia" w:ascii="宋体" w:hAnsi="宋体" w:cs="宋体"/>
                <w:b/>
                <w:color w:val="000000" w:themeColor="text1"/>
                <w:sz w:val="28"/>
                <w:szCs w:val="28"/>
                <w:lang w:val="en-US" w:eastAsia="zh-CN"/>
                <w14:textFill>
                  <w14:solidFill>
                    <w14:schemeClr w14:val="tx1"/>
                  </w14:solidFill>
                </w14:textFill>
              </w:rPr>
              <w:t>务内</w:t>
            </w:r>
            <w:r>
              <w:rPr>
                <w:rFonts w:hint="eastAsia" w:ascii="宋体" w:hAnsi="宋体" w:cs="宋体"/>
                <w:b/>
                <w:color w:val="000000" w:themeColor="text1"/>
                <w:sz w:val="28"/>
                <w:szCs w:val="28"/>
                <w14:textFill>
                  <w14:solidFill>
                    <w14:schemeClr w14:val="tx1"/>
                  </w14:solidFill>
                </w14:textFill>
              </w:rPr>
              <w:t>容</w:t>
            </w:r>
          </w:p>
        </w:tc>
        <w:tc>
          <w:tcPr>
            <w:tcW w:w="3348" w:type="dxa"/>
            <w:vAlign w:val="center"/>
          </w:tcPr>
          <w:p>
            <w:pPr>
              <w:pageBreakBefore w:val="0"/>
              <w:kinsoku/>
              <w:wordWrap/>
              <w:overflowPunct/>
              <w:topLinePunct w:val="0"/>
              <w:bidi w:val="0"/>
              <w:spacing w:line="620" w:lineRule="exact"/>
              <w:jc w:val="center"/>
              <w:textAlignment w:val="auto"/>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报</w:t>
            </w:r>
            <w:r>
              <w:rPr>
                <w:rFonts w:hint="eastAsia" w:ascii="宋体" w:hAnsi="宋体" w:cs="宋体"/>
                <w:b/>
                <w:color w:val="000000" w:themeColor="text1"/>
                <w:sz w:val="28"/>
                <w:szCs w:val="28"/>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w:t>
            </w:r>
          </w:p>
        </w:tc>
        <w:tc>
          <w:tcPr>
            <w:tcW w:w="5244" w:type="dxa"/>
            <w:vAlign w:val="center"/>
          </w:tcPr>
          <w:p>
            <w:pPr>
              <w:pStyle w:val="254"/>
              <w:pageBreakBefore w:val="0"/>
              <w:kinsoku/>
              <w:wordWrap/>
              <w:overflowPunct/>
              <w:topLinePunct w:val="0"/>
              <w:bidi w:val="0"/>
              <w:spacing w:line="620" w:lineRule="exact"/>
              <w:ind w:firstLine="0"/>
              <w:textAlignment w:val="auto"/>
              <w:rPr>
                <w:rFonts w:ascii="宋体" w:cs="宋体"/>
                <w:color w:val="000000" w:themeColor="text1"/>
                <w:sz w:val="28"/>
                <w14:textFill>
                  <w14:solidFill>
                    <w14:schemeClr w14:val="tx1"/>
                  </w14:solidFill>
                </w14:textFill>
              </w:rPr>
            </w:pPr>
          </w:p>
        </w:tc>
        <w:tc>
          <w:tcPr>
            <w:tcW w:w="3348" w:type="dxa"/>
            <w:vAlign w:val="center"/>
          </w:tcPr>
          <w:p>
            <w:pPr>
              <w:pageBreakBefore w:val="0"/>
              <w:kinsoku/>
              <w:wordWrap/>
              <w:overflowPunct/>
              <w:topLinePunct w:val="0"/>
              <w:bidi w:val="0"/>
              <w:spacing w:line="620" w:lineRule="exact"/>
              <w:jc w:val="center"/>
              <w:textAlignment w:val="auto"/>
              <w:rPr>
                <w:rFonts w:asci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620" w:lineRule="exact"/>
              <w:jc w:val="center"/>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w:t>
            </w:r>
            <w:r>
              <w:rPr>
                <w:rFonts w:ascii="宋体" w:hAnsi="宋体" w:cs="宋体"/>
                <w:color w:val="000000" w:themeColor="text1"/>
                <w:sz w:val="28"/>
                <w:szCs w:val="28"/>
                <w14:textFill>
                  <w14:solidFill>
                    <w14:schemeClr w14:val="tx1"/>
                  </w14:solidFill>
                </w14:textFill>
              </w:rPr>
              <w:t>?</w:t>
            </w:r>
          </w:p>
        </w:tc>
        <w:tc>
          <w:tcPr>
            <w:tcW w:w="8592" w:type="dxa"/>
            <w:gridSpan w:val="2"/>
            <w:vAlign w:val="center"/>
          </w:tcPr>
          <w:p>
            <w:pPr>
              <w:pageBreakBefore w:val="0"/>
              <w:kinsoku/>
              <w:wordWrap/>
              <w:overflowPunct/>
              <w:topLinePunct w:val="0"/>
              <w:bidi w:val="0"/>
              <w:spacing w:line="620" w:lineRule="exact"/>
              <w:jc w:val="left"/>
              <w:textAlignment w:val="auto"/>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小</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大</w:t>
            </w:r>
            <w:r>
              <w:rPr>
                <w:rFonts w:hint="eastAsia" w:ascii="宋体" w:hAnsi="宋体" w:cs="宋体"/>
                <w:color w:val="000000" w:themeColor="text1"/>
                <w:sz w:val="28"/>
                <w:szCs w:val="28"/>
                <w:lang w:val="en-US" w:eastAsia="zh-CN"/>
                <w14:textFill>
                  <w14:solidFill>
                    <w14:schemeClr w14:val="tx1"/>
                  </w14:solidFill>
                </w14:textFill>
              </w:rPr>
              <w:t>写</w:t>
            </w:r>
            <w:r>
              <w:rPr>
                <w:rFonts w:hint="eastAsia" w:ascii="宋体" w:hAnsi="宋体" w:cs="宋体"/>
                <w:color w:val="000000" w:themeColor="text1"/>
                <w:sz w:val="28"/>
                <w:szCs w:val="28"/>
                <w14:textFill>
                  <w14:solidFill>
                    <w14:schemeClr w14:val="tx1"/>
                  </w14:solidFill>
                </w14:textFill>
              </w:rPr>
              <w:t>：</w:t>
            </w:r>
          </w:p>
        </w:tc>
      </w:tr>
    </w:tbl>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报</w:t>
      </w:r>
      <w:r>
        <w:rPr>
          <w:rFonts w:hint="eastAsia" w:ascii="宋体" w:hAnsi="宋体" w:cs="宋体"/>
          <w:color w:val="000000" w:themeColor="text1"/>
          <w:sz w:val="28"/>
          <w14:textFill>
            <w14:solidFill>
              <w14:schemeClr w14:val="tx1"/>
            </w14:solidFill>
          </w14:textFill>
        </w:rPr>
        <w:t>价（大</w:t>
      </w:r>
      <w:r>
        <w:rPr>
          <w:rFonts w:hint="eastAsia" w:ascii="宋体" w:hAnsi="宋体" w:cs="宋体"/>
          <w:color w:val="000000" w:themeColor="text1"/>
          <w:sz w:val="28"/>
          <w:lang w:val="en-US" w:eastAsia="zh-CN"/>
          <w14:textFill>
            <w14:solidFill>
              <w14:schemeClr w14:val="tx1"/>
            </w14:solidFill>
          </w14:textFill>
        </w:rPr>
        <w:t>写</w:t>
      </w:r>
      <w:r>
        <w:rPr>
          <w:rFonts w:hint="eastAsia" w:ascii="宋体" w:hAnsi="宋体" w:cs="宋体"/>
          <w:color w:val="000000" w:themeColor="text1"/>
          <w:sz w:val="28"/>
          <w14:textFill>
            <w14:solidFill>
              <w14:schemeClr w14:val="tx1"/>
            </w14:solidFill>
          </w14:textFill>
        </w:rPr>
        <w:t>人民</w:t>
      </w:r>
      <w:r>
        <w:rPr>
          <w:rFonts w:hint="eastAsia" w:ascii="宋体" w:hAnsi="宋体" w:cs="宋体"/>
          <w:color w:val="000000" w:themeColor="text1"/>
          <w:sz w:val="28"/>
          <w:lang w:val="en-US" w:eastAsia="zh-CN"/>
          <w14:textFill>
            <w14:solidFill>
              <w14:schemeClr w14:val="tx1"/>
            </w14:solidFill>
          </w14:textFill>
        </w:rPr>
        <w:t>币</w:t>
      </w:r>
      <w:r>
        <w:rPr>
          <w:rFonts w:hint="eastAsia" w:ascii="宋体" w:hAnsi="宋体" w:cs="宋体"/>
          <w:color w:val="000000" w:themeColor="text1"/>
          <w:sz w:val="28"/>
          <w14:textFill>
            <w14:solidFill>
              <w14:schemeClr w14:val="tx1"/>
            </w14:solidFill>
          </w14:textFill>
        </w:rPr>
        <w:t>）：</w:t>
      </w: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供</w:t>
      </w:r>
      <w:r>
        <w:rPr>
          <w:rFonts w:hint="eastAsia" w:ascii="宋体" w:hAnsi="宋体" w:cs="宋体"/>
          <w:color w:val="000000" w:themeColor="text1"/>
          <w:sz w:val="28"/>
          <w:lang w:val="en-US" w:eastAsia="zh-CN"/>
          <w14:textFill>
            <w14:solidFill>
              <w14:schemeClr w14:val="tx1"/>
            </w14:solidFill>
          </w14:textFill>
        </w:rPr>
        <w:t>应</w:t>
      </w:r>
      <w:r>
        <w:rPr>
          <w:rFonts w:hint="eastAsia" w:ascii="宋体" w:hAnsi="宋体" w:cs="宋体"/>
          <w:color w:val="000000" w:themeColor="text1"/>
          <w:sz w:val="28"/>
          <w14:textFill>
            <w14:solidFill>
              <w14:schemeClr w14:val="tx1"/>
            </w14:solidFill>
          </w14:textFill>
        </w:rPr>
        <w:t>商名</w:t>
      </w:r>
      <w:r>
        <w:rPr>
          <w:rFonts w:hint="eastAsia" w:ascii="宋体" w:hAnsi="宋体" w:cs="宋体"/>
          <w:color w:val="000000" w:themeColor="text1"/>
          <w:sz w:val="28"/>
          <w:lang w:val="en-US" w:eastAsia="zh-CN"/>
          <w14:textFill>
            <w14:solidFill>
              <w14:schemeClr w14:val="tx1"/>
            </w14:solidFill>
          </w14:textFill>
        </w:rPr>
        <w:t>称</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pacing w:val="6"/>
          <w:sz w:val="28"/>
          <w14:textFill>
            <w14:solidFill>
              <w14:schemeClr w14:val="tx1"/>
            </w14:solidFill>
          </w14:textFill>
        </w:rPr>
        <w:t>(</w:t>
      </w:r>
      <w:r>
        <w:rPr>
          <w:rFonts w:hint="eastAsia" w:ascii="宋体" w:hAnsi="宋体" w:cs="宋体"/>
          <w:color w:val="000000" w:themeColor="text1"/>
          <w:spacing w:val="6"/>
          <w:sz w:val="28"/>
          <w14:textFill>
            <w14:solidFill>
              <w14:schemeClr w14:val="tx1"/>
            </w14:solidFill>
          </w14:textFill>
        </w:rPr>
        <w:t>加</w:t>
      </w:r>
      <w:r>
        <w:rPr>
          <w:rFonts w:hint="eastAsia" w:ascii="宋体" w:hAnsi="宋体" w:cs="宋体"/>
          <w:color w:val="000000" w:themeColor="text1"/>
          <w:spacing w:val="6"/>
          <w:sz w:val="28"/>
          <w:lang w:val="en-US" w:eastAsia="zh-CN"/>
          <w14:textFill>
            <w14:solidFill>
              <w14:schemeClr w14:val="tx1"/>
            </w14:solidFill>
          </w14:textFill>
        </w:rPr>
        <w:t>盖</w:t>
      </w:r>
      <w:r>
        <w:rPr>
          <w:rFonts w:hint="eastAsia" w:ascii="宋体" w:hAnsi="宋体" w:cs="宋体"/>
          <w:color w:val="000000" w:themeColor="text1"/>
          <w:spacing w:val="6"/>
          <w:sz w:val="28"/>
          <w14:textFill>
            <w14:solidFill>
              <w14:schemeClr w14:val="tx1"/>
            </w14:solidFill>
          </w14:textFill>
        </w:rPr>
        <w:t>公章</w:t>
      </w:r>
      <w:r>
        <w:rPr>
          <w:rFonts w:ascii="宋体" w:hAnsi="宋体" w:cs="宋体"/>
          <w:color w:val="000000" w:themeColor="text1"/>
          <w:spacing w:val="6"/>
          <w:sz w:val="28"/>
          <w14:textFill>
            <w14:solidFill>
              <w14:schemeClr w14:val="tx1"/>
            </w14:solidFill>
          </w14:textFill>
        </w:rPr>
        <w:t>)</w:t>
      </w:r>
    </w:p>
    <w:p>
      <w:pPr>
        <w:pStyle w:val="254"/>
        <w:pageBreakBefore w:val="0"/>
        <w:kinsoku/>
        <w:wordWrap/>
        <w:overflowPunct/>
        <w:topLinePunct w:val="0"/>
        <w:bidi w:val="0"/>
        <w:spacing w:line="620" w:lineRule="exact"/>
        <w:ind w:firstLine="0"/>
        <w:jc w:val="both"/>
        <w:textAlignment w:val="auto"/>
        <w:rPr>
          <w:rFonts w:asci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法定代表人或代理人：</w:t>
      </w:r>
      <w:r>
        <w:rPr>
          <w:rFonts w:hint="eastAsia" w:ascii="宋体" w:hAnsi="宋体" w:cs="宋体"/>
          <w:color w:val="000000" w:themeColor="text1"/>
          <w:sz w:val="28"/>
          <w:u w:val="single"/>
          <w14:textFill>
            <w14:solidFill>
              <w14:schemeClr w14:val="tx1"/>
            </w14:solidFill>
          </w14:textFill>
        </w:rPr>
        <w:t>　　</w:t>
      </w:r>
      <w:r>
        <w:rPr>
          <w:rFonts w:ascii="宋体" w:hAnsi="宋体" w:cs="宋体"/>
          <w:color w:val="000000" w:themeColor="text1"/>
          <w:sz w:val="28"/>
          <w:u w:val="single"/>
          <w14:textFill>
            <w14:solidFill>
              <w14:schemeClr w14:val="tx1"/>
            </w14:solidFill>
          </w14:textFill>
        </w:rPr>
        <w:t xml:space="preserve">     </w:t>
      </w:r>
      <w:r>
        <w:rPr>
          <w:rFonts w:hint="eastAsia" w:ascii="宋体" w:hAnsi="宋体" w:cs="宋体"/>
          <w:color w:val="000000" w:themeColor="text1"/>
          <w:sz w:val="28"/>
          <w:u w:val="single"/>
          <w14:textFill>
            <w14:solidFill>
              <w14:schemeClr w14:val="tx1"/>
            </w14:solidFill>
          </w14:textFill>
        </w:rPr>
        <w:t>　　　　　　</w:t>
      </w:r>
      <w:r>
        <w:rPr>
          <w:rFonts w:hint="eastAsia" w:ascii="宋体" w:hAnsi="宋体" w:cs="宋体"/>
          <w:color w:val="000000" w:themeColor="text1"/>
          <w:sz w:val="28"/>
          <w14:textFill>
            <w14:solidFill>
              <w14:schemeClr w14:val="tx1"/>
            </w14:solidFill>
          </w14:textFill>
        </w:rPr>
        <w:t>（</w:t>
      </w:r>
      <w:r>
        <w:rPr>
          <w:rFonts w:hint="eastAsia" w:ascii="宋体" w:hAnsi="宋体" w:cs="宋体"/>
          <w:color w:val="000000" w:themeColor="text1"/>
          <w:sz w:val="28"/>
          <w:lang w:val="en-US" w:eastAsia="zh-CN"/>
          <w14:textFill>
            <w14:solidFill>
              <w14:schemeClr w14:val="tx1"/>
            </w14:solidFill>
          </w14:textFill>
        </w:rPr>
        <w:t>签</w:t>
      </w:r>
      <w:r>
        <w:rPr>
          <w:rFonts w:hint="eastAsia" w:ascii="宋体" w:hAnsi="宋体" w:cs="宋体"/>
          <w:color w:val="000000" w:themeColor="text1"/>
          <w:sz w:val="28"/>
          <w14:textFill>
            <w14:solidFill>
              <w14:schemeClr w14:val="tx1"/>
            </w14:solidFill>
          </w14:textFill>
        </w:rPr>
        <w:t>字）</w:t>
      </w:r>
    </w:p>
    <w:p>
      <w:pPr>
        <w:pageBreakBefore w:val="0"/>
        <w:kinsoku/>
        <w:wordWrap/>
        <w:overflowPunct/>
        <w:topLinePunct w:val="0"/>
        <w:bidi w:val="0"/>
        <w:spacing w:line="62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p>
    <w:p>
      <w:pPr>
        <w:pStyle w:val="25"/>
        <w:pageBreakBefore w:val="0"/>
        <w:kinsoku/>
        <w:wordWrap/>
        <w:overflowPunct/>
        <w:topLinePunct w:val="0"/>
        <w:bidi w:val="0"/>
        <w:adjustRightInd w:val="0"/>
        <w:snapToGrid w:val="0"/>
        <w:spacing w:line="620" w:lineRule="exact"/>
        <w:ind w:left="703" w:leftChars="67" w:hanging="562" w:hangingChars="20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28"/>
          <w14:textFill>
            <w14:solidFill>
              <w14:schemeClr w14:val="tx1"/>
            </w14:solidFill>
          </w14:textFill>
        </w:rPr>
        <w:t>规定的全部响应内容的报价（包含中标供应商应承担的物耗、人工、税费等）。</w:t>
      </w:r>
      <w:bookmarkEnd w:id="122"/>
      <w:bookmarkEnd w:id="123"/>
    </w:p>
    <w:p>
      <w:pPr>
        <w:pStyle w:val="25"/>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19"/>
        <w:keepNext w:val="0"/>
        <w:keepLines w:val="0"/>
        <w:pageBreakBefore w:val="0"/>
        <w:widowControl w:val="0"/>
        <w:kinsoku/>
        <w:wordWrap/>
        <w:overflowPunct/>
        <w:topLinePunct w:val="0"/>
        <w:autoSpaceDE/>
        <w:autoSpaceDN/>
        <w:bidi w:val="0"/>
        <w:spacing w:line="620" w:lineRule="exact"/>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keepNext w:val="0"/>
        <w:keepLines w:val="0"/>
        <w:pageBreakBefore w:val="0"/>
        <w:widowControl w:val="0"/>
        <w:kinsoku/>
        <w:wordWrap/>
        <w:overflowPunct/>
        <w:topLinePunct w:val="0"/>
        <w:autoSpaceDE/>
        <w:autoSpaceDN/>
        <w:bidi w:val="0"/>
        <w:spacing w:line="620" w:lineRule="exact"/>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致：</w:t>
      </w:r>
      <w:r>
        <w:rPr>
          <w:rFonts w:hint="eastAsia" w:ascii="宋体" w:hAnsi="宋体"/>
          <w:b/>
          <w:color w:val="000000" w:themeColor="text1"/>
          <w:sz w:val="28"/>
          <w:szCs w:val="28"/>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620" w:lineRule="exact"/>
        <w:ind w:firstLine="560" w:firstLineChars="200"/>
        <w:jc w:val="left"/>
        <w:textAlignment w:val="auto"/>
        <w:rPr>
          <w:color w:val="000000" w:themeColor="text1"/>
          <w14:textFill>
            <w14:solidFill>
              <w14:schemeClr w14:val="tx1"/>
            </w14:solidFill>
          </w14:textFill>
        </w:rPr>
      </w:pPr>
      <w:r>
        <w:rPr>
          <w:rFonts w:hint="eastAsia" w:ascii="宋体" w:hAnsi="宋体"/>
          <w:color w:val="000000" w:themeColor="text1"/>
          <w:sz w:val="28"/>
          <w14:textFill>
            <w14:solidFill>
              <w14:schemeClr w14:val="tx1"/>
            </w14:solidFill>
          </w14:textFill>
        </w:rPr>
        <w:t>我单位作为</w:t>
      </w:r>
      <w:r>
        <w:rPr>
          <w:rFonts w:hint="eastAsia" w:ascii="宋体" w:hAnsi="宋体"/>
          <w:color w:val="000000" w:themeColor="text1"/>
          <w:sz w:val="28"/>
          <w:u w:val="single"/>
          <w14:textFill>
            <w14:solidFill>
              <w14:schemeClr w14:val="tx1"/>
            </w14:solidFill>
          </w14:textFill>
        </w:rPr>
        <w:t>四川省政府政务服务和公共资源交易服务中心</w:t>
      </w:r>
      <w:r>
        <w:rPr>
          <w:rFonts w:hint="eastAsia" w:ascii="宋体" w:hAnsi="宋体"/>
          <w:color w:val="000000" w:themeColor="text1"/>
          <w:sz w:val="28"/>
          <w:u w:val="single"/>
          <w:lang w:eastAsia="zh-CN"/>
          <w14:textFill>
            <w14:solidFill>
              <w14:schemeClr w14:val="tx1"/>
            </w14:solidFill>
          </w14:textFill>
        </w:rPr>
        <w:t>系统安全等级保护测评</w:t>
      </w:r>
      <w:r>
        <w:rPr>
          <w:rFonts w:hint="eastAsia" w:ascii="宋体" w:hAnsi="宋体"/>
          <w:color w:val="000000" w:themeColor="text1"/>
          <w:sz w:val="28"/>
          <w:u w:val="single"/>
          <w14:textFill>
            <w14:solidFill>
              <w14:schemeClr w14:val="tx1"/>
            </w14:solidFill>
          </w14:textFill>
        </w:rPr>
        <w:t>项目</w:t>
      </w:r>
      <w:r>
        <w:rPr>
          <w:rFonts w:hint="eastAsia" w:ascii="宋体" w:hAnsi="宋体"/>
          <w:color w:val="000000" w:themeColor="text1"/>
          <w:sz w:val="28"/>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参加采购活动前三年内，在经营活动中</w:t>
      </w:r>
      <w:r>
        <w:rPr>
          <w:rFonts w:hint="eastAsia" w:ascii="宋体" w:hAnsi="宋体"/>
          <w:b/>
          <w:color w:val="000000" w:themeColor="text1"/>
          <w:sz w:val="28"/>
          <w:szCs w:val="28"/>
          <w:u w:val="single"/>
          <w14:textFill>
            <w14:solidFill>
              <w14:schemeClr w14:val="tx1"/>
            </w14:solidFill>
          </w14:textFill>
        </w:rPr>
        <w:t>（说明：填写“无”或“有”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二、我</w:t>
      </w:r>
      <w:r>
        <w:rPr>
          <w:rFonts w:hint="eastAsia" w:ascii="宋体" w:hAnsi="宋体"/>
          <w:color w:val="000000" w:themeColor="text1"/>
          <w:sz w:val="28"/>
          <w14:textFill>
            <w14:solidFill>
              <w14:schemeClr w14:val="tx1"/>
            </w14:solidFill>
          </w14:textFill>
        </w:rPr>
        <w:t>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三、与我</w:t>
      </w:r>
      <w:r>
        <w:rPr>
          <w:rFonts w:hint="eastAsia" w:ascii="宋体" w:hAnsi="宋体"/>
          <w:color w:val="000000" w:themeColor="text1"/>
          <w:sz w:val="28"/>
          <w14:textFill>
            <w14:solidFill>
              <w14:schemeClr w14:val="tx1"/>
            </w14:solidFill>
          </w14:textFill>
        </w:rPr>
        <w:t>单位</w:t>
      </w:r>
      <w:r>
        <w:rPr>
          <w:rFonts w:hint="eastAsia" w:ascii="宋体" w:hAnsi="宋体"/>
          <w:color w:val="000000" w:themeColor="text1"/>
          <w:sz w:val="28"/>
          <w:szCs w:val="28"/>
          <w14:textFill>
            <w14:solidFill>
              <w14:schemeClr w14:val="tx1"/>
            </w14:solidFill>
          </w14:textFill>
        </w:rPr>
        <w:t>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 ；（三）……”）</w:t>
      </w:r>
      <w:r>
        <w:rPr>
          <w:rFonts w:hint="eastAsia" w:ascii="宋体" w:hAnsi="宋体"/>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ascii="宋体" w:hAnsi="宋体"/>
          <w:b/>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我公司</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62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620" w:lineRule="exact"/>
        <w:ind w:firstLine="537" w:firstLineChars="192"/>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供应商名称：</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620" w:lineRule="exact"/>
        <w:ind w:firstLine="525"/>
        <w:textAlignment w:val="auto"/>
        <w:rPr>
          <w:rFonts w:ascii="宋体"/>
          <w:bCs/>
          <w:color w:val="000000" w:themeColor="text1"/>
          <w:sz w:val="28"/>
          <w:szCs w:val="28"/>
          <w:u w:val="single"/>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宋体"/>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5E564"/>
    <w:multiLevelType w:val="singleLevel"/>
    <w:tmpl w:val="9E55E564"/>
    <w:lvl w:ilvl="0" w:tentative="0">
      <w:start w:val="2"/>
      <w:numFmt w:val="decimal"/>
      <w:suff w:val="nothing"/>
      <w:lvlText w:val="%1、"/>
      <w:lvlJc w:val="left"/>
    </w:lvl>
  </w:abstractNum>
  <w:abstractNum w:abstractNumId="1">
    <w:nsid w:val="FFFFFF88"/>
    <w:multiLevelType w:val="singleLevel"/>
    <w:tmpl w:val="FFFFFF88"/>
    <w:lvl w:ilvl="0" w:tentative="0">
      <w:start w:val="1"/>
      <w:numFmt w:val="decimal"/>
      <w:pStyle w:val="13"/>
      <w:lvlText w:val="%1."/>
      <w:lvlJc w:val="left"/>
      <w:pPr>
        <w:tabs>
          <w:tab w:val="left" w:pos="360"/>
        </w:tabs>
        <w:ind w:left="360" w:hanging="360"/>
      </w:pPr>
      <w:rPr>
        <w:rFonts w:cs="Times New Roman"/>
      </w:rPr>
    </w:lvl>
  </w:abstractNum>
  <w:abstractNum w:abstractNumId="2">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3">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
    <w:nsid w:val="3A06F20A"/>
    <w:multiLevelType w:val="singleLevel"/>
    <w:tmpl w:val="3A06F20A"/>
    <w:lvl w:ilvl="0" w:tentative="0">
      <w:start w:val="2"/>
      <w:numFmt w:val="chineseCounting"/>
      <w:suff w:val="space"/>
      <w:lvlText w:val="第%1章"/>
      <w:lvlJc w:val="left"/>
      <w:rPr>
        <w:rFonts w:hint="eastAsia" w:cs="Times New Roman"/>
      </w:rPr>
    </w:lvl>
  </w:abstractNum>
  <w:abstractNum w:abstractNumId="6">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8">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0">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1">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7139748A"/>
    <w:multiLevelType w:val="singleLevel"/>
    <w:tmpl w:val="7139748A"/>
    <w:lvl w:ilvl="0" w:tentative="0">
      <w:start w:val="1"/>
      <w:numFmt w:val="bullet"/>
      <w:pStyle w:val="15"/>
      <w:lvlText w:val=""/>
      <w:lvlJc w:val="left"/>
      <w:pPr>
        <w:tabs>
          <w:tab w:val="left" w:pos="785"/>
        </w:tabs>
        <w:ind w:firstLine="425"/>
      </w:pPr>
      <w:rPr>
        <w:rFonts w:hint="default" w:ascii="Wingdings" w:hAnsi="Wingdings"/>
      </w:rPr>
    </w:lvl>
  </w:abstractNum>
  <w:abstractNum w:abstractNumId="14">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1"/>
  </w:num>
  <w:num w:numId="2">
    <w:abstractNumId w:val="13"/>
  </w:num>
  <w:num w:numId="3">
    <w:abstractNumId w:val="7"/>
  </w:num>
  <w:num w:numId="4">
    <w:abstractNumId w:val="14"/>
  </w:num>
  <w:num w:numId="5">
    <w:abstractNumId w:val="8"/>
  </w:num>
  <w:num w:numId="6">
    <w:abstractNumId w:val="10"/>
  </w:num>
  <w:num w:numId="7">
    <w:abstractNumId w:val="4"/>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8A05605"/>
    <w:rsid w:val="08BF02C3"/>
    <w:rsid w:val="0AB63E4B"/>
    <w:rsid w:val="0B900AF3"/>
    <w:rsid w:val="0DC52948"/>
    <w:rsid w:val="0DD93D19"/>
    <w:rsid w:val="0F800E2D"/>
    <w:rsid w:val="0FE90B71"/>
    <w:rsid w:val="12A272E2"/>
    <w:rsid w:val="133C2385"/>
    <w:rsid w:val="13873574"/>
    <w:rsid w:val="16A317BF"/>
    <w:rsid w:val="16C91448"/>
    <w:rsid w:val="18260D81"/>
    <w:rsid w:val="1A415B5C"/>
    <w:rsid w:val="1C5F6BF0"/>
    <w:rsid w:val="1CF90854"/>
    <w:rsid w:val="1D4D78CA"/>
    <w:rsid w:val="1DA95020"/>
    <w:rsid w:val="1E347AE2"/>
    <w:rsid w:val="1E3B177F"/>
    <w:rsid w:val="1F512885"/>
    <w:rsid w:val="2093255B"/>
    <w:rsid w:val="243F2CF9"/>
    <w:rsid w:val="24AA0277"/>
    <w:rsid w:val="25A3468F"/>
    <w:rsid w:val="28FC707E"/>
    <w:rsid w:val="2BEB4E2D"/>
    <w:rsid w:val="2BED280E"/>
    <w:rsid w:val="2E3A092A"/>
    <w:rsid w:val="2F1553AA"/>
    <w:rsid w:val="30733F16"/>
    <w:rsid w:val="35E5474C"/>
    <w:rsid w:val="38266265"/>
    <w:rsid w:val="38B41FE8"/>
    <w:rsid w:val="397322C1"/>
    <w:rsid w:val="3CD87AC7"/>
    <w:rsid w:val="3E801FE3"/>
    <w:rsid w:val="3EA843EA"/>
    <w:rsid w:val="3EB169D5"/>
    <w:rsid w:val="40891116"/>
    <w:rsid w:val="40E32649"/>
    <w:rsid w:val="421564CB"/>
    <w:rsid w:val="421C6C36"/>
    <w:rsid w:val="44A9478C"/>
    <w:rsid w:val="4C4A055B"/>
    <w:rsid w:val="50CC6F61"/>
    <w:rsid w:val="538C0638"/>
    <w:rsid w:val="54672F20"/>
    <w:rsid w:val="550E4668"/>
    <w:rsid w:val="55BE26E3"/>
    <w:rsid w:val="58384844"/>
    <w:rsid w:val="5F87782E"/>
    <w:rsid w:val="5FD76F7D"/>
    <w:rsid w:val="61585386"/>
    <w:rsid w:val="61907F8F"/>
    <w:rsid w:val="63E4197E"/>
    <w:rsid w:val="63F649C9"/>
    <w:rsid w:val="67717E0E"/>
    <w:rsid w:val="6B6C6A03"/>
    <w:rsid w:val="6D713B9A"/>
    <w:rsid w:val="704824EC"/>
    <w:rsid w:val="704C02B4"/>
    <w:rsid w:val="70D85181"/>
    <w:rsid w:val="71B71EE3"/>
    <w:rsid w:val="720024FB"/>
    <w:rsid w:val="763C1AB4"/>
    <w:rsid w:val="7AC76807"/>
    <w:rsid w:val="7E643CAC"/>
    <w:rsid w:val="7E771D44"/>
    <w:rsid w:val="7F705E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1"/>
    <w:link w:val="66"/>
    <w:qFormat/>
    <w:uiPriority w:val="99"/>
    <w:pPr>
      <w:keepNext/>
      <w:keepLines/>
      <w:spacing w:before="260" w:after="260" w:line="416" w:lineRule="auto"/>
      <w:outlineLvl w:val="1"/>
    </w:pPr>
    <w:rPr>
      <w:rFonts w:ascii="Arial" w:hAnsi="Arial" w:eastAsia="黑体"/>
      <w:bCs/>
      <w:sz w:val="28"/>
      <w:szCs w:val="32"/>
    </w:rPr>
  </w:style>
  <w:style w:type="paragraph" w:styleId="5">
    <w:name w:val="heading 3"/>
    <w:basedOn w:val="1"/>
    <w:next w:val="1"/>
    <w:link w:val="67"/>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8"/>
    <w:qFormat/>
    <w:uiPriority w:val="99"/>
    <w:pPr>
      <w:keepNext/>
      <w:outlineLvl w:val="3"/>
    </w:pPr>
    <w:rPr>
      <w:sz w:val="28"/>
      <w:szCs w:val="20"/>
    </w:rPr>
  </w:style>
  <w:style w:type="paragraph" w:styleId="7">
    <w:name w:val="heading 5"/>
    <w:basedOn w:val="1"/>
    <w:next w:val="1"/>
    <w:link w:val="69"/>
    <w:qFormat/>
    <w:uiPriority w:val="99"/>
    <w:pPr>
      <w:keepNext/>
      <w:keepLines/>
      <w:spacing w:before="280" w:after="290" w:line="376" w:lineRule="auto"/>
      <w:outlineLvl w:val="4"/>
    </w:pPr>
    <w:rPr>
      <w:b/>
      <w:bCs/>
      <w:sz w:val="28"/>
      <w:szCs w:val="28"/>
    </w:rPr>
  </w:style>
  <w:style w:type="paragraph" w:styleId="8">
    <w:name w:val="heading 6"/>
    <w:basedOn w:val="1"/>
    <w:next w:val="1"/>
    <w:link w:val="70"/>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71"/>
    <w:qFormat/>
    <w:uiPriority w:val="99"/>
    <w:pPr>
      <w:keepNext/>
      <w:keepLines/>
      <w:spacing w:before="240" w:after="64" w:line="320" w:lineRule="auto"/>
      <w:outlineLvl w:val="6"/>
    </w:pPr>
    <w:rPr>
      <w:b/>
      <w:bCs/>
      <w:sz w:val="24"/>
    </w:rPr>
  </w:style>
  <w:style w:type="paragraph" w:styleId="10">
    <w:name w:val="heading 8"/>
    <w:basedOn w:val="1"/>
    <w:next w:val="1"/>
    <w:link w:val="72"/>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link w:val="73"/>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0"/>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qFormat/>
    <w:uiPriority w:val="99"/>
    <w:pPr>
      <w:ind w:left="2520" w:leftChars="1200"/>
    </w:pPr>
    <w:rPr>
      <w:rFonts w:ascii="Calibri" w:hAnsi="Calibri"/>
      <w:szCs w:val="22"/>
    </w:rPr>
  </w:style>
  <w:style w:type="paragraph" w:styleId="13">
    <w:name w:val="List Number"/>
    <w:basedOn w:val="1"/>
    <w:qFormat/>
    <w:uiPriority w:val="99"/>
    <w:pPr>
      <w:numPr>
        <w:ilvl w:val="0"/>
        <w:numId w:val="1"/>
      </w:numPr>
      <w:spacing w:line="360" w:lineRule="auto"/>
      <w:ind w:hangingChars="200"/>
    </w:pPr>
    <w:rPr>
      <w:sz w:val="24"/>
    </w:rPr>
  </w:style>
  <w:style w:type="paragraph" w:styleId="14">
    <w:name w:val="caption"/>
    <w:basedOn w:val="1"/>
    <w:next w:val="1"/>
    <w:qFormat/>
    <w:uiPriority w:val="99"/>
    <w:pPr>
      <w:widowControl/>
      <w:spacing w:before="120" w:after="120"/>
      <w:jc w:val="center"/>
    </w:pPr>
    <w:rPr>
      <w:rFonts w:ascii="Calibri" w:hAnsi="Calibri"/>
      <w:b/>
      <w:kern w:val="0"/>
      <w:sz w:val="24"/>
      <w:lang w:eastAsia="en-US"/>
    </w:rPr>
  </w:style>
  <w:style w:type="paragraph" w:styleId="15">
    <w:name w:val="List Bullet"/>
    <w:basedOn w:val="1"/>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6">
    <w:name w:val="Document Map"/>
    <w:basedOn w:val="1"/>
    <w:link w:val="76"/>
    <w:qFormat/>
    <w:uiPriority w:val="99"/>
    <w:rPr>
      <w:rFonts w:ascii="宋体"/>
      <w:sz w:val="18"/>
      <w:szCs w:val="18"/>
    </w:rPr>
  </w:style>
  <w:style w:type="paragraph" w:styleId="17">
    <w:name w:val="annotation text"/>
    <w:basedOn w:val="1"/>
    <w:link w:val="77"/>
    <w:qFormat/>
    <w:uiPriority w:val="99"/>
    <w:pPr>
      <w:jc w:val="left"/>
    </w:pPr>
    <w:rPr>
      <w:szCs w:val="20"/>
    </w:rPr>
  </w:style>
  <w:style w:type="paragraph" w:styleId="18">
    <w:name w:val="Body Text 3"/>
    <w:basedOn w:val="1"/>
    <w:link w:val="78"/>
    <w:qFormat/>
    <w:uiPriority w:val="99"/>
    <w:pPr>
      <w:widowControl/>
      <w:autoSpaceDE w:val="0"/>
      <w:autoSpaceDN w:val="0"/>
      <w:adjustRightInd w:val="0"/>
      <w:spacing w:line="360" w:lineRule="auto"/>
      <w:jc w:val="center"/>
    </w:pPr>
    <w:rPr>
      <w:b/>
      <w:bCs/>
      <w:kern w:val="0"/>
      <w:sz w:val="36"/>
      <w:szCs w:val="20"/>
    </w:rPr>
  </w:style>
  <w:style w:type="paragraph" w:styleId="19">
    <w:name w:val="Body Text"/>
    <w:basedOn w:val="1"/>
    <w:next w:val="1"/>
    <w:link w:val="74"/>
    <w:qFormat/>
    <w:uiPriority w:val="99"/>
    <w:rPr>
      <w:sz w:val="28"/>
      <w:szCs w:val="20"/>
    </w:rPr>
  </w:style>
  <w:style w:type="paragraph" w:styleId="20">
    <w:name w:val="Body Text Indent"/>
    <w:basedOn w:val="1"/>
    <w:link w:val="79"/>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1"/>
    <w:qFormat/>
    <w:uiPriority w:val="99"/>
    <w:pPr>
      <w:ind w:left="100" w:leftChars="200" w:hanging="200" w:hangingChars="200"/>
    </w:pPr>
  </w:style>
  <w:style w:type="paragraph" w:styleId="22">
    <w:name w:val="List Bullet 2"/>
    <w:basedOn w:val="1"/>
    <w:qFormat/>
    <w:uiPriority w:val="99"/>
    <w:pPr>
      <w:spacing w:line="324" w:lineRule="auto"/>
      <w:ind w:left="840" w:hanging="420"/>
    </w:pPr>
  </w:style>
  <w:style w:type="paragraph" w:styleId="23">
    <w:name w:val="toc 5"/>
    <w:basedOn w:val="1"/>
    <w:next w:val="1"/>
    <w:qFormat/>
    <w:uiPriority w:val="99"/>
    <w:pPr>
      <w:ind w:left="1680" w:leftChars="800"/>
    </w:pPr>
    <w:rPr>
      <w:rFonts w:ascii="Calibri" w:hAnsi="Calibri"/>
      <w:szCs w:val="22"/>
    </w:rPr>
  </w:style>
  <w:style w:type="paragraph" w:styleId="24">
    <w:name w:val="toc 3"/>
    <w:basedOn w:val="1"/>
    <w:next w:val="1"/>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5">
    <w:name w:val="Plain Text"/>
    <w:basedOn w:val="1"/>
    <w:link w:val="80"/>
    <w:qFormat/>
    <w:uiPriority w:val="99"/>
    <w:rPr>
      <w:rFonts w:ascii="宋体" w:hAnsi="Courier New"/>
      <w:szCs w:val="20"/>
    </w:rPr>
  </w:style>
  <w:style w:type="paragraph" w:styleId="26">
    <w:name w:val="toc 8"/>
    <w:basedOn w:val="1"/>
    <w:next w:val="1"/>
    <w:qFormat/>
    <w:uiPriority w:val="99"/>
    <w:pPr>
      <w:ind w:left="2940" w:leftChars="1400"/>
    </w:pPr>
    <w:rPr>
      <w:rFonts w:ascii="Calibri" w:hAnsi="Calibri"/>
      <w:szCs w:val="22"/>
    </w:rPr>
  </w:style>
  <w:style w:type="paragraph" w:styleId="27">
    <w:name w:val="Date"/>
    <w:basedOn w:val="1"/>
    <w:next w:val="1"/>
    <w:link w:val="81"/>
    <w:qFormat/>
    <w:uiPriority w:val="99"/>
    <w:pPr>
      <w:ind w:left="100" w:leftChars="2500"/>
    </w:pPr>
    <w:rPr>
      <w:szCs w:val="20"/>
    </w:rPr>
  </w:style>
  <w:style w:type="paragraph" w:styleId="28">
    <w:name w:val="Body Text Indent 2"/>
    <w:basedOn w:val="1"/>
    <w:link w:val="82"/>
    <w:qFormat/>
    <w:uiPriority w:val="99"/>
    <w:pPr>
      <w:spacing w:line="480" w:lineRule="auto"/>
      <w:ind w:firstLine="480" w:firstLineChars="200"/>
    </w:pPr>
    <w:rPr>
      <w:rFonts w:ascii="仿宋_GB2312" w:hAnsi="宋体" w:eastAsia="仿宋_GB2312"/>
      <w:sz w:val="24"/>
    </w:rPr>
  </w:style>
  <w:style w:type="paragraph" w:styleId="29">
    <w:name w:val="List Continue 5"/>
    <w:basedOn w:val="1"/>
    <w:qFormat/>
    <w:uiPriority w:val="99"/>
    <w:pPr>
      <w:adjustRightInd w:val="0"/>
      <w:spacing w:after="120" w:line="312" w:lineRule="atLeast"/>
      <w:ind w:left="2100"/>
      <w:textAlignment w:val="baseline"/>
    </w:pPr>
    <w:rPr>
      <w:kern w:val="0"/>
      <w:szCs w:val="20"/>
    </w:rPr>
  </w:style>
  <w:style w:type="paragraph" w:styleId="30">
    <w:name w:val="Balloon Text"/>
    <w:basedOn w:val="1"/>
    <w:link w:val="83"/>
    <w:qFormat/>
    <w:uiPriority w:val="99"/>
    <w:rPr>
      <w:sz w:val="18"/>
      <w:szCs w:val="18"/>
    </w:rPr>
  </w:style>
  <w:style w:type="paragraph" w:styleId="31">
    <w:name w:val="footer"/>
    <w:basedOn w:val="1"/>
    <w:link w:val="84"/>
    <w:qFormat/>
    <w:uiPriority w:val="99"/>
    <w:pPr>
      <w:tabs>
        <w:tab w:val="center" w:pos="4153"/>
        <w:tab w:val="right" w:pos="8306"/>
      </w:tabs>
      <w:snapToGrid w:val="0"/>
      <w:jc w:val="left"/>
    </w:pPr>
    <w:rPr>
      <w:sz w:val="18"/>
      <w:szCs w:val="18"/>
    </w:rPr>
  </w:style>
  <w:style w:type="paragraph" w:styleId="32">
    <w:name w:val="header"/>
    <w:basedOn w:val="1"/>
    <w:link w:val="85"/>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4">
    <w:name w:val="toc 4"/>
    <w:basedOn w:val="1"/>
    <w:next w:val="1"/>
    <w:qFormat/>
    <w:uiPriority w:val="99"/>
    <w:pPr>
      <w:ind w:left="1260" w:leftChars="600"/>
    </w:pPr>
    <w:rPr>
      <w:rFonts w:ascii="Calibri" w:hAnsi="Calibri"/>
      <w:szCs w:val="22"/>
    </w:rPr>
  </w:style>
  <w:style w:type="paragraph" w:styleId="35">
    <w:name w:val="Subtitle"/>
    <w:basedOn w:val="1"/>
    <w:next w:val="1"/>
    <w:link w:val="86"/>
    <w:qFormat/>
    <w:uiPriority w:val="99"/>
    <w:pPr>
      <w:widowControl/>
      <w:spacing w:after="60"/>
      <w:jc w:val="center"/>
      <w:outlineLvl w:val="1"/>
    </w:pPr>
    <w:rPr>
      <w:rFonts w:ascii="楷体_GB2312" w:eastAsia="楷体_GB2312"/>
      <w:kern w:val="0"/>
      <w:sz w:val="28"/>
      <w:szCs w:val="20"/>
    </w:rPr>
  </w:style>
  <w:style w:type="paragraph" w:styleId="36">
    <w:name w:val="List"/>
    <w:basedOn w:val="1"/>
    <w:qFormat/>
    <w:uiPriority w:val="99"/>
    <w:pPr>
      <w:ind w:left="200" w:hanging="200" w:hangingChars="200"/>
    </w:pPr>
  </w:style>
  <w:style w:type="paragraph" w:styleId="37">
    <w:name w:val="footnote text"/>
    <w:basedOn w:val="1"/>
    <w:link w:val="87"/>
    <w:qFormat/>
    <w:uiPriority w:val="99"/>
    <w:pPr>
      <w:snapToGrid w:val="0"/>
      <w:jc w:val="left"/>
    </w:pPr>
    <w:rPr>
      <w:sz w:val="18"/>
      <w:szCs w:val="18"/>
    </w:rPr>
  </w:style>
  <w:style w:type="paragraph" w:styleId="38">
    <w:name w:val="toc 6"/>
    <w:basedOn w:val="1"/>
    <w:next w:val="1"/>
    <w:qFormat/>
    <w:uiPriority w:val="99"/>
    <w:pPr>
      <w:ind w:left="2100" w:leftChars="1000"/>
    </w:pPr>
    <w:rPr>
      <w:rFonts w:ascii="Calibri" w:hAnsi="Calibri"/>
      <w:szCs w:val="22"/>
    </w:rPr>
  </w:style>
  <w:style w:type="paragraph" w:styleId="39">
    <w:name w:val="List 5"/>
    <w:basedOn w:val="1"/>
    <w:qFormat/>
    <w:uiPriority w:val="99"/>
    <w:pPr>
      <w:ind w:left="100" w:leftChars="800" w:hanging="200" w:hangingChars="200"/>
      <w:contextualSpacing/>
    </w:pPr>
  </w:style>
  <w:style w:type="paragraph" w:styleId="40">
    <w:name w:val="Body Text Indent 3"/>
    <w:basedOn w:val="1"/>
    <w:link w:val="88"/>
    <w:qFormat/>
    <w:uiPriority w:val="99"/>
    <w:pPr>
      <w:spacing w:after="120" w:line="360" w:lineRule="atLeast"/>
      <w:ind w:firstLine="720" w:firstLineChars="300"/>
    </w:pPr>
    <w:rPr>
      <w:sz w:val="24"/>
      <w:szCs w:val="20"/>
    </w:rPr>
  </w:style>
  <w:style w:type="paragraph" w:styleId="41">
    <w:name w:val="table of figures"/>
    <w:basedOn w:val="1"/>
    <w:next w:val="1"/>
    <w:qFormat/>
    <w:uiPriority w:val="99"/>
    <w:pPr>
      <w:ind w:left="200" w:leftChars="200" w:hanging="200" w:hangingChars="200"/>
    </w:pPr>
  </w:style>
  <w:style w:type="paragraph" w:styleId="42">
    <w:name w:val="toc 2"/>
    <w:basedOn w:val="1"/>
    <w:next w:val="1"/>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3">
    <w:name w:val="toc 9"/>
    <w:basedOn w:val="1"/>
    <w:next w:val="1"/>
    <w:qFormat/>
    <w:uiPriority w:val="99"/>
    <w:pPr>
      <w:ind w:left="3360" w:leftChars="1600"/>
    </w:pPr>
    <w:rPr>
      <w:rFonts w:ascii="Calibri" w:hAnsi="Calibri"/>
      <w:szCs w:val="22"/>
    </w:rPr>
  </w:style>
  <w:style w:type="paragraph" w:styleId="44">
    <w:name w:val="Body Text 2"/>
    <w:basedOn w:val="1"/>
    <w:link w:val="89"/>
    <w:qFormat/>
    <w:uiPriority w:val="99"/>
    <w:pPr>
      <w:spacing w:after="120" w:line="480" w:lineRule="auto"/>
    </w:pPr>
  </w:style>
  <w:style w:type="paragraph" w:styleId="45">
    <w:name w:val="List 4"/>
    <w:basedOn w:val="1"/>
    <w:qFormat/>
    <w:uiPriority w:val="99"/>
    <w:pPr>
      <w:adjustRightInd w:val="0"/>
      <w:spacing w:line="312" w:lineRule="atLeast"/>
      <w:ind w:left="1680" w:hanging="420"/>
      <w:textAlignment w:val="baseline"/>
    </w:pPr>
    <w:rPr>
      <w:kern w:val="0"/>
      <w:szCs w:val="20"/>
    </w:rPr>
  </w:style>
  <w:style w:type="paragraph" w:styleId="46">
    <w:name w:val="HTML Preformatted"/>
    <w:basedOn w:val="1"/>
    <w:link w:val="9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7">
    <w:name w:val="Normal (Web)"/>
    <w:basedOn w:val="1"/>
    <w:link w:val="246"/>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semiHidden/>
    <w:qFormat/>
    <w:uiPriority w:val="99"/>
    <w:pPr>
      <w:widowControl/>
      <w:jc w:val="left"/>
    </w:pPr>
    <w:rPr>
      <w:rFonts w:ascii="Calibri" w:hAnsi="Calibri"/>
      <w:kern w:val="0"/>
      <w:sz w:val="24"/>
      <w:szCs w:val="20"/>
      <w:lang w:eastAsia="en-US"/>
    </w:rPr>
  </w:style>
  <w:style w:type="paragraph" w:styleId="49">
    <w:name w:val="Title"/>
    <w:basedOn w:val="1"/>
    <w:next w:val="1"/>
    <w:link w:val="91"/>
    <w:qFormat/>
    <w:uiPriority w:val="99"/>
    <w:pPr>
      <w:spacing w:before="240" w:after="60"/>
      <w:jc w:val="center"/>
      <w:outlineLvl w:val="0"/>
    </w:pPr>
    <w:rPr>
      <w:rFonts w:ascii="Cambria" w:hAnsi="Cambria"/>
      <w:b/>
      <w:bCs/>
      <w:sz w:val="32"/>
      <w:szCs w:val="32"/>
    </w:rPr>
  </w:style>
  <w:style w:type="paragraph" w:styleId="50">
    <w:name w:val="annotation subject"/>
    <w:basedOn w:val="17"/>
    <w:next w:val="17"/>
    <w:link w:val="92"/>
    <w:qFormat/>
    <w:uiPriority w:val="99"/>
    <w:rPr>
      <w:b/>
      <w:bCs/>
    </w:rPr>
  </w:style>
  <w:style w:type="paragraph" w:styleId="51">
    <w:name w:val="Body Text First Indent"/>
    <w:basedOn w:val="19"/>
    <w:link w:val="75"/>
    <w:qFormat/>
    <w:uiPriority w:val="99"/>
    <w:pPr>
      <w:spacing w:after="120"/>
      <w:ind w:firstLine="420" w:firstLineChars="100"/>
    </w:pPr>
    <w:rPr>
      <w:sz w:val="21"/>
      <w:szCs w:val="24"/>
    </w:rPr>
  </w:style>
  <w:style w:type="paragraph" w:styleId="52">
    <w:name w:val="Body Text First Indent 2"/>
    <w:basedOn w:val="20"/>
    <w:link w:val="93"/>
    <w:qFormat/>
    <w:uiPriority w:val="99"/>
    <w:pPr>
      <w:autoSpaceDE/>
      <w:autoSpaceDN/>
      <w:spacing w:line="312" w:lineRule="atLeast"/>
      <w:ind w:left="0" w:firstLine="210"/>
      <w:textAlignment w:val="baseline"/>
    </w:pPr>
    <w:rPr>
      <w:kern w:val="2"/>
      <w:sz w:val="21"/>
      <w:szCs w:val="24"/>
    </w:rPr>
  </w:style>
  <w:style w:type="table" w:styleId="54">
    <w:name w:val="Table Grid"/>
    <w:basedOn w:val="5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qFormat/>
    <w:uiPriority w:val="99"/>
    <w:rPr>
      <w:rFonts w:cs="Times New Roman"/>
      <w:b/>
    </w:rPr>
  </w:style>
  <w:style w:type="character" w:styleId="58">
    <w:name w:val="page number"/>
    <w:basedOn w:val="56"/>
    <w:qFormat/>
    <w:uiPriority w:val="99"/>
    <w:rPr>
      <w:rFonts w:cs="Times New Roman"/>
    </w:rPr>
  </w:style>
  <w:style w:type="character" w:styleId="59">
    <w:name w:val="FollowedHyperlink"/>
    <w:basedOn w:val="56"/>
    <w:qFormat/>
    <w:uiPriority w:val="99"/>
    <w:rPr>
      <w:rFonts w:cs="Times New Roman"/>
      <w:color w:val="800080"/>
      <w:u w:val="single"/>
    </w:rPr>
  </w:style>
  <w:style w:type="character" w:styleId="60">
    <w:name w:val="Emphasis"/>
    <w:basedOn w:val="56"/>
    <w:qFormat/>
    <w:uiPriority w:val="99"/>
    <w:rPr>
      <w:rFonts w:ascii="Calibri" w:hAnsi="Calibri" w:eastAsia="宋体" w:cs="Times New Roman"/>
      <w:b/>
      <w:i/>
      <w:kern w:val="2"/>
      <w:sz w:val="24"/>
      <w:lang w:val="en-US" w:eastAsia="zh-CN"/>
    </w:rPr>
  </w:style>
  <w:style w:type="character" w:styleId="61">
    <w:name w:val="HTML Typewriter"/>
    <w:basedOn w:val="56"/>
    <w:qFormat/>
    <w:uiPriority w:val="99"/>
    <w:rPr>
      <w:rFonts w:ascii="宋体" w:hAnsi="宋体" w:eastAsia="宋体" w:cs="Times New Roman"/>
      <w:sz w:val="24"/>
    </w:rPr>
  </w:style>
  <w:style w:type="character" w:styleId="62">
    <w:name w:val="Hyperlink"/>
    <w:basedOn w:val="56"/>
    <w:qFormat/>
    <w:uiPriority w:val="99"/>
    <w:rPr>
      <w:rFonts w:cs="Times New Roman"/>
      <w:color w:val="0000FF"/>
      <w:u w:val="single"/>
    </w:rPr>
  </w:style>
  <w:style w:type="character" w:styleId="63">
    <w:name w:val="annotation reference"/>
    <w:basedOn w:val="56"/>
    <w:qFormat/>
    <w:uiPriority w:val="99"/>
    <w:rPr>
      <w:rFonts w:cs="Times New Roman"/>
      <w:sz w:val="21"/>
    </w:rPr>
  </w:style>
  <w:style w:type="character" w:styleId="64">
    <w:name w:val="footnote reference"/>
    <w:basedOn w:val="56"/>
    <w:qFormat/>
    <w:uiPriority w:val="99"/>
    <w:rPr>
      <w:rFonts w:cs="Times New Roman"/>
      <w:vertAlign w:val="superscript"/>
    </w:rPr>
  </w:style>
  <w:style w:type="character" w:customStyle="1" w:styleId="65">
    <w:name w:val="Heading 1 Char"/>
    <w:basedOn w:val="56"/>
    <w:link w:val="3"/>
    <w:qFormat/>
    <w:uiPriority w:val="9"/>
    <w:rPr>
      <w:b/>
      <w:bCs/>
      <w:kern w:val="44"/>
      <w:sz w:val="44"/>
      <w:szCs w:val="44"/>
    </w:rPr>
  </w:style>
  <w:style w:type="character" w:customStyle="1" w:styleId="66">
    <w:name w:val="Heading 2 Char"/>
    <w:basedOn w:val="56"/>
    <w:link w:val="4"/>
    <w:qFormat/>
    <w:locked/>
    <w:uiPriority w:val="99"/>
    <w:rPr>
      <w:rFonts w:ascii="Arial" w:hAnsi="Arial" w:eastAsia="黑体"/>
      <w:kern w:val="2"/>
      <w:sz w:val="32"/>
    </w:rPr>
  </w:style>
  <w:style w:type="character" w:customStyle="1" w:styleId="67">
    <w:name w:val="Heading 3 Char"/>
    <w:basedOn w:val="56"/>
    <w:link w:val="5"/>
    <w:qFormat/>
    <w:locked/>
    <w:uiPriority w:val="99"/>
    <w:rPr>
      <w:rFonts w:ascii="黑体" w:eastAsia="黑体"/>
      <w:sz w:val="28"/>
    </w:rPr>
  </w:style>
  <w:style w:type="character" w:customStyle="1" w:styleId="68">
    <w:name w:val="Heading 4 Char"/>
    <w:basedOn w:val="56"/>
    <w:link w:val="6"/>
    <w:qFormat/>
    <w:locked/>
    <w:uiPriority w:val="99"/>
    <w:rPr>
      <w:kern w:val="2"/>
      <w:sz w:val="28"/>
    </w:rPr>
  </w:style>
  <w:style w:type="character" w:customStyle="1" w:styleId="69">
    <w:name w:val="Heading 5 Char"/>
    <w:basedOn w:val="56"/>
    <w:link w:val="7"/>
    <w:qFormat/>
    <w:locked/>
    <w:uiPriority w:val="99"/>
    <w:rPr>
      <w:b/>
      <w:kern w:val="2"/>
      <w:sz w:val="28"/>
    </w:rPr>
  </w:style>
  <w:style w:type="character" w:customStyle="1" w:styleId="70">
    <w:name w:val="Heading 6 Char"/>
    <w:basedOn w:val="56"/>
    <w:link w:val="8"/>
    <w:qFormat/>
    <w:locked/>
    <w:uiPriority w:val="99"/>
    <w:rPr>
      <w:rFonts w:ascii="Arial" w:hAnsi="Arial" w:eastAsia="黑体"/>
      <w:b/>
      <w:kern w:val="2"/>
      <w:sz w:val="24"/>
    </w:rPr>
  </w:style>
  <w:style w:type="character" w:customStyle="1" w:styleId="71">
    <w:name w:val="Heading 7 Char"/>
    <w:basedOn w:val="56"/>
    <w:link w:val="9"/>
    <w:qFormat/>
    <w:locked/>
    <w:uiPriority w:val="99"/>
    <w:rPr>
      <w:b/>
      <w:kern w:val="2"/>
      <w:sz w:val="24"/>
    </w:rPr>
  </w:style>
  <w:style w:type="character" w:customStyle="1" w:styleId="72">
    <w:name w:val="Heading 8 Char"/>
    <w:basedOn w:val="56"/>
    <w:link w:val="10"/>
    <w:qFormat/>
    <w:locked/>
    <w:uiPriority w:val="99"/>
    <w:rPr>
      <w:rFonts w:ascii="Arial" w:hAnsi="Arial" w:eastAsia="黑体"/>
      <w:kern w:val="2"/>
      <w:sz w:val="24"/>
    </w:rPr>
  </w:style>
  <w:style w:type="character" w:customStyle="1" w:styleId="73">
    <w:name w:val="Heading 9 Char"/>
    <w:basedOn w:val="56"/>
    <w:link w:val="11"/>
    <w:qFormat/>
    <w:locked/>
    <w:uiPriority w:val="99"/>
    <w:rPr>
      <w:rFonts w:ascii="Arial" w:hAnsi="Arial" w:eastAsia="黑体"/>
      <w:kern w:val="2"/>
      <w:sz w:val="21"/>
    </w:rPr>
  </w:style>
  <w:style w:type="character" w:customStyle="1" w:styleId="74">
    <w:name w:val="Body Text Char"/>
    <w:basedOn w:val="56"/>
    <w:link w:val="19"/>
    <w:qFormat/>
    <w:locked/>
    <w:uiPriority w:val="99"/>
    <w:rPr>
      <w:rFonts w:cs="Times New Roman"/>
      <w:kern w:val="2"/>
      <w:sz w:val="28"/>
    </w:rPr>
  </w:style>
  <w:style w:type="character" w:customStyle="1" w:styleId="75">
    <w:name w:val="Body Text First Indent Char"/>
    <w:basedOn w:val="74"/>
    <w:link w:val="51"/>
    <w:qFormat/>
    <w:locked/>
    <w:uiPriority w:val="99"/>
    <w:rPr>
      <w:sz w:val="24"/>
      <w:szCs w:val="24"/>
    </w:rPr>
  </w:style>
  <w:style w:type="character" w:customStyle="1" w:styleId="76">
    <w:name w:val="Document Map Char"/>
    <w:basedOn w:val="56"/>
    <w:link w:val="16"/>
    <w:qFormat/>
    <w:locked/>
    <w:uiPriority w:val="99"/>
    <w:rPr>
      <w:rFonts w:ascii="宋体"/>
      <w:kern w:val="2"/>
      <w:sz w:val="18"/>
    </w:rPr>
  </w:style>
  <w:style w:type="character" w:customStyle="1" w:styleId="77">
    <w:name w:val="Comment Text Char"/>
    <w:basedOn w:val="56"/>
    <w:link w:val="17"/>
    <w:qFormat/>
    <w:locked/>
    <w:uiPriority w:val="99"/>
    <w:rPr>
      <w:rFonts w:eastAsia="宋体"/>
      <w:kern w:val="2"/>
      <w:sz w:val="21"/>
      <w:lang w:val="en-US" w:eastAsia="zh-CN"/>
    </w:rPr>
  </w:style>
  <w:style w:type="character" w:customStyle="1" w:styleId="78">
    <w:name w:val="Body Text 3 Char"/>
    <w:basedOn w:val="56"/>
    <w:link w:val="18"/>
    <w:qFormat/>
    <w:locked/>
    <w:uiPriority w:val="99"/>
    <w:rPr>
      <w:rFonts w:cs="Times New Roman"/>
      <w:b/>
      <w:bCs/>
      <w:sz w:val="36"/>
    </w:rPr>
  </w:style>
  <w:style w:type="character" w:customStyle="1" w:styleId="79">
    <w:name w:val="Body Text Indent Char"/>
    <w:basedOn w:val="56"/>
    <w:link w:val="20"/>
    <w:qFormat/>
    <w:locked/>
    <w:uiPriority w:val="99"/>
    <w:rPr>
      <w:rFonts w:ascii="楷体_GB2312" w:eastAsia="楷体_GB2312" w:cs="Times New Roman"/>
      <w:sz w:val="28"/>
    </w:rPr>
  </w:style>
  <w:style w:type="character" w:customStyle="1" w:styleId="80">
    <w:name w:val="Plain Text Char"/>
    <w:basedOn w:val="56"/>
    <w:link w:val="25"/>
    <w:qFormat/>
    <w:locked/>
    <w:uiPriority w:val="99"/>
    <w:rPr>
      <w:rFonts w:ascii="宋体" w:hAnsi="Courier New"/>
      <w:kern w:val="2"/>
      <w:sz w:val="21"/>
    </w:rPr>
  </w:style>
  <w:style w:type="character" w:customStyle="1" w:styleId="81">
    <w:name w:val="Date Char"/>
    <w:basedOn w:val="56"/>
    <w:link w:val="27"/>
    <w:qFormat/>
    <w:locked/>
    <w:uiPriority w:val="99"/>
    <w:rPr>
      <w:kern w:val="2"/>
      <w:sz w:val="21"/>
    </w:rPr>
  </w:style>
  <w:style w:type="character" w:customStyle="1" w:styleId="82">
    <w:name w:val="Body Text Indent 2 Char"/>
    <w:basedOn w:val="56"/>
    <w:link w:val="28"/>
    <w:qFormat/>
    <w:locked/>
    <w:uiPriority w:val="99"/>
    <w:rPr>
      <w:rFonts w:ascii="仿宋_GB2312" w:hAnsi="宋体" w:eastAsia="仿宋_GB2312"/>
      <w:kern w:val="2"/>
      <w:sz w:val="24"/>
    </w:rPr>
  </w:style>
  <w:style w:type="character" w:customStyle="1" w:styleId="83">
    <w:name w:val="Balloon Text Char"/>
    <w:basedOn w:val="56"/>
    <w:link w:val="30"/>
    <w:qFormat/>
    <w:locked/>
    <w:uiPriority w:val="99"/>
    <w:rPr>
      <w:kern w:val="2"/>
      <w:sz w:val="18"/>
    </w:rPr>
  </w:style>
  <w:style w:type="character" w:customStyle="1" w:styleId="84">
    <w:name w:val="Footer Char"/>
    <w:basedOn w:val="56"/>
    <w:link w:val="31"/>
    <w:qFormat/>
    <w:locked/>
    <w:uiPriority w:val="99"/>
    <w:rPr>
      <w:kern w:val="2"/>
      <w:sz w:val="18"/>
    </w:rPr>
  </w:style>
  <w:style w:type="character" w:customStyle="1" w:styleId="85">
    <w:name w:val="Header Char"/>
    <w:basedOn w:val="56"/>
    <w:link w:val="32"/>
    <w:qFormat/>
    <w:locked/>
    <w:uiPriority w:val="99"/>
    <w:rPr>
      <w:kern w:val="2"/>
      <w:sz w:val="18"/>
    </w:rPr>
  </w:style>
  <w:style w:type="character" w:customStyle="1" w:styleId="86">
    <w:name w:val="Subtitle Char"/>
    <w:basedOn w:val="56"/>
    <w:link w:val="35"/>
    <w:qFormat/>
    <w:locked/>
    <w:uiPriority w:val="99"/>
    <w:rPr>
      <w:rFonts w:ascii="楷体_GB2312" w:eastAsia="楷体_GB2312"/>
      <w:sz w:val="28"/>
    </w:rPr>
  </w:style>
  <w:style w:type="character" w:customStyle="1" w:styleId="87">
    <w:name w:val="Footnote Text Char"/>
    <w:basedOn w:val="56"/>
    <w:link w:val="37"/>
    <w:qFormat/>
    <w:locked/>
    <w:uiPriority w:val="99"/>
    <w:rPr>
      <w:kern w:val="2"/>
      <w:sz w:val="18"/>
    </w:rPr>
  </w:style>
  <w:style w:type="character" w:customStyle="1" w:styleId="88">
    <w:name w:val="Body Text Indent 3 Char"/>
    <w:basedOn w:val="56"/>
    <w:link w:val="40"/>
    <w:qFormat/>
    <w:locked/>
    <w:uiPriority w:val="99"/>
    <w:rPr>
      <w:kern w:val="2"/>
      <w:sz w:val="24"/>
    </w:rPr>
  </w:style>
  <w:style w:type="character" w:customStyle="1" w:styleId="89">
    <w:name w:val="Body Text 2 Char"/>
    <w:basedOn w:val="56"/>
    <w:link w:val="44"/>
    <w:qFormat/>
    <w:locked/>
    <w:uiPriority w:val="99"/>
    <w:rPr>
      <w:kern w:val="2"/>
      <w:sz w:val="24"/>
    </w:rPr>
  </w:style>
  <w:style w:type="character" w:customStyle="1" w:styleId="90">
    <w:name w:val="HTML Preformatted Char"/>
    <w:basedOn w:val="56"/>
    <w:link w:val="46"/>
    <w:qFormat/>
    <w:locked/>
    <w:uiPriority w:val="99"/>
    <w:rPr>
      <w:rFonts w:ascii="宋体" w:eastAsia="宋体" w:cs="Times New Roman"/>
      <w:sz w:val="24"/>
      <w:szCs w:val="24"/>
    </w:rPr>
  </w:style>
  <w:style w:type="character" w:customStyle="1" w:styleId="91">
    <w:name w:val="Title Char"/>
    <w:basedOn w:val="56"/>
    <w:link w:val="49"/>
    <w:qFormat/>
    <w:locked/>
    <w:uiPriority w:val="99"/>
    <w:rPr>
      <w:rFonts w:ascii="Cambria" w:hAnsi="Cambria"/>
      <w:b/>
      <w:kern w:val="2"/>
      <w:sz w:val="32"/>
    </w:rPr>
  </w:style>
  <w:style w:type="character" w:customStyle="1" w:styleId="92">
    <w:name w:val="Comment Subject Char"/>
    <w:basedOn w:val="77"/>
    <w:link w:val="50"/>
    <w:qFormat/>
    <w:locked/>
    <w:uiPriority w:val="99"/>
    <w:rPr>
      <w:b/>
    </w:rPr>
  </w:style>
  <w:style w:type="character" w:customStyle="1" w:styleId="93">
    <w:name w:val="Body Text First Indent 2 Char"/>
    <w:basedOn w:val="79"/>
    <w:link w:val="52"/>
    <w:qFormat/>
    <w:locked/>
    <w:uiPriority w:val="99"/>
    <w:rPr>
      <w:kern w:val="2"/>
      <w:sz w:val="24"/>
      <w:szCs w:val="24"/>
    </w:rPr>
  </w:style>
  <w:style w:type="paragraph" w:customStyle="1" w:styleId="94">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5">
    <w:name w:val="列出段落1"/>
    <w:basedOn w:val="1"/>
    <w:link w:val="113"/>
    <w:qFormat/>
    <w:uiPriority w:val="99"/>
    <w:pPr>
      <w:ind w:firstLine="420" w:firstLineChars="200"/>
    </w:pPr>
    <w:rPr>
      <w:szCs w:val="20"/>
    </w:rPr>
  </w:style>
  <w:style w:type="paragraph" w:customStyle="1" w:styleId="96">
    <w:name w:val="Char Char Char Char Char Char Char Char Char Char Char Char Char"/>
    <w:basedOn w:val="16"/>
    <w:qFormat/>
    <w:uiPriority w:val="99"/>
    <w:pPr>
      <w:shd w:val="clear" w:color="auto" w:fill="000080"/>
    </w:pPr>
    <w:rPr>
      <w:rFonts w:ascii="Tahoma" w:hAnsi="Tahoma"/>
      <w:sz w:val="24"/>
      <w:szCs w:val="24"/>
    </w:rPr>
  </w:style>
  <w:style w:type="paragraph" w:customStyle="1" w:styleId="9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8">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qFormat/>
    <w:uiPriority w:val="99"/>
    <w:pPr>
      <w:spacing w:line="240" w:lineRule="auto"/>
    </w:pPr>
    <w:rPr>
      <w:rFonts w:ascii="黑体"/>
      <w:sz w:val="36"/>
      <w:szCs w:val="36"/>
    </w:rPr>
  </w:style>
  <w:style w:type="paragraph" w:customStyle="1" w:styleId="100">
    <w:name w:val="新定义正文"/>
    <w:basedOn w:val="1"/>
    <w:qFormat/>
    <w:uiPriority w:val="99"/>
    <w:pPr>
      <w:widowControl/>
    </w:pPr>
    <w:rPr>
      <w:color w:val="000000"/>
      <w:szCs w:val="21"/>
    </w:rPr>
  </w:style>
  <w:style w:type="paragraph" w:customStyle="1" w:styleId="101">
    <w:name w:val="节"/>
    <w:basedOn w:val="4"/>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qFormat/>
    <w:uiPriority w:val="99"/>
    <w:pPr>
      <w:spacing w:before="340" w:after="330" w:line="400" w:lineRule="exact"/>
    </w:pPr>
    <w:rPr>
      <w:b/>
      <w:color w:val="0070C0"/>
    </w:rPr>
  </w:style>
  <w:style w:type="paragraph" w:customStyle="1" w:styleId="103">
    <w:name w:val="c_"/>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qFormat/>
    <w:uiPriority w:val="99"/>
    <w:pPr>
      <w:widowControl/>
      <w:spacing w:line="300" w:lineRule="auto"/>
      <w:ind w:firstLine="480" w:firstLineChars="200"/>
      <w:jc w:val="left"/>
    </w:pPr>
    <w:rPr>
      <w:sz w:val="24"/>
      <w:szCs w:val="20"/>
    </w:rPr>
  </w:style>
  <w:style w:type="character" w:customStyle="1" w:styleId="106">
    <w:name w:val="Char Char1"/>
    <w:qFormat/>
    <w:uiPriority w:val="99"/>
    <w:rPr>
      <w:rFonts w:ascii="楷体_GB2312" w:eastAsia="楷体_GB2312"/>
      <w:sz w:val="28"/>
    </w:rPr>
  </w:style>
  <w:style w:type="character" w:customStyle="1" w:styleId="107">
    <w:name w:val="标题 Char"/>
    <w:qFormat/>
    <w:uiPriority w:val="99"/>
    <w:rPr>
      <w:rFonts w:ascii="Cambria" w:hAnsi="Cambria"/>
      <w:b/>
      <w:kern w:val="2"/>
      <w:sz w:val="32"/>
    </w:rPr>
  </w:style>
  <w:style w:type="character" w:customStyle="1" w:styleId="108">
    <w:name w:val="标题 1 Char"/>
    <w:qFormat/>
    <w:uiPriority w:val="99"/>
    <w:rPr>
      <w:rFonts w:ascii="黑体"/>
      <w:b/>
      <w:kern w:val="44"/>
      <w:sz w:val="32"/>
    </w:rPr>
  </w:style>
  <w:style w:type="character" w:customStyle="1" w:styleId="109">
    <w:name w:val="正文文本缩进 Char"/>
    <w:qFormat/>
    <w:uiPriority w:val="99"/>
    <w:rPr>
      <w:rFonts w:ascii="楷体_GB2312" w:eastAsia="楷体_GB2312"/>
      <w:sz w:val="28"/>
    </w:rPr>
  </w:style>
  <w:style w:type="character" w:customStyle="1" w:styleId="110">
    <w:name w:val="Char Char"/>
    <w:qFormat/>
    <w:uiPriority w:val="99"/>
    <w:rPr>
      <w:rFonts w:ascii="宋体"/>
      <w:kern w:val="2"/>
      <w:sz w:val="18"/>
    </w:rPr>
  </w:style>
  <w:style w:type="character" w:customStyle="1" w:styleId="111">
    <w:name w:val="访问过的超链接1"/>
    <w:qFormat/>
    <w:uiPriority w:val="99"/>
    <w:rPr>
      <w:color w:val="800080"/>
      <w:u w:val="single"/>
    </w:rPr>
  </w:style>
  <w:style w:type="character" w:customStyle="1" w:styleId="112">
    <w:name w:val="蓝色显示 Char"/>
    <w:link w:val="102"/>
    <w:qFormat/>
    <w:locked/>
    <w:uiPriority w:val="99"/>
    <w:rPr>
      <w:b/>
      <w:color w:val="0070C0"/>
      <w:kern w:val="2"/>
      <w:sz w:val="24"/>
    </w:rPr>
  </w:style>
  <w:style w:type="character" w:customStyle="1" w:styleId="113">
    <w:name w:val="列出段落 Char"/>
    <w:link w:val="95"/>
    <w:qFormat/>
    <w:locked/>
    <w:uiPriority w:val="99"/>
    <w:rPr>
      <w:kern w:val="2"/>
      <w:sz w:val="21"/>
    </w:rPr>
  </w:style>
  <w:style w:type="table" w:customStyle="1" w:styleId="114">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qFormat/>
    <w:uiPriority w:val="99"/>
    <w:rPr>
      <w:rFonts w:ascii="宋体" w:hAnsi="宋体" w:eastAsia="宋体"/>
      <w:color w:val="000000"/>
      <w:sz w:val="22"/>
      <w:u w:val="none"/>
    </w:rPr>
  </w:style>
  <w:style w:type="character" w:customStyle="1" w:styleId="116">
    <w:name w:val="font51"/>
    <w:qFormat/>
    <w:uiPriority w:val="99"/>
    <w:rPr>
      <w:rFonts w:ascii="宋体" w:hAnsi="宋体" w:eastAsia="宋体"/>
      <w:color w:val="000000"/>
      <w:sz w:val="22"/>
      <w:u w:val="none"/>
    </w:rPr>
  </w:style>
  <w:style w:type="character" w:customStyle="1" w:styleId="117">
    <w:name w:val="font11"/>
    <w:qFormat/>
    <w:uiPriority w:val="99"/>
    <w:rPr>
      <w:rFonts w:ascii="宋体" w:hAnsi="宋体" w:eastAsia="宋体"/>
      <w:color w:val="000000"/>
      <w:sz w:val="24"/>
      <w:u w:val="none"/>
    </w:rPr>
  </w:style>
  <w:style w:type="character" w:customStyle="1" w:styleId="118">
    <w:name w:val="font01"/>
    <w:qFormat/>
    <w:uiPriority w:val="99"/>
    <w:rPr>
      <w:rFonts w:ascii="宋体" w:hAnsi="宋体" w:eastAsia="宋体"/>
      <w:color w:val="000000"/>
      <w:sz w:val="24"/>
      <w:u w:val="single"/>
    </w:rPr>
  </w:style>
  <w:style w:type="paragraph" w:customStyle="1" w:styleId="119">
    <w:name w:val="TOC Heading1"/>
    <w:basedOn w:val="3"/>
    <w:next w:val="1"/>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2"/>
    <w:qFormat/>
    <w:locked/>
    <w:uiPriority w:val="99"/>
    <w:rPr>
      <w:rFonts w:ascii="楷体_GB2312" w:eastAsia="楷体_GB2312"/>
      <w:sz w:val="28"/>
    </w:rPr>
  </w:style>
  <w:style w:type="paragraph" w:customStyle="1" w:styleId="121">
    <w:name w:val="List Paragraph1"/>
    <w:basedOn w:val="1"/>
    <w:qFormat/>
    <w:uiPriority w:val="99"/>
    <w:pPr>
      <w:ind w:firstLine="420" w:firstLineChars="200"/>
    </w:pPr>
    <w:rPr>
      <w:szCs w:val="20"/>
    </w:rPr>
  </w:style>
  <w:style w:type="character" w:customStyle="1" w:styleId="122">
    <w:name w:val="Char Char3"/>
    <w:qFormat/>
    <w:uiPriority w:val="99"/>
    <w:rPr>
      <w:rFonts w:eastAsia="宋体"/>
      <w:kern w:val="2"/>
      <w:sz w:val="21"/>
      <w:lang w:val="en-US" w:eastAsia="zh-CN"/>
    </w:rPr>
  </w:style>
  <w:style w:type="character" w:customStyle="1" w:styleId="123">
    <w:name w:val="Char Char2"/>
    <w:qFormat/>
    <w:uiPriority w:val="99"/>
    <w:rPr>
      <w:rFonts w:eastAsia="宋体"/>
      <w:b/>
      <w:kern w:val="2"/>
      <w:sz w:val="21"/>
      <w:lang w:val="en-US" w:eastAsia="zh-CN"/>
    </w:rPr>
  </w:style>
  <w:style w:type="paragraph" w:customStyle="1" w:styleId="124">
    <w:name w:val="Char"/>
    <w:basedOn w:val="16"/>
    <w:qFormat/>
    <w:uiPriority w:val="99"/>
    <w:pPr>
      <w:shd w:val="clear" w:color="auto" w:fill="000080"/>
    </w:pPr>
    <w:rPr>
      <w:rFonts w:ascii="Tahoma" w:hAnsi="Tahoma"/>
      <w:sz w:val="24"/>
      <w:szCs w:val="24"/>
    </w:rPr>
  </w:style>
  <w:style w:type="paragraph" w:customStyle="1" w:styleId="125">
    <w:name w:val="样式"/>
    <w:basedOn w:val="1"/>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qFormat/>
    <w:uiPriority w:val="99"/>
  </w:style>
  <w:style w:type="paragraph" w:customStyle="1" w:styleId="128">
    <w:name w:val="msoacetate"/>
    <w:basedOn w:val="1"/>
    <w:qFormat/>
    <w:uiPriority w:val="99"/>
    <w:rPr>
      <w:sz w:val="18"/>
      <w:szCs w:val="18"/>
    </w:rPr>
  </w:style>
  <w:style w:type="paragraph" w:customStyle="1" w:styleId="129">
    <w:name w:val="樣式1"/>
    <w:basedOn w:val="1"/>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qFormat/>
    <w:uiPriority w:val="99"/>
    <w:pPr>
      <w:tabs>
        <w:tab w:val="left" w:pos="4665"/>
        <w:tab w:val="left" w:pos="8970"/>
      </w:tabs>
      <w:ind w:firstLine="400"/>
    </w:pPr>
    <w:rPr>
      <w:rFonts w:ascii="Tahoma" w:hAnsi="Tahoma"/>
      <w:sz w:val="24"/>
      <w:szCs w:val="20"/>
    </w:rPr>
  </w:style>
  <w:style w:type="paragraph" w:customStyle="1" w:styleId="131">
    <w:name w:val="Char2"/>
    <w:basedOn w:val="16"/>
    <w:qFormat/>
    <w:uiPriority w:val="99"/>
    <w:pPr>
      <w:shd w:val="clear" w:color="auto" w:fill="000080"/>
    </w:pPr>
    <w:rPr>
      <w:rFonts w:ascii="Tahoma" w:hAnsi="Tahoma"/>
      <w:sz w:val="13"/>
      <w:szCs w:val="24"/>
    </w:rPr>
  </w:style>
  <w:style w:type="paragraph" w:customStyle="1" w:styleId="132">
    <w:name w:val="Char1"/>
    <w:basedOn w:val="1"/>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6"/>
    <w:next w:val="1"/>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6"/>
    <w:qFormat/>
    <w:uiPriority w:val="99"/>
    <w:pPr>
      <w:shd w:val="clear" w:color="auto" w:fill="000080"/>
    </w:pPr>
    <w:rPr>
      <w:rFonts w:ascii="Tahoma" w:hAnsi="Tahoma"/>
      <w:sz w:val="24"/>
      <w:szCs w:val="24"/>
    </w:rPr>
  </w:style>
  <w:style w:type="paragraph" w:customStyle="1" w:styleId="135">
    <w:name w:val="正文缩进+项目符号"/>
    <w:basedOn w:val="136"/>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qFormat/>
    <w:locked/>
    <w:uiPriority w:val="99"/>
    <w:rPr>
      <w:kern w:val="2"/>
      <w:sz w:val="24"/>
    </w:rPr>
  </w:style>
  <w:style w:type="paragraph" w:customStyle="1" w:styleId="138">
    <w:name w:val="表格文字（大）"/>
    <w:basedOn w:val="1"/>
    <w:qFormat/>
    <w:uiPriority w:val="99"/>
    <w:pPr>
      <w:spacing w:before="20" w:after="20"/>
    </w:pPr>
    <w:rPr>
      <w:rFonts w:ascii="Century Gothic" w:hAnsi="Century Gothic"/>
      <w:sz w:val="24"/>
      <w:szCs w:val="20"/>
    </w:rPr>
  </w:style>
  <w:style w:type="paragraph" w:customStyle="1" w:styleId="139">
    <w:name w:val="正文缩进+编号"/>
    <w:basedOn w:val="136"/>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qFormat/>
    <w:locked/>
    <w:uiPriority w:val="99"/>
    <w:rPr>
      <w:rFonts w:ascii="宋体" w:hAnsi="宋体"/>
      <w:bCs/>
      <w:sz w:val="24"/>
      <w:szCs w:val="24"/>
    </w:rPr>
  </w:style>
  <w:style w:type="paragraph" w:customStyle="1" w:styleId="144">
    <w:name w:val="样式 条款 + 加粗"/>
    <w:basedOn w:val="142"/>
    <w:link w:val="145"/>
    <w:qFormat/>
    <w:uiPriority w:val="99"/>
    <w:rPr>
      <w:b/>
    </w:rPr>
  </w:style>
  <w:style w:type="character" w:customStyle="1" w:styleId="145">
    <w:name w:val="样式 条款 + 加粗 Char"/>
    <w:link w:val="144"/>
    <w:qFormat/>
    <w:locked/>
    <w:uiPriority w:val="99"/>
    <w:rPr>
      <w:rFonts w:ascii="宋体" w:eastAsia="宋体"/>
      <w:b/>
      <w:kern w:val="2"/>
      <w:sz w:val="24"/>
    </w:rPr>
  </w:style>
  <w:style w:type="paragraph" w:customStyle="1" w:styleId="146">
    <w:name w:val="Char Char Char Char Char Char Char Char Char"/>
    <w:basedOn w:val="16"/>
    <w:qFormat/>
    <w:uiPriority w:val="99"/>
    <w:pPr>
      <w:shd w:val="clear" w:color="auto" w:fill="000080"/>
    </w:pPr>
    <w:rPr>
      <w:rFonts w:ascii="Tahoma" w:hAnsi="Tahoma"/>
      <w:sz w:val="24"/>
      <w:szCs w:val="24"/>
    </w:rPr>
  </w:style>
  <w:style w:type="paragraph" w:customStyle="1" w:styleId="147">
    <w:name w:val="Char Char Char Char Char Char Char"/>
    <w:basedOn w:val="16"/>
    <w:qFormat/>
    <w:uiPriority w:val="99"/>
    <w:pPr>
      <w:shd w:val="clear" w:color="auto" w:fill="000080"/>
    </w:pPr>
    <w:rPr>
      <w:rFonts w:ascii="Tahoma" w:hAnsi="Tahoma"/>
      <w:sz w:val="24"/>
      <w:szCs w:val="24"/>
    </w:rPr>
  </w:style>
  <w:style w:type="paragraph" w:customStyle="1" w:styleId="148">
    <w:name w:val="Char11"/>
    <w:basedOn w:val="1"/>
    <w:qFormat/>
    <w:uiPriority w:val="99"/>
    <w:pPr>
      <w:tabs>
        <w:tab w:val="left" w:pos="432"/>
      </w:tabs>
      <w:ind w:left="432" w:hanging="432"/>
    </w:pPr>
    <w:rPr>
      <w:sz w:val="24"/>
    </w:rPr>
  </w:style>
  <w:style w:type="paragraph" w:customStyle="1" w:styleId="149">
    <w:name w:val="样式 文档正文 + 非加粗 无下划线"/>
    <w:basedOn w:val="1"/>
    <w:link w:val="150"/>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qFormat/>
    <w:locked/>
    <w:uiPriority w:val="99"/>
    <w:rPr>
      <w:rFonts w:ascii="宋体" w:eastAsia="宋体"/>
      <w:spacing w:val="4"/>
      <w:sz w:val="24"/>
    </w:rPr>
  </w:style>
  <w:style w:type="paragraph" w:customStyle="1" w:styleId="151">
    <w:name w:val="Char Char Char Char Char Char"/>
    <w:basedOn w:val="16"/>
    <w:qFormat/>
    <w:uiPriority w:val="99"/>
    <w:pPr>
      <w:shd w:val="clear" w:color="auto" w:fill="000080"/>
    </w:pPr>
    <w:rPr>
      <w:rFonts w:ascii="Tahoma" w:hAnsi="Tahoma"/>
      <w:sz w:val="24"/>
      <w:szCs w:val="24"/>
    </w:rPr>
  </w:style>
  <w:style w:type="paragraph" w:customStyle="1" w:styleId="152">
    <w:name w:val="缺省文本"/>
    <w:basedOn w:val="1"/>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4"/>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qFormat/>
    <w:uiPriority w:val="99"/>
    <w:rPr>
      <w:rFonts w:ascii="Cambria" w:hAnsi="Cambria" w:cs="Times New Roman"/>
      <w:b/>
      <w:bCs/>
      <w:kern w:val="28"/>
      <w:sz w:val="32"/>
      <w:szCs w:val="32"/>
    </w:rPr>
  </w:style>
  <w:style w:type="paragraph" w:customStyle="1" w:styleId="178">
    <w:name w:val="No Spacing1"/>
    <w:basedOn w:val="1"/>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qFormat/>
    <w:uiPriority w:val="99"/>
    <w:pPr>
      <w:widowControl/>
      <w:jc w:val="left"/>
    </w:pPr>
    <w:rPr>
      <w:rFonts w:ascii="Calibri" w:hAnsi="Calibri"/>
      <w:i/>
      <w:kern w:val="0"/>
      <w:sz w:val="24"/>
      <w:lang w:eastAsia="en-US"/>
    </w:rPr>
  </w:style>
  <w:style w:type="character" w:customStyle="1" w:styleId="180">
    <w:name w:val="引用 字符"/>
    <w:basedOn w:val="56"/>
    <w:link w:val="179"/>
    <w:qFormat/>
    <w:locked/>
    <w:uiPriority w:val="99"/>
    <w:rPr>
      <w:rFonts w:ascii="Calibri" w:hAnsi="Calibri" w:cs="Times New Roman"/>
      <w:i/>
      <w:sz w:val="24"/>
      <w:szCs w:val="24"/>
      <w:lang w:eastAsia="en-US"/>
    </w:rPr>
  </w:style>
  <w:style w:type="paragraph" w:customStyle="1" w:styleId="181">
    <w:name w:val="Intense Quote1"/>
    <w:basedOn w:val="1"/>
    <w:next w:val="1"/>
    <w:link w:val="182"/>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qFormat/>
    <w:locked/>
    <w:uiPriority w:val="99"/>
    <w:rPr>
      <w:rFonts w:ascii="Calibri" w:hAnsi="Calibri" w:cs="Times New Roman"/>
      <w:b/>
      <w:i/>
      <w:sz w:val="22"/>
      <w:szCs w:val="22"/>
      <w:lang w:eastAsia="en-US"/>
    </w:rPr>
  </w:style>
  <w:style w:type="character" w:customStyle="1" w:styleId="183">
    <w:name w:val="Subtle Emphasis1"/>
    <w:qFormat/>
    <w:uiPriority w:val="99"/>
    <w:rPr>
      <w:i/>
      <w:color w:val="5A5A5A"/>
    </w:rPr>
  </w:style>
  <w:style w:type="character" w:customStyle="1" w:styleId="184">
    <w:name w:val="Intense Emphasis1"/>
    <w:qFormat/>
    <w:uiPriority w:val="99"/>
    <w:rPr>
      <w:rFonts w:ascii="Tahoma" w:hAnsi="Tahoma" w:eastAsia="宋体"/>
      <w:b/>
      <w:i/>
      <w:kern w:val="2"/>
      <w:sz w:val="24"/>
      <w:u w:val="single"/>
      <w:lang w:val="en-US" w:eastAsia="zh-CN"/>
    </w:rPr>
  </w:style>
  <w:style w:type="character" w:customStyle="1" w:styleId="185">
    <w:name w:val="Subtle Reference1"/>
    <w:qFormat/>
    <w:uiPriority w:val="99"/>
    <w:rPr>
      <w:rFonts w:ascii="Tahoma" w:hAnsi="Tahoma" w:eastAsia="宋体"/>
      <w:kern w:val="2"/>
      <w:sz w:val="24"/>
      <w:u w:val="single"/>
      <w:lang w:val="en-US" w:eastAsia="zh-CN"/>
    </w:rPr>
  </w:style>
  <w:style w:type="character" w:customStyle="1" w:styleId="186">
    <w:name w:val="Intense Reference1"/>
    <w:qFormat/>
    <w:uiPriority w:val="99"/>
    <w:rPr>
      <w:rFonts w:ascii="Tahoma" w:hAnsi="Tahoma" w:eastAsia="宋体"/>
      <w:b/>
      <w:kern w:val="2"/>
      <w:sz w:val="24"/>
      <w:u w:val="single"/>
      <w:lang w:val="en-US" w:eastAsia="zh-CN"/>
    </w:rPr>
  </w:style>
  <w:style w:type="character" w:customStyle="1" w:styleId="187">
    <w:name w:val="Book Title1"/>
    <w:qFormat/>
    <w:uiPriority w:val="99"/>
    <w:rPr>
      <w:rFonts w:ascii="Cambria" w:hAnsi="Cambria" w:eastAsia="宋体"/>
      <w:b/>
      <w:i/>
      <w:kern w:val="2"/>
      <w:sz w:val="24"/>
      <w:lang w:val="en-US" w:eastAsia="zh-CN"/>
    </w:rPr>
  </w:style>
  <w:style w:type="paragraph" w:customStyle="1" w:styleId="188">
    <w:name w:val="纯文本1"/>
    <w:basedOn w:val="1"/>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6"/>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qFormat/>
    <w:uiPriority w:val="99"/>
  </w:style>
  <w:style w:type="paragraph" w:customStyle="1" w:styleId="192">
    <w:name w:val="字母编号列项（一级）"/>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qFormat/>
    <w:uiPriority w:val="99"/>
    <w:pPr>
      <w:numPr>
        <w:ilvl w:val="3"/>
      </w:numPr>
      <w:outlineLvl w:val="3"/>
    </w:pPr>
  </w:style>
  <w:style w:type="paragraph" w:customStyle="1" w:styleId="199">
    <w:name w:val="三级条标题"/>
    <w:basedOn w:val="198"/>
    <w:next w:val="158"/>
    <w:qFormat/>
    <w:uiPriority w:val="99"/>
    <w:pPr>
      <w:numPr>
        <w:ilvl w:val="4"/>
      </w:numPr>
      <w:outlineLvl w:val="4"/>
    </w:pPr>
  </w:style>
  <w:style w:type="paragraph" w:customStyle="1" w:styleId="200">
    <w:name w:val="四级条标题"/>
    <w:basedOn w:val="199"/>
    <w:next w:val="158"/>
    <w:qFormat/>
    <w:uiPriority w:val="99"/>
    <w:pPr>
      <w:numPr>
        <w:ilvl w:val="5"/>
      </w:numPr>
      <w:outlineLvl w:val="5"/>
    </w:pPr>
  </w:style>
  <w:style w:type="paragraph" w:customStyle="1" w:styleId="201">
    <w:name w:val="五级条标题"/>
    <w:basedOn w:val="200"/>
    <w:next w:val="158"/>
    <w:qFormat/>
    <w:uiPriority w:val="99"/>
    <w:pPr>
      <w:numPr>
        <w:ilvl w:val="6"/>
      </w:numPr>
      <w:outlineLvl w:val="6"/>
    </w:pPr>
  </w:style>
  <w:style w:type="character" w:customStyle="1" w:styleId="202">
    <w:name w:val="f141"/>
    <w:qFormat/>
    <w:uiPriority w:val="99"/>
    <w:rPr>
      <w:sz w:val="21"/>
    </w:rPr>
  </w:style>
  <w:style w:type="character" w:customStyle="1" w:styleId="203">
    <w:name w:val="unnamed11"/>
    <w:qFormat/>
    <w:uiPriority w:val="99"/>
  </w:style>
  <w:style w:type="paragraph" w:customStyle="1" w:styleId="204">
    <w:name w:val="报告正文"/>
    <w:basedOn w:val="1"/>
    <w:link w:val="205"/>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qFormat/>
    <w:locked/>
    <w:uiPriority w:val="99"/>
    <w:rPr>
      <w:sz w:val="24"/>
    </w:rPr>
  </w:style>
  <w:style w:type="paragraph" w:customStyle="1" w:styleId="206">
    <w:name w:val="表格文本"/>
    <w:basedOn w:val="1"/>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qFormat/>
    <w:uiPriority w:val="99"/>
    <w:pPr>
      <w:spacing w:line="360" w:lineRule="auto"/>
      <w:ind w:firstLine="480" w:firstLineChars="200"/>
      <w:jc w:val="left"/>
    </w:pPr>
    <w:rPr>
      <w:rFonts w:ascii="宋体" w:hAnsi="宋体"/>
      <w:sz w:val="24"/>
    </w:rPr>
  </w:style>
  <w:style w:type="character" w:customStyle="1" w:styleId="208">
    <w:name w:val="样式1 Char"/>
    <w:link w:val="207"/>
    <w:qFormat/>
    <w:locked/>
    <w:uiPriority w:val="99"/>
    <w:rPr>
      <w:rFonts w:ascii="宋体" w:eastAsia="宋体"/>
      <w:kern w:val="2"/>
      <w:sz w:val="24"/>
    </w:rPr>
  </w:style>
  <w:style w:type="character" w:customStyle="1" w:styleId="209">
    <w:name w:val="lemmatitleh1"/>
    <w:basedOn w:val="56"/>
    <w:qFormat/>
    <w:uiPriority w:val="99"/>
    <w:rPr>
      <w:rFonts w:cs="Times New Roman"/>
    </w:rPr>
  </w:style>
  <w:style w:type="character" w:customStyle="1" w:styleId="210">
    <w:name w:val="blue1"/>
    <w:qFormat/>
    <w:uiPriority w:val="99"/>
    <w:rPr>
      <w:color w:val="72544C"/>
    </w:rPr>
  </w:style>
  <w:style w:type="character" w:customStyle="1" w:styleId="211">
    <w:name w:val="Char Char8"/>
    <w:qFormat/>
    <w:uiPriority w:val="99"/>
    <w:rPr>
      <w:rFonts w:ascii="Arial" w:hAnsi="Arial" w:eastAsia="黑体"/>
      <w:b/>
      <w:kern w:val="2"/>
      <w:sz w:val="32"/>
      <w:lang w:val="en-US" w:eastAsia="zh-CN"/>
    </w:rPr>
  </w:style>
  <w:style w:type="character" w:customStyle="1" w:styleId="212">
    <w:name w:val="font161"/>
    <w:qFormat/>
    <w:uiPriority w:val="99"/>
    <w:rPr>
      <w:b/>
      <w:sz w:val="32"/>
    </w:rPr>
  </w:style>
  <w:style w:type="character" w:customStyle="1" w:styleId="213">
    <w:name w:val="Char Char7"/>
    <w:qFormat/>
    <w:uiPriority w:val="99"/>
    <w:rPr>
      <w:rFonts w:ascii="Arial" w:hAnsi="Arial" w:eastAsia="黑体"/>
      <w:b/>
      <w:kern w:val="2"/>
      <w:sz w:val="32"/>
      <w:lang w:val="en-US" w:eastAsia="zh-CN"/>
    </w:rPr>
  </w:style>
  <w:style w:type="paragraph" w:customStyle="1" w:styleId="214">
    <w:name w:val="样式4"/>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qFormat/>
    <w:uiPriority w:val="99"/>
    <w:pPr>
      <w:spacing w:before="120" w:after="120" w:line="400" w:lineRule="exact"/>
    </w:pPr>
    <w:rPr>
      <w:rFonts w:ascii="黑体" w:hAnsi="黑体" w:cs="宋体"/>
      <w:bCs w:val="0"/>
      <w:sz w:val="32"/>
      <w:szCs w:val="20"/>
    </w:rPr>
  </w:style>
  <w:style w:type="paragraph" w:customStyle="1" w:styleId="217">
    <w:name w:val="样式2"/>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5"/>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5"/>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qFormat/>
    <w:uiPriority w:val="99"/>
    <w:pPr>
      <w:adjustRightInd w:val="0"/>
      <w:spacing w:line="420" w:lineRule="atLeast"/>
      <w:jc w:val="left"/>
      <w:textAlignment w:val="baseline"/>
    </w:pPr>
    <w:rPr>
      <w:kern w:val="0"/>
      <w:szCs w:val="20"/>
    </w:rPr>
  </w:style>
  <w:style w:type="paragraph" w:customStyle="1" w:styleId="222">
    <w:name w:val="封面上部"/>
    <w:basedOn w:val="1"/>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qFormat/>
    <w:locked/>
    <w:uiPriority w:val="99"/>
    <w:rPr>
      <w:rFonts w:ascii="楷体_GB2312" w:eastAsia="楷体_GB2312"/>
      <w:sz w:val="28"/>
    </w:rPr>
  </w:style>
  <w:style w:type="paragraph" w:customStyle="1" w:styleId="224">
    <w:name w:val="TOC 标题2"/>
    <w:basedOn w:val="3"/>
    <w:next w:val="1"/>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qFormat/>
    <w:uiPriority w:val="99"/>
    <w:pPr>
      <w:ind w:firstLine="420" w:firstLineChars="200"/>
    </w:pPr>
    <w:rPr>
      <w:szCs w:val="20"/>
    </w:rPr>
  </w:style>
  <w:style w:type="character" w:customStyle="1" w:styleId="226">
    <w:name w:val="正文文本 Char1"/>
    <w:qFormat/>
    <w:uiPriority w:val="99"/>
    <w:rPr>
      <w:kern w:val="2"/>
      <w:sz w:val="28"/>
    </w:rPr>
  </w:style>
  <w:style w:type="paragraph" w:customStyle="1" w:styleId="227">
    <w:name w:val="标准"/>
    <w:basedOn w:val="1"/>
    <w:qFormat/>
    <w:uiPriority w:val="99"/>
    <w:pPr>
      <w:adjustRightInd w:val="0"/>
      <w:spacing w:line="360" w:lineRule="auto"/>
      <w:jc w:val="center"/>
      <w:textAlignment w:val="baseline"/>
    </w:pPr>
    <w:rPr>
      <w:kern w:val="0"/>
      <w:szCs w:val="20"/>
    </w:rPr>
  </w:style>
  <w:style w:type="paragraph" w:customStyle="1" w:styleId="228">
    <w:name w:val="xl30"/>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qFormat/>
    <w:uiPriority w:val="99"/>
    <w:pPr>
      <w:spacing w:line="400" w:lineRule="exact"/>
      <w:ind w:firstLine="500" w:firstLineChars="200"/>
    </w:pPr>
    <w:rPr>
      <w:spacing w:val="5"/>
      <w:sz w:val="24"/>
      <w:szCs w:val="20"/>
    </w:rPr>
  </w:style>
  <w:style w:type="paragraph" w:customStyle="1" w:styleId="243">
    <w:name w:val="Table Text"/>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qFormat/>
    <w:uiPriority w:val="99"/>
    <w:pPr>
      <w:spacing w:line="360" w:lineRule="auto"/>
      <w:ind w:firstLine="200" w:firstLineChars="200"/>
    </w:pPr>
  </w:style>
  <w:style w:type="character" w:customStyle="1" w:styleId="246">
    <w:name w:val="Normal (Web) Char"/>
    <w:link w:val="47"/>
    <w:qFormat/>
    <w:locked/>
    <w:uiPriority w:val="99"/>
    <w:rPr>
      <w:rFonts w:ascii="宋体" w:eastAsia="宋体"/>
      <w:sz w:val="24"/>
    </w:rPr>
  </w:style>
  <w:style w:type="character" w:customStyle="1" w:styleId="247">
    <w:name w:val="纯文本 Char1"/>
    <w:semiHidden/>
    <w:qFormat/>
    <w:uiPriority w:val="99"/>
    <w:rPr>
      <w:rFonts w:ascii="宋体" w:hAnsi="Courier New"/>
      <w:kern w:val="1"/>
      <w:sz w:val="21"/>
      <w:lang w:eastAsia="ar-SA" w:bidi="ar-SA"/>
    </w:rPr>
  </w:style>
  <w:style w:type="paragraph" w:customStyle="1" w:styleId="248">
    <w:name w:val="myp4"/>
    <w:basedOn w:val="1"/>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qFormat/>
    <w:uiPriority w:val="99"/>
    <w:pPr>
      <w:ind w:firstLine="420" w:firstLineChars="200"/>
    </w:pPr>
    <w:rPr>
      <w:szCs w:val="20"/>
    </w:rPr>
  </w:style>
  <w:style w:type="paragraph" w:customStyle="1" w:styleId="252">
    <w:name w:val="#1.1 一级无标题条文"/>
    <w:basedOn w:val="4"/>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qFormat/>
    <w:uiPriority w:val="99"/>
    <w:pPr>
      <w:widowControl/>
      <w:spacing w:line="360" w:lineRule="auto"/>
      <w:ind w:firstLine="493"/>
      <w:jc w:val="left"/>
    </w:pPr>
    <w:rPr>
      <w:kern w:val="0"/>
      <w:sz w:val="30"/>
      <w:szCs w:val="28"/>
    </w:rPr>
  </w:style>
  <w:style w:type="paragraph" w:styleId="255">
    <w:name w:val="List Paragraph"/>
    <w:basedOn w:val="1"/>
    <w:qFormat/>
    <w:uiPriority w:val="34"/>
    <w:pPr>
      <w:ind w:firstLine="420" w:firstLineChars="200"/>
    </w:pPr>
    <w:rPr>
      <w:rFonts w:ascii="Times New Roman" w:hAnsi="Times New Roman"/>
      <w:kern w:val="2"/>
      <w:sz w:val="28"/>
    </w:rPr>
  </w:style>
  <w:style w:type="paragraph" w:customStyle="1" w:styleId="256">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13</Pages>
  <Words>809</Words>
  <Characters>4613</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小郭</cp:lastModifiedBy>
  <cp:lastPrinted>2020-06-29T02:05:00Z</cp:lastPrinted>
  <dcterms:modified xsi:type="dcterms:W3CDTF">2020-08-31T10:21:56Z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